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pPr>
      <w:r>
        <w:rPr>
          <w:b/>
          <w:color w:val="BF5037"/>
          <w:sz w:val="26"/>
        </w:rPr>
        <w:t>NUTRISYNC COLLECTIVE</w:t>
      </w:r>
    </w:p>
    <w:p>
      <w:pPr>
        <w:pStyle w:val="Title"/>
        <w:spacing w:before="760" w:after="360"/>
      </w:pPr>
      <w:r>
        <w:t>Value Proposition,</w:t>
        <w:br/>
        <w:t>Business Model</w:t>
        <w:br/>
        <w:t>and Capital Options</w:t>
      </w:r>
    </w:p>
    <w:p>
      <w:r>
        <w:rPr>
          <w:color w:val="BF5037"/>
          <w:sz w:val="38"/>
        </w:rPr>
        <w:t>Founder-led progress.</w:t>
        <w:br/>
        <w:t>Evidence-led acceleration.</w:t>
      </w:r>
    </w:p>
    <w:p>
      <w:pPr>
        <w:spacing w:before="520"/>
      </w:pPr>
      <w:r>
        <w:rPr>
          <w:b/>
          <w:sz w:val="32"/>
        </w:rPr>
        <w:t>€15–25K   /   €250–350K   /   €2–5M</w:t>
      </w:r>
    </w:p>
    <w:p>
      <w:r>
        <w:rPr>
          <w:sz w:val="22"/>
        </w:rPr>
        <w:t>Nutrition · Cooking · Exercise · Movement · Recovery</w:t>
      </w:r>
    </w:p>
    <w:p>
      <w:pPr>
        <w:spacing w:after="400"/>
      </w:pPr>
      <w:r>
        <w:t>Spain-first execution. International exploration, including Australia and Singapore.</w:t>
      </w:r>
    </w:p>
    <w:p>
      <w:pPr>
        <w:shd w:fill="F8F1E9"/>
        <w:spacing w:after="360"/>
      </w:pPr>
      <w:r>
        <w:rPr/>
        <w:t>Our decision to build NutriSync is not conditional on an investment round. We intend to keep progressing through our own capabilities, disciplined spending and revenue as it is earned. External capital would change the pace, breadth and resilience of execution—not create the underlying commitment.</w:t>
      </w:r>
    </w:p>
    <w:p>
      <w:r>
        <w:rPr>
          <w:color w:val="6D625D"/>
          <w:sz w:val="18"/>
        </w:rPr>
        <w:t>Discussion proposal | 7 September 2026 | Version 1.0 | English</w:t>
      </w:r>
    </w:p>
    <w:p>
      <w:r>
        <w:rPr>
          <w:color w:val="6D625D"/>
          <w:sz w:val="18"/>
        </w:rPr>
        <w:t>Budget and commercial examples are planning assumptions—not validated forecasts, signed agreements or guaranteed returns. Founder approval is required before external adoption.</w:t>
      </w:r>
    </w:p>
    <w:p>
      <w:r>
        <w:br w:type="page"/>
      </w:r>
    </w:p>
    <w:p>
      <w:pPr>
        <w:pStyle w:val="Heading1"/>
        <w:spacing w:before="0"/>
      </w:pPr>
      <w:r>
        <w:t>Contents</w:t>
      </w:r>
    </w:p>
    <w:p>
      <w:pPr>
        <w:spacing w:after="60" w:line="240" w:lineRule="auto"/>
      </w:pPr>
      <w:hyperlink w:anchor="section_1">
        <w:r>
          <w:rPr>
            <w:color w:val="BF5037"/>
          </w:rPr>
          <w:t>1. Executive business proposition</w:t>
        </w:r>
      </w:hyperlink>
    </w:p>
    <w:p>
      <w:pPr>
        <w:spacing w:after="60" w:line="240" w:lineRule="auto"/>
      </w:pPr>
      <w:hyperlink w:anchor="section_2">
        <w:r>
          <w:rPr>
            <w:color w:val="BF5037"/>
          </w:rPr>
          <w:t>2. Value for each participant</w:t>
        </w:r>
      </w:hyperlink>
    </w:p>
    <w:p>
      <w:pPr>
        <w:spacing w:after="60" w:line="240" w:lineRule="auto"/>
      </w:pPr>
      <w:hyperlink w:anchor="section_3">
        <w:r>
          <w:rPr>
            <w:color w:val="BF5037"/>
          </w:rPr>
          <w:t>3. What we can advance with our own capacity</w:t>
        </w:r>
      </w:hyperlink>
    </w:p>
    <w:p>
      <w:pPr>
        <w:spacing w:after="60" w:line="240" w:lineRule="auto"/>
      </w:pPr>
      <w:hyperlink w:anchor="section_4">
        <w:r>
          <w:rPr>
            <w:color w:val="BF5037"/>
          </w:rPr>
          <w:t>4. Three financing levels, one coherent strategy</w:t>
        </w:r>
      </w:hyperlink>
    </w:p>
    <w:p>
      <w:pPr>
        <w:spacing w:after="60" w:line="240" w:lineRule="auto"/>
      </w:pPr>
      <w:hyperlink w:anchor="section_5">
        <w:r>
          <w:rPr>
            <w:color w:val="BF5037"/>
          </w:rPr>
          <w:t>5. Proposed use of funds</w:t>
        </w:r>
      </w:hyperlink>
    </w:p>
    <w:p>
      <w:pPr>
        <w:spacing w:after="60" w:line="240" w:lineRule="auto"/>
      </w:pPr>
      <w:hyperlink w:anchor="section_6">
        <w:r>
          <w:rPr>
            <w:color w:val="BF5037"/>
          </w:rPr>
          <w:t>6. What larger capital accelerates</w:t>
        </w:r>
      </w:hyperlink>
    </w:p>
    <w:p>
      <w:pPr>
        <w:spacing w:after="60" w:line="240" w:lineRule="auto"/>
      </w:pPr>
      <w:hyperlink w:anchor="section_7">
        <w:r>
          <w:rPr>
            <w:color w:val="BF5037"/>
          </w:rPr>
          <w:t>7. Expert content and collaboration: food and exercise together</w:t>
        </w:r>
      </w:hyperlink>
    </w:p>
    <w:p>
      <w:pPr>
        <w:spacing w:after="60" w:line="240" w:lineRule="auto"/>
      </w:pPr>
      <w:hyperlink w:anchor="section_8">
        <w:r>
          <w:rPr>
            <w:color w:val="BF5037"/>
          </w:rPr>
          <w:t>8. Distribution: how the proposition reaches users</w:t>
        </w:r>
      </w:hyperlink>
    </w:p>
    <w:p>
      <w:pPr>
        <w:spacing w:after="60" w:line="240" w:lineRule="auto"/>
      </w:pPr>
      <w:hyperlink w:anchor="section_9">
        <w:r>
          <w:rPr>
            <w:color w:val="BF5037"/>
          </w:rPr>
          <w:t>9. Marketing: ATL, BTL and the conversion journey</w:t>
        </w:r>
      </w:hyperlink>
    </w:p>
    <w:p>
      <w:pPr>
        <w:spacing w:after="60" w:line="240" w:lineRule="auto"/>
      </w:pPr>
      <w:hyperlink w:anchor="section_10">
        <w:r>
          <w:rPr>
            <w:color w:val="BF5037"/>
          </w:rPr>
          <w:t>10. Taking a reasonable share: a bottom-up acquisition plan</w:t>
        </w:r>
      </w:hyperlink>
    </w:p>
    <w:p>
      <w:pPr>
        <w:spacing w:after="60" w:line="240" w:lineRule="auto"/>
      </w:pPr>
      <w:hyperlink w:anchor="section_11">
        <w:r>
          <w:rPr>
            <w:color w:val="BF5037"/>
          </w:rPr>
          <w:t>11. Revenue model and unit economics</w:t>
        </w:r>
      </w:hyperlink>
    </w:p>
    <w:p>
      <w:pPr>
        <w:spacing w:after="60" w:line="240" w:lineRule="auto"/>
      </w:pPr>
      <w:hyperlink w:anchor="section_12">
        <w:r>
          <w:rPr>
            <w:color w:val="BF5037"/>
          </w:rPr>
          <w:t>12. Cloud operating model and international cost</w:t>
        </w:r>
      </w:hyperlink>
    </w:p>
    <w:p>
      <w:pPr>
        <w:spacing w:after="60" w:line="240" w:lineRule="auto"/>
      </w:pPr>
      <w:hyperlink w:anchor="section_13">
        <w:r>
          <w:rPr>
            <w:color w:val="BF5037"/>
          </w:rPr>
          <w:t>13. International expansion: markets to explore, not promises</w:t>
        </w:r>
      </w:hyperlink>
    </w:p>
    <w:p>
      <w:pPr>
        <w:spacing w:after="60" w:line="240" w:lineRule="auto"/>
      </w:pPr>
      <w:hyperlink w:anchor="section_14">
        <w:r>
          <w:rPr>
            <w:color w:val="BF5037"/>
          </w:rPr>
          <w:t>14. Legal and compliance are expansion investments</w:t>
        </w:r>
      </w:hyperlink>
    </w:p>
    <w:p>
      <w:pPr>
        <w:spacing w:after="60" w:line="240" w:lineRule="auto"/>
      </w:pPr>
      <w:hyperlink w:anchor="section_15">
        <w:r>
          <w:rPr>
            <w:color w:val="BF5037"/>
          </w:rPr>
          <w:t>15. Pregnancy and postpartum: a governed extension</w:t>
        </w:r>
      </w:hyperlink>
    </w:p>
    <w:p>
      <w:pPr>
        <w:spacing w:after="60" w:line="240" w:lineRule="auto"/>
      </w:pPr>
      <w:hyperlink w:anchor="section_16">
        <w:r>
          <w:rPr>
            <w:color w:val="BF5037"/>
          </w:rPr>
          <w:t>16. Competition, innovation and a potential blue-ocean position</w:t>
        </w:r>
      </w:hyperlink>
    </w:p>
    <w:p>
      <w:pPr>
        <w:spacing w:after="60" w:line="240" w:lineRule="auto"/>
      </w:pPr>
      <w:hyperlink w:anchor="section_17">
        <w:r>
          <w:rPr>
            <w:color w:val="BF5037"/>
          </w:rPr>
          <w:t>17. Trust: measured, estimated, reported and recommended</w:t>
        </w:r>
      </w:hyperlink>
    </w:p>
    <w:p>
      <w:pPr>
        <w:spacing w:after="60" w:line="240" w:lineRule="auto"/>
      </w:pPr>
      <w:hyperlink w:anchor="section_18">
        <w:r>
          <w:rPr>
            <w:color w:val="BF5037"/>
          </w:rPr>
          <w:t>18. Milestones, capital release and the next 90 days</w:t>
        </w:r>
      </w:hyperlink>
    </w:p>
    <w:p>
      <w:pPr>
        <w:spacing w:after="60" w:line="240" w:lineRule="auto"/>
      </w:pPr>
      <w:hyperlink w:anchor="section_19">
        <w:r>
          <w:rPr>
            <w:color w:val="BF5037"/>
          </w:rPr>
          <w:t>19. Investor return, valuation and deal structure</w:t>
        </w:r>
      </w:hyperlink>
    </w:p>
    <w:p>
      <w:pPr>
        <w:spacing w:after="60" w:line="240" w:lineRule="auto"/>
      </w:pPr>
      <w:hyperlink w:anchor="section_20">
        <w:r>
          <w:rPr>
            <w:color w:val="BF5037"/>
          </w:rPr>
          <w:t>20. Proposed meeting position</w:t>
        </w:r>
      </w:hyperlink>
    </w:p>
    <w:p>
      <w:pPr>
        <w:spacing w:after="60" w:line="240" w:lineRule="auto" w:before="180"/>
      </w:pPr>
      <w:hyperlink w:anchor="section_21">
        <w:r>
          <w:rPr>
            <w:color w:val="BF5037"/>
          </w:rPr>
          <w:t>Annex A. Source register and document relationships</w:t>
        </w:r>
      </w:hyperlink>
    </w:p>
    <w:p>
      <w:pPr>
        <w:spacing w:after="60" w:line="240" w:lineRule="auto"/>
      </w:pPr>
      <w:hyperlink w:anchor="section_22">
        <w:r>
          <w:rPr>
            <w:color w:val="BF5037"/>
          </w:rPr>
          <w:t>Annex B. Product and innovation source brief</w:t>
        </w:r>
      </w:hyperlink>
    </w:p>
    <w:p>
      <w:pPr>
        <w:spacing w:after="60" w:line="240" w:lineRule="auto"/>
      </w:pPr>
      <w:hyperlink w:anchor="section_23">
        <w:r>
          <w:rPr>
            <w:color w:val="BF5037"/>
          </w:rPr>
          <w:t>Annex C. Company write-up: commercial applications</w:t>
        </w:r>
      </w:hyperlink>
    </w:p>
    <w:p>
      <w:pPr>
        <w:spacing w:after="60" w:line="240" w:lineRule="auto"/>
      </w:pPr>
      <w:hyperlink w:anchor="section_24">
        <w:r>
          <w:rPr>
            <w:color w:val="BF5037"/>
          </w:rPr>
          <w:t>Annex D. Competitor analysis overview</w:t>
        </w:r>
      </w:hyperlink>
    </w:p>
    <w:p>
      <w:pPr>
        <w:spacing w:after="60" w:line="240" w:lineRule="auto"/>
      </w:pPr>
      <w:hyperlink w:anchor="section_25">
        <w:r>
          <w:rPr>
            <w:color w:val="BF5037"/>
          </w:rPr>
          <w:t>Annex E. Deck and financial reconciliation</w:t>
        </w:r>
      </w:hyperlink>
    </w:p>
    <w:p>
      <w:pPr>
        <w:spacing w:after="60" w:line="240" w:lineRule="auto"/>
      </w:pPr>
      <w:hyperlink w:anchor="section_26">
        <w:r>
          <w:rPr>
            <w:color w:val="BF5037"/>
          </w:rPr>
          <w:t>Annex F. Tony's questions and source-note treatment</w:t>
        </w:r>
      </w:hyperlink>
    </w:p>
    <w:p>
      <w:pPr>
        <w:spacing w:after="60" w:line="240" w:lineRule="auto"/>
      </w:pPr>
      <w:hyperlink w:anchor="section_27">
        <w:r>
          <w:rPr>
            <w:color w:val="BF5037"/>
          </w:rPr>
          <w:t>Annex G. Source screenshot and product-risk response</w:t>
        </w:r>
      </w:hyperlink>
    </w:p>
    <w:p>
      <w:pPr>
        <w:spacing w:after="60" w:line="240" w:lineRule="auto"/>
      </w:pPr>
      <w:hyperlink w:anchor="section_28">
        <w:r>
          <w:rPr>
            <w:color w:val="BF5037"/>
          </w:rPr>
          <w:t>Annex H. International support and readiness reference notes</w:t>
        </w:r>
      </w:hyperlink>
    </w:p>
    <w:p>
      <w:pPr>
        <w:spacing w:after="60" w:line="240" w:lineRule="auto"/>
      </w:pPr>
      <w:hyperlink w:anchor="section_29">
        <w:r>
          <w:rPr>
            <w:color w:val="BF5037"/>
          </w:rPr>
          <w:t>Annex I. Public references</w:t>
        </w:r>
      </w:hyperlink>
    </w:p>
    <w:p>
      <w:pPr>
        <w:spacing w:after="60" w:line="240" w:lineRule="auto"/>
      </w:pPr>
      <w:hyperlink w:anchor="section_30">
        <w:r>
          <w:rPr>
            <w:color w:val="BF5037"/>
          </w:rPr>
          <w:t>Annex J. Assumptions and approval record</w:t>
        </w:r>
      </w:hyperlink>
    </w:p>
    <w:p>
      <w:pPr>
        <w:spacing w:before="240"/>
      </w:pPr>
      <w:r>
        <w:rPr>
          <w:sz w:val="18"/>
        </w:rPr>
        <w:t>Source originals and reference briefs are supplied in the accompanying annex bundle. Annex A identifies which items are complete originals and which are reference/extract records.</w:t>
      </w:r>
    </w:p>
    <w:p>
      <w:r>
        <w:br w:type="page"/>
      </w:r>
    </w:p>
    <w:p>
      <w:bookmarkStart w:id="1" w:name="section_1"/>
      <w:pPr>
        <w:pStyle w:val="Heading1"/>
      </w:pPr>
      <w:r>
        <w:rPr/>
        <w:t>1. Executive business proposition</w:t>
      </w:r>
      <w:bookmarkEnd w:id="1"/>
    </w:p>
    <w:p>
      <w:r>
        <w:rPr/>
        <w:t xml:space="preserve">NutriSync is being developed as a </w:t>
      </w:r>
      <w:r>
        <w:rPr>
          <w:b/>
        </w:rPr>
        <w:t>cloud-delivered, adaptive women's wellbeing platform</w:t>
      </w:r>
      <w:r>
        <w:rPr/>
        <w:t xml:space="preserve"> that brings together practical nutrition, cooking, exercise, movement and recovery guidance. It combines professionally reviewed content with information a woman chooses to record, optional authorised wearable signals and her own account of how she feels. The aim is to make useful everyday actions easier—not to replace her judgement with a score.</w:t>
      </w:r>
    </w:p>
    <w:p>
      <w:r>
        <w:rPr/>
        <w:t xml:space="preserve">The customer promise is straightforward: </w:t>
      </w:r>
      <w:r>
        <w:rPr>
          <w:b/>
        </w:rPr>
        <w:t>understand your patterns, find something useful to do today, and learn from your own experience over time.</w:t>
      </w:r>
      <w:r>
        <w:rPr/>
        <w:t xml:space="preserve"> A meal suggestion should become an achievable recipe. Exercise guidance should become a clear routine with appropriate alternatives. A sleep or recovery observation should be explained as context, not presented as a diagnosis.</w:t>
      </w:r>
    </w:p>
    <w:p>
      <w:r>
        <w:rPr/>
        <w:t>The business has three mutually reinforcing growth assets: a reusable library of professional visual content; distribution through trusted people and organisations; and a measurable marketing system linking awareness to activation, payment and retention. Nutrition and exercise are equal strategic pillars. Wearables improve selected experiences, but a complete non-wearable route remains essential. These principles extend Proposal 32 v8 and the Ten Types innovation proposal. [S01, S03]</w:t>
      </w:r>
    </w:p>
    <w:p>
      <w:r>
        <w:rPr/>
        <w:t>The recommended commercial order is subscription first, organisation-funded access second, and selected partner programmes third. Sponsorship, events and services are recorded separately from recurring software revenue. Selling health profiles, influencing personal recommendations for payment and speculative data monetisation are excluded.</w:t>
      </w:r>
    </w:p>
    <w:p>
      <w:r>
        <w:rPr/>
        <w:t>Investment is an option for acceleration. The smaller funding levels are not inconsistent with a larger ambition: they buy different scopes. A €15–25K operating bridge supports a narrow founder-led stage; €250–350K supports a staffed launch-and-validation programme; €2M supports organised execution in Spain; €5M enables more parallel work and a controlled international option. None automatically guarantees product-market fit or profitability.</w:t>
      </w:r>
    </w:p>
    <w:p>
      <w:bookmarkStart w:id="2" w:name="section_2"/>
      <w:pPr>
        <w:pStyle w:val="Heading1"/>
      </w:pPr>
      <w:r>
        <w:rPr/>
        <w:t>2. Value for each participant</w:t>
      </w:r>
      <w:bookmarkEnd w:id="2"/>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Participant</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Practical value proposition</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Evidence required</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Individual users</w:t>
            </w:r>
          </w:p>
        </w:tc>
        <w:tc>
          <w:tcPr>
            <w:tcW w:type="dxa" w:w="3773"/>
            <w:vAlign w:val="center"/>
            <w:tcMar>
              <w:top w:w="75" w:type="dxa"/>
              <w:bottom w:w="75" w:type="dxa"/>
              <w:left w:w="85" w:type="dxa"/>
              <w:right w:w="85" w:type="dxa"/>
            </w:tcMar>
            <w:shd w:fill="F8F1E9"/>
          </w:tcPr>
          <w:p>
            <w:pPr>
              <w:spacing w:after="0" w:line="250" w:lineRule="auto"/>
            </w:pPr>
            <w:r>
              <w:rPr>
                <w:sz w:val="18"/>
              </w:rPr>
              <w:t>One understandable experience for food, exercise, recovery and personal context; less fragmentation and avoidable logging effort.</w:t>
            </w:r>
          </w:p>
        </w:tc>
        <w:tc>
          <w:tcPr>
            <w:tcW w:type="dxa" w:w="3755"/>
            <w:vAlign w:val="center"/>
            <w:tcMar>
              <w:top w:w="75" w:type="dxa"/>
              <w:bottom w:w="75" w:type="dxa"/>
              <w:left w:w="85" w:type="dxa"/>
              <w:right w:w="85" w:type="dxa"/>
            </w:tcMar>
            <w:shd w:fill="F8F1E9"/>
          </w:tcPr>
          <w:p>
            <w:pPr>
              <w:spacing w:after="0" w:line="250" w:lineRule="auto"/>
            </w:pPr>
            <w:r>
              <w:rPr>
                <w:sz w:val="18"/>
              </w:rPr>
              <w:t>First useful action, repeat use, perceived usefulness, paid retention and complaints.</w:t>
            </w:r>
          </w:p>
        </w:tc>
      </w:tr>
      <w:tr>
        <w:trPr>
          <w:cantSplit/>
        </w:trPr>
        <w:tc>
          <w:tcPr>
            <w:tcW w:type="dxa" w:w="2419"/>
            <w:vAlign w:val="center"/>
            <w:tcMar>
              <w:top w:w="75" w:type="dxa"/>
              <w:bottom w:w="75" w:type="dxa"/>
              <w:left w:w="85" w:type="dxa"/>
              <w:right w:w="85" w:type="dxa"/>
            </w:tcMar>
          </w:tcPr>
          <w:p>
            <w:pPr>
              <w:spacing w:after="0" w:line="250" w:lineRule="auto"/>
            </w:pPr>
            <w:r>
              <w:rPr>
                <w:sz w:val="18"/>
              </w:rPr>
              <w:t>Nutritionists, chefs, trainers and physiotherapists</w:t>
            </w:r>
          </w:p>
        </w:tc>
        <w:tc>
          <w:tcPr>
            <w:tcW w:type="dxa" w:w="3773"/>
            <w:vAlign w:val="center"/>
            <w:tcMar>
              <w:top w:w="75" w:type="dxa"/>
              <w:bottom w:w="75" w:type="dxa"/>
              <w:left w:w="85" w:type="dxa"/>
              <w:right w:w="85" w:type="dxa"/>
            </w:tcMar>
          </w:tcPr>
          <w:p>
            <w:pPr>
              <w:spacing w:after="0" w:line="250" w:lineRule="auto"/>
            </w:pPr>
            <w:r>
              <w:rPr>
                <w:sz w:val="18"/>
              </w:rPr>
              <w:t>A governed way to turn expertise into accessible digital programmes, with attribution and agreed compensation.</w:t>
            </w:r>
          </w:p>
        </w:tc>
        <w:tc>
          <w:tcPr>
            <w:tcW w:type="dxa" w:w="3755"/>
            <w:vAlign w:val="center"/>
            <w:tcMar>
              <w:top w:w="75" w:type="dxa"/>
              <w:bottom w:w="75" w:type="dxa"/>
              <w:left w:w="85" w:type="dxa"/>
              <w:right w:w="85" w:type="dxa"/>
            </w:tcMar>
          </w:tcPr>
          <w:p>
            <w:pPr>
              <w:spacing w:after="0" w:line="250" w:lineRule="auto"/>
            </w:pPr>
            <w:r>
              <w:rPr>
                <w:sz w:val="18"/>
              </w:rPr>
              <w:t>Content completion, quality review, appropriate use and sustainable production economics.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Gyms, studios and communities</w:t>
            </w:r>
          </w:p>
        </w:tc>
        <w:tc>
          <w:tcPr>
            <w:tcW w:type="dxa" w:w="3773"/>
            <w:vAlign w:val="center"/>
            <w:tcMar>
              <w:top w:w="75" w:type="dxa"/>
              <w:bottom w:w="75" w:type="dxa"/>
              <w:left w:w="85" w:type="dxa"/>
              <w:right w:w="85" w:type="dxa"/>
            </w:tcMar>
            <w:shd w:fill="F8F1E9"/>
          </w:tcPr>
          <w:p>
            <w:pPr>
              <w:spacing w:after="0" w:line="250" w:lineRule="auto"/>
            </w:pPr>
            <w:r>
              <w:rPr>
                <w:sz w:val="18"/>
              </w:rPr>
              <w:t>Digital continuity between sessions, useful member content and optional bundled access.</w:t>
            </w:r>
          </w:p>
        </w:tc>
        <w:tc>
          <w:tcPr>
            <w:tcW w:type="dxa" w:w="3755"/>
            <w:vAlign w:val="center"/>
            <w:tcMar>
              <w:top w:w="75" w:type="dxa"/>
              <w:bottom w:w="75" w:type="dxa"/>
              <w:left w:w="85" w:type="dxa"/>
              <w:right w:w="85" w:type="dxa"/>
            </w:tcMar>
            <w:shd w:fill="F8F1E9"/>
          </w:tcPr>
          <w:p>
            <w:pPr>
              <w:spacing w:after="0" w:line="250" w:lineRule="auto"/>
            </w:pPr>
            <w:r>
              <w:rPr>
                <w:sz w:val="18"/>
              </w:rPr>
              <w:t>Member activation, engagement and renewal; no assumed fitness or retention uplift.</w:t>
            </w:r>
          </w:p>
        </w:tc>
      </w:tr>
      <w:tr>
        <w:trPr>
          <w:cantSplit/>
        </w:trPr>
        <w:tc>
          <w:tcPr>
            <w:tcW w:type="dxa" w:w="2419"/>
            <w:vAlign w:val="center"/>
            <w:tcMar>
              <w:top w:w="75" w:type="dxa"/>
              <w:bottom w:w="75" w:type="dxa"/>
              <w:left w:w="85" w:type="dxa"/>
              <w:right w:w="85" w:type="dxa"/>
            </w:tcMar>
          </w:tcPr>
          <w:p>
            <w:pPr>
              <w:spacing w:after="0" w:line="250" w:lineRule="auto"/>
            </w:pPr>
            <w:r>
              <w:rPr>
                <w:sz w:val="18"/>
              </w:rPr>
              <w:t>Healthcare professionals and institutions</w:t>
            </w:r>
          </w:p>
        </w:tc>
        <w:tc>
          <w:tcPr>
            <w:tcW w:type="dxa" w:w="3773"/>
            <w:vAlign w:val="center"/>
            <w:tcMar>
              <w:top w:w="75" w:type="dxa"/>
              <w:bottom w:w="75" w:type="dxa"/>
              <w:left w:w="85" w:type="dxa"/>
              <w:right w:w="85" w:type="dxa"/>
            </w:tcMar>
          </w:tcPr>
          <w:p>
            <w:pPr>
              <w:spacing w:after="0" w:line="250" w:lineRule="auto"/>
            </w:pPr>
            <w:r>
              <w:rPr>
                <w:sz w:val="18"/>
              </w:rPr>
              <w:t>Reviewed education and user-controlled records that may support conversations, within an approved intended purpose.</w:t>
            </w:r>
          </w:p>
        </w:tc>
        <w:tc>
          <w:tcPr>
            <w:tcW w:type="dxa" w:w="3755"/>
            <w:vAlign w:val="center"/>
            <w:tcMar>
              <w:top w:w="75" w:type="dxa"/>
              <w:bottom w:w="75" w:type="dxa"/>
              <w:left w:w="85" w:type="dxa"/>
              <w:right w:w="85" w:type="dxa"/>
            </w:tcMar>
          </w:tcPr>
          <w:p>
            <w:pPr>
              <w:spacing w:after="0" w:line="250" w:lineRule="auto"/>
            </w:pPr>
            <w:r>
              <w:rPr>
                <w:sz w:val="18"/>
              </w:rPr>
              <w:t>Approved pilot scope, privacy boundaries, professional acceptance and actual use.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Employers and benefit buyers</w:t>
            </w:r>
          </w:p>
        </w:tc>
        <w:tc>
          <w:tcPr>
            <w:tcW w:type="dxa" w:w="3773"/>
            <w:vAlign w:val="center"/>
            <w:tcMar>
              <w:top w:w="75" w:type="dxa"/>
              <w:bottom w:w="75" w:type="dxa"/>
              <w:left w:w="85" w:type="dxa"/>
              <w:right w:w="85" w:type="dxa"/>
            </w:tcMar>
            <w:shd w:fill="F8F1E9"/>
          </w:tcPr>
          <w:p>
            <w:pPr>
              <w:spacing w:after="0" w:line="250" w:lineRule="auto"/>
            </w:pPr>
            <w:r>
              <w:rPr>
                <w:sz w:val="18"/>
              </w:rPr>
              <w:t>Voluntary wellbeing access and group-level service reporting without individual health surveillance.</w:t>
            </w:r>
          </w:p>
        </w:tc>
        <w:tc>
          <w:tcPr>
            <w:tcW w:type="dxa" w:w="3755"/>
            <w:vAlign w:val="center"/>
            <w:tcMar>
              <w:top w:w="75" w:type="dxa"/>
              <w:bottom w:w="75" w:type="dxa"/>
              <w:left w:w="85" w:type="dxa"/>
              <w:right w:w="85" w:type="dxa"/>
            </w:tcMar>
            <w:shd w:fill="F8F1E9"/>
          </w:tcPr>
          <w:p>
            <w:pPr>
              <w:spacing w:after="0" w:line="250" w:lineRule="auto"/>
            </w:pPr>
            <w:r>
              <w:rPr>
                <w:sz w:val="18"/>
              </w:rPr>
              <w:t>Contracted seats, activation, support cost, renewal and appropriately protected reporting.</w:t>
            </w:r>
          </w:p>
        </w:tc>
      </w:tr>
      <w:tr>
        <w:trPr>
          <w:cantSplit/>
        </w:trPr>
        <w:tc>
          <w:tcPr>
            <w:tcW w:type="dxa" w:w="2419"/>
            <w:vAlign w:val="center"/>
            <w:tcMar>
              <w:top w:w="75" w:type="dxa"/>
              <w:bottom w:w="75" w:type="dxa"/>
              <w:left w:w="85" w:type="dxa"/>
              <w:right w:w="85" w:type="dxa"/>
            </w:tcMar>
          </w:tcPr>
          <w:p>
            <w:pPr>
              <w:spacing w:after="0" w:line="250" w:lineRule="auto"/>
            </w:pPr>
            <w:r>
              <w:rPr>
                <w:sz w:val="18"/>
              </w:rPr>
              <w:t>Brands and commercial partners</w:t>
            </w:r>
          </w:p>
        </w:tc>
        <w:tc>
          <w:tcPr>
            <w:tcW w:type="dxa" w:w="3773"/>
            <w:vAlign w:val="center"/>
            <w:tcMar>
              <w:top w:w="75" w:type="dxa"/>
              <w:bottom w:w="75" w:type="dxa"/>
              <w:left w:w="85" w:type="dxa"/>
              <w:right w:w="85" w:type="dxa"/>
            </w:tcMar>
          </w:tcPr>
          <w:p>
            <w:pPr>
              <w:spacing w:after="0" w:line="250" w:lineRule="auto"/>
            </w:pPr>
            <w:r>
              <w:rPr>
                <w:sz w:val="18"/>
              </w:rPr>
              <w:t>Contextual association, useful content, events and voluntary action—not access to intimate personal profiles.</w:t>
            </w:r>
          </w:p>
        </w:tc>
        <w:tc>
          <w:tcPr>
            <w:tcW w:type="dxa" w:w="3755"/>
            <w:vAlign w:val="center"/>
            <w:tcMar>
              <w:top w:w="75" w:type="dxa"/>
              <w:bottom w:w="75" w:type="dxa"/>
              <w:left w:w="85" w:type="dxa"/>
              <w:right w:w="85" w:type="dxa"/>
            </w:tcMar>
          </w:tcPr>
          <w:p>
            <w:pPr>
              <w:spacing w:after="0" w:line="250" w:lineRule="auto"/>
            </w:pPr>
            <w:r>
              <w:rPr>
                <w:sz w:val="18"/>
              </w:rPr>
              <w:t>Incremental activation, campaign delivery, user acceptance and clear commercial labelling.</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Investors</w:t>
            </w:r>
          </w:p>
        </w:tc>
        <w:tc>
          <w:tcPr>
            <w:tcW w:type="dxa" w:w="3773"/>
            <w:vAlign w:val="center"/>
            <w:tcMar>
              <w:top w:w="75" w:type="dxa"/>
              <w:bottom w:w="75" w:type="dxa"/>
              <w:left w:w="85" w:type="dxa"/>
              <w:right w:w="85" w:type="dxa"/>
            </w:tcMar>
            <w:shd w:fill="F8F1E9"/>
          </w:tcPr>
          <w:p>
            <w:pPr>
              <w:spacing w:after="0" w:line="250" w:lineRule="auto"/>
            </w:pPr>
            <w:r>
              <w:rPr>
                <w:sz w:val="18"/>
              </w:rPr>
              <w:t>Exposure to recurring digital revenue, reusable content, channel relationships and a potentially defensible personalisation system.</w:t>
            </w:r>
          </w:p>
        </w:tc>
        <w:tc>
          <w:tcPr>
            <w:tcW w:type="dxa" w:w="3755"/>
            <w:vAlign w:val="center"/>
            <w:tcMar>
              <w:top w:w="75" w:type="dxa"/>
              <w:bottom w:w="75" w:type="dxa"/>
              <w:left w:w="85" w:type="dxa"/>
              <w:right w:w="85" w:type="dxa"/>
            </w:tcMar>
            <w:shd w:fill="F8F1E9"/>
          </w:tcPr>
          <w:p>
            <w:pPr>
              <w:spacing w:after="0" w:line="250" w:lineRule="auto"/>
            </w:pPr>
            <w:r>
              <w:rPr>
                <w:sz w:val="18"/>
              </w:rPr>
              <w:t>Cohort economics, operating discipline, credible governance and a supportable return scenario.</w:t>
            </w:r>
          </w:p>
        </w:tc>
      </w:tr>
    </w:tbl>
    <w:p>
      <w:pPr>
        <w:spacing w:after="20" w:before="0" w:line="72" w:lineRule="auto"/>
      </w:pPr>
      <w:r>
        <w:rPr>
          <w:sz w:val="4"/>
        </w:rPr>
      </w:r>
    </w:p>
    <w:p>
      <w:r>
        <w:rPr/>
        <w:t>The platform is not a business that manufactures wearables, operates hospitals or builds a chain of gyms. Those are potential ecosystem and distribution relationships. Physical workshops, roadshows and retail activations are acquisition or service-delivery activities around a cloud business, not a property expansion strategy.</w:t>
      </w:r>
    </w:p>
    <w:p>
      <w:bookmarkStart w:id="3" w:name="section_3"/>
      <w:pPr>
        <w:pStyle w:val="Heading1"/>
      </w:pPr>
      <w:r>
        <w:rPr/>
        <w:t>3. What we can advance with our own capacity</w:t>
      </w:r>
      <w:bookmarkEnd w:id="3"/>
    </w:p>
    <w:p>
      <w:r>
        <w:rPr/>
        <w:t>The existing documents describe mobile applications, a cloud backend, prototypes, content work, founder-led commercial activity and advisory input. Those are useful foundations, but this document does not certify production readiness, available cash or the current working hours of every contributor. Source statements about prototypes, pilots and partnerships must remain distinct from operational evidence. [S01, S02, S06, S08]</w:t>
      </w:r>
    </w:p>
    <w:p>
      <w:r>
        <w:rPr/>
        <w:t>The founder-led plan concentrates available effort on a small number of outcomes: improve the core experience; publish a limited, reviewed food-and-exercise library; support a manageable pilot; test willingness to pay; and progress a short list of professional and organisation relationships. Organic activity is not costless: production time, support and founder effort are tracked even where immediate cash expenditure is low.</w:t>
      </w:r>
    </w:p>
    <w:p>
      <w:r>
        <w:rPr/>
        <w:t>A no-external-investment operating plan should use a rolling 13-week cash schedule, a named contribution register and explicit spending limits. Record committed founder cash separately from future intentions, founder time separately from cash, and earned customer receipts separately from prospective contracts. No particular family contribution, salary sacrifice or unlimited personal funding is assumed here.</w:t>
      </w:r>
    </w:p>
    <w:p>
      <w:r>
        <w:rPr/>
        <w:t>When cash or capacity is constrained, defer new integrations, broad paid campaigns, additional countries and higher-risk features. Retain essential privacy, security, safety and customer-support controls. If a safe live release cannot be funded, continue research, content development and non-production testing rather than bypass those controls.</w:t>
      </w:r>
    </w:p>
    <w:p>
      <w:r>
        <w:rPr/>
        <w:t xml:space="preserve">The credible investor message is therefore neither “we cannot move without you” nor “we can fund every ambition ourselves.” It is: </w:t>
      </w:r>
      <w:r>
        <w:rPr>
          <w:b/>
        </w:rPr>
        <w:t>we can continue a focused programme with our own capacity; the right investment allows us to execute more of the validated plan, sooner and with less key-person risk.</w:t>
      </w:r>
    </w:p>
    <w:p>
      <w:bookmarkStart w:id="4" w:name="section_4"/>
      <w:pPr>
        <w:pStyle w:val="Heading1"/>
      </w:pPr>
      <w:r>
        <w:rPr/>
        <w:t>4. Three financing levels, one coherent strategy</w:t>
      </w:r>
      <w:bookmarkEnd w:id="4"/>
    </w:p>
    <w:tbl>
      <w:tblPr>
        <w:tblW w:type="auto" w:w="0"/>
        <w:jc w:val="center"/>
        <w:tblLayout w:type="fixed"/>
        <w:tblLook w:firstColumn="1" w:firstRow="1" w:lastColumn="0" w:lastRow="0" w:noHBand="0" w:noVBand="1" w:val="04A0"/>
      </w:tblPr>
      <w:tblGrid>
        <w:gridCol w:w="1656"/>
        <w:gridCol w:w="2693"/>
        <w:gridCol w:w="2794"/>
        <w:gridCol w:w="2805"/>
      </w:tblGrid>
      <w:tr>
        <w:trPr>
          <w:cantSplit/>
          <w:tblHeader/>
        </w:trPr>
        <w:tc>
          <w:tcPr>
            <w:tcW w:type="dxa" w:w="1656"/>
            <w:vAlign w:val="center"/>
            <w:tcMar>
              <w:top w:w="75" w:type="dxa"/>
              <w:bottom w:w="75" w:type="dxa"/>
              <w:left w:w="85" w:type="dxa"/>
              <w:right w:w="85" w:type="dxa"/>
            </w:tcMar>
            <w:shd w:fill="282220"/>
          </w:tcPr>
          <w:p>
            <w:pPr>
              <w:spacing w:after="0" w:line="250" w:lineRule="auto"/>
            </w:pPr>
            <w:r>
              <w:rPr>
                <w:b/>
                <w:color w:val="FFFFFF"/>
                <w:sz w:val="18"/>
              </w:rPr>
              <w:t>Level</w:t>
            </w:r>
          </w:p>
        </w:tc>
        <w:tc>
          <w:tcPr>
            <w:tcW w:type="dxa" w:w="2693"/>
            <w:vAlign w:val="center"/>
            <w:tcMar>
              <w:top w:w="75" w:type="dxa"/>
              <w:bottom w:w="75" w:type="dxa"/>
              <w:left w:w="85" w:type="dxa"/>
              <w:right w:w="85" w:type="dxa"/>
            </w:tcMar>
            <w:shd w:fill="282220"/>
          </w:tcPr>
          <w:p>
            <w:pPr>
              <w:spacing w:after="0" w:line="250" w:lineRule="auto"/>
            </w:pPr>
            <w:r>
              <w:rPr>
                <w:b/>
                <w:color w:val="FFFFFF"/>
                <w:sz w:val="18"/>
              </w:rPr>
              <w:t>Purpose and planning horizon</w:t>
            </w:r>
          </w:p>
        </w:tc>
        <w:tc>
          <w:tcPr>
            <w:tcW w:type="dxa" w:w="2794"/>
            <w:vAlign w:val="center"/>
            <w:tcMar>
              <w:top w:w="75" w:type="dxa"/>
              <w:bottom w:w="75" w:type="dxa"/>
              <w:left w:w="85" w:type="dxa"/>
              <w:right w:w="85" w:type="dxa"/>
            </w:tcMar>
            <w:shd w:fill="282220"/>
          </w:tcPr>
          <w:p>
            <w:pPr>
              <w:spacing w:after="0" w:line="250" w:lineRule="auto"/>
            </w:pPr>
            <w:r>
              <w:rPr>
                <w:b/>
                <w:color w:val="FFFFFF"/>
                <w:sz w:val="18"/>
              </w:rPr>
              <w:t>What it enables</w:t>
            </w:r>
          </w:p>
        </w:tc>
        <w:tc>
          <w:tcPr>
            <w:tcW w:type="dxa" w:w="2805"/>
            <w:vAlign w:val="center"/>
            <w:tcMar>
              <w:top w:w="75" w:type="dxa"/>
              <w:bottom w:w="75" w:type="dxa"/>
              <w:left w:w="85" w:type="dxa"/>
              <w:right w:w="85" w:type="dxa"/>
            </w:tcMar>
            <w:shd w:fill="282220"/>
          </w:tcPr>
          <w:p>
            <w:pPr>
              <w:spacing w:after="0" w:line="250" w:lineRule="auto"/>
            </w:pPr>
            <w:r>
              <w:rPr>
                <w:b/>
                <w:color w:val="FFFFFF"/>
                <w:sz w:val="18"/>
              </w:rPr>
              <w:t>What it does not buy</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€15–25K</w:t>
            </w:r>
          </w:p>
        </w:tc>
        <w:tc>
          <w:tcPr>
            <w:tcW w:type="dxa" w:w="2693"/>
            <w:vAlign w:val="center"/>
            <w:tcMar>
              <w:top w:w="75" w:type="dxa"/>
              <w:bottom w:w="75" w:type="dxa"/>
              <w:left w:w="85" w:type="dxa"/>
              <w:right w:w="85" w:type="dxa"/>
            </w:tcMar>
            <w:shd w:fill="F8F1E9"/>
          </w:tcPr>
          <w:p>
            <w:pPr>
              <w:spacing w:after="0" w:line="250" w:lineRule="auto"/>
            </w:pPr>
            <w:r>
              <w:rPr>
                <w:sz w:val="18"/>
              </w:rPr>
              <w:t>Narrow operating bridge; approximately 90 days of scoped work, not a certified runway.</w:t>
            </w:r>
          </w:p>
        </w:tc>
        <w:tc>
          <w:tcPr>
            <w:tcW w:type="dxa" w:w="2794"/>
            <w:vAlign w:val="center"/>
            <w:tcMar>
              <w:top w:w="75" w:type="dxa"/>
              <w:bottom w:w="75" w:type="dxa"/>
              <w:left w:w="85" w:type="dxa"/>
              <w:right w:w="85" w:type="dxa"/>
            </w:tcMar>
            <w:shd w:fill="F8F1E9"/>
          </w:tcPr>
          <w:p>
            <w:pPr>
              <w:spacing w:after="0" w:line="250" w:lineRule="auto"/>
            </w:pPr>
            <w:r>
              <w:rPr>
                <w:sz w:val="18"/>
              </w:rPr>
              <w:t>Essential cloud bills, limited fixes, reviewed starter content, pilot support and priority legal work, with substantial founder execution.</w:t>
            </w:r>
          </w:p>
        </w:tc>
        <w:tc>
          <w:tcPr>
            <w:tcW w:type="dxa" w:w="2805"/>
            <w:vAlign w:val="center"/>
            <w:tcMar>
              <w:top w:w="75" w:type="dxa"/>
              <w:bottom w:w="75" w:type="dxa"/>
              <w:left w:w="85" w:type="dxa"/>
              <w:right w:w="85" w:type="dxa"/>
            </w:tcMar>
            <w:shd w:fill="F8F1E9"/>
          </w:tcPr>
          <w:p>
            <w:pPr>
              <w:spacing w:after="0" w:line="250" w:lineRule="auto"/>
            </w:pPr>
            <w:r>
              <w:rPr>
                <w:sz w:val="18"/>
              </w:rPr>
              <w:t>Market-rate salaries for a complete team, national advertising, a new clinical product or international launch.</w:t>
            </w:r>
          </w:p>
        </w:tc>
      </w:tr>
      <w:tr>
        <w:trPr>
          <w:cantSplit/>
        </w:trPr>
        <w:tc>
          <w:tcPr>
            <w:tcW w:type="dxa" w:w="1656"/>
            <w:vAlign w:val="center"/>
            <w:tcMar>
              <w:top w:w="75" w:type="dxa"/>
              <w:bottom w:w="75" w:type="dxa"/>
              <w:left w:w="85" w:type="dxa"/>
              <w:right w:w="85" w:type="dxa"/>
            </w:tcMar>
          </w:tcPr>
          <w:p>
            <w:pPr>
              <w:spacing w:after="0" w:line="250" w:lineRule="auto"/>
            </w:pPr>
            <w:r>
              <w:rPr>
                <w:sz w:val="18"/>
              </w:rPr>
              <w:t>€250–350K</w:t>
            </w:r>
          </w:p>
        </w:tc>
        <w:tc>
          <w:tcPr>
            <w:tcW w:type="dxa" w:w="2693"/>
            <w:vAlign w:val="center"/>
            <w:tcMar>
              <w:top w:w="75" w:type="dxa"/>
              <w:bottom w:w="75" w:type="dxa"/>
              <w:left w:w="85" w:type="dxa"/>
              <w:right w:w="85" w:type="dxa"/>
            </w:tcMar>
          </w:tcPr>
          <w:p>
            <w:pPr>
              <w:spacing w:after="0" w:line="250" w:lineRule="auto"/>
            </w:pPr>
            <w:r>
              <w:rPr>
                <w:sz w:val="18"/>
              </w:rPr>
              <w:t>Launch and early validation; proposed 12-month programme.</w:t>
            </w:r>
          </w:p>
        </w:tc>
        <w:tc>
          <w:tcPr>
            <w:tcW w:type="dxa" w:w="2794"/>
            <w:vAlign w:val="center"/>
            <w:tcMar>
              <w:top w:w="75" w:type="dxa"/>
              <w:bottom w:w="75" w:type="dxa"/>
              <w:left w:w="85" w:type="dxa"/>
              <w:right w:w="85" w:type="dxa"/>
            </w:tcMar>
          </w:tcPr>
          <w:p>
            <w:pPr>
              <w:spacing w:after="0" w:line="250" w:lineRule="auto"/>
            </w:pPr>
            <w:r>
              <w:rPr>
                <w:sz w:val="18"/>
              </w:rPr>
              <w:t>A small delivery capacity, better food and exercise content, modest channel tests, core governance and initial B2B pilots.</w:t>
            </w:r>
          </w:p>
        </w:tc>
        <w:tc>
          <w:tcPr>
            <w:tcW w:type="dxa" w:w="2805"/>
            <w:vAlign w:val="center"/>
            <w:tcMar>
              <w:top w:w="75" w:type="dxa"/>
              <w:bottom w:w="75" w:type="dxa"/>
              <w:left w:w="85" w:type="dxa"/>
              <w:right w:w="85" w:type="dxa"/>
            </w:tcMar>
          </w:tcPr>
          <w:p>
            <w:pPr>
              <w:spacing w:after="0" w:line="250" w:lineRule="auto"/>
            </w:pPr>
            <w:r>
              <w:rPr>
                <w:sz w:val="18"/>
              </w:rPr>
              <w:t>Simultaneous entry into several countries, a large media campaign, medical-device certification or proven profitability.</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€2M</w:t>
            </w:r>
          </w:p>
        </w:tc>
        <w:tc>
          <w:tcPr>
            <w:tcW w:type="dxa" w:w="2693"/>
            <w:vAlign w:val="center"/>
            <w:tcMar>
              <w:top w:w="75" w:type="dxa"/>
              <w:bottom w:w="75" w:type="dxa"/>
              <w:left w:w="85" w:type="dxa"/>
              <w:right w:w="85" w:type="dxa"/>
            </w:tcMar>
            <w:shd w:fill="F8F1E9"/>
          </w:tcPr>
          <w:p>
            <w:pPr>
              <w:spacing w:after="0" w:line="250" w:lineRule="auto"/>
            </w:pPr>
            <w:r>
              <w:rPr>
                <w:sz w:val="18"/>
              </w:rPr>
              <w:t>Spain execution and repeatability; proposed 24-month programme.</w:t>
            </w:r>
          </w:p>
        </w:tc>
        <w:tc>
          <w:tcPr>
            <w:tcW w:type="dxa" w:w="2794"/>
            <w:vAlign w:val="center"/>
            <w:tcMar>
              <w:top w:w="75" w:type="dxa"/>
              <w:bottom w:w="75" w:type="dxa"/>
              <w:left w:w="85" w:type="dxa"/>
              <w:right w:w="85" w:type="dxa"/>
            </w:tcMar>
            <w:shd w:fill="F8F1E9"/>
          </w:tcPr>
          <w:p>
            <w:pPr>
              <w:spacing w:after="0" w:line="250" w:lineRule="auto"/>
            </w:pPr>
            <w:r>
              <w:rPr>
                <w:sz w:val="18"/>
              </w:rPr>
              <w:t>Product reliability, professional content production, channel development, controlled marketing, evaluation and bounded pregnancy work.</w:t>
            </w:r>
          </w:p>
        </w:tc>
        <w:tc>
          <w:tcPr>
            <w:tcW w:type="dxa" w:w="2805"/>
            <w:vAlign w:val="center"/>
            <w:tcMar>
              <w:top w:w="75" w:type="dxa"/>
              <w:bottom w:w="75" w:type="dxa"/>
              <w:left w:w="85" w:type="dxa"/>
              <w:right w:w="85" w:type="dxa"/>
            </w:tcMar>
            <w:shd w:fill="F8F1E9"/>
          </w:tcPr>
          <w:p>
            <w:pPr>
              <w:spacing w:after="0" w:line="250" w:lineRule="auto"/>
            </w:pPr>
            <w:r>
              <w:rPr>
                <w:sz w:val="18"/>
              </w:rPr>
              <w:t>Guaranteed national market share, automatic government funding or unconstrained international rollout.</w:t>
            </w:r>
          </w:p>
        </w:tc>
      </w:tr>
      <w:tr>
        <w:trPr>
          <w:cantSplit/>
        </w:trPr>
        <w:tc>
          <w:tcPr>
            <w:tcW w:type="dxa" w:w="1656"/>
            <w:vAlign w:val="center"/>
            <w:tcMar>
              <w:top w:w="75" w:type="dxa"/>
              <w:bottom w:w="75" w:type="dxa"/>
              <w:left w:w="85" w:type="dxa"/>
              <w:right w:w="85" w:type="dxa"/>
            </w:tcMar>
          </w:tcPr>
          <w:p>
            <w:pPr>
              <w:spacing w:after="0" w:line="250" w:lineRule="auto"/>
            </w:pPr>
            <w:r>
              <w:rPr>
                <w:sz w:val="18"/>
              </w:rPr>
              <w:t>€5M</w:t>
            </w:r>
          </w:p>
        </w:tc>
        <w:tc>
          <w:tcPr>
            <w:tcW w:type="dxa" w:w="2693"/>
            <w:vAlign w:val="center"/>
            <w:tcMar>
              <w:top w:w="75" w:type="dxa"/>
              <w:bottom w:w="75" w:type="dxa"/>
              <w:left w:w="85" w:type="dxa"/>
              <w:right w:w="85" w:type="dxa"/>
            </w:tcMar>
          </w:tcPr>
          <w:p>
            <w:pPr>
              <w:spacing w:after="0" w:line="250" w:lineRule="auto"/>
            </w:pPr>
            <w:r>
              <w:rPr>
                <w:sz w:val="18"/>
              </w:rPr>
              <w:t>Parallel capability development and selective expansion; proposed 24-month programme.</w:t>
            </w:r>
          </w:p>
        </w:tc>
        <w:tc>
          <w:tcPr>
            <w:tcW w:type="dxa" w:w="2794"/>
            <w:vAlign w:val="center"/>
            <w:tcMar>
              <w:top w:w="75" w:type="dxa"/>
              <w:bottom w:w="75" w:type="dxa"/>
              <w:left w:w="85" w:type="dxa"/>
              <w:right w:w="85" w:type="dxa"/>
            </w:tcMar>
          </w:tcPr>
          <w:p>
            <w:pPr>
              <w:spacing w:after="0" w:line="250" w:lineRule="auto"/>
            </w:pPr>
            <w:r>
              <w:rPr>
                <w:sz w:val="18"/>
              </w:rPr>
              <w:t>Larger content and commercial capacity, stronger evaluation, pregnancy development and readiness/pilots for selected international opportunities.</w:t>
            </w:r>
          </w:p>
        </w:tc>
        <w:tc>
          <w:tcPr>
            <w:tcW w:type="dxa" w:w="2805"/>
            <w:vAlign w:val="center"/>
            <w:tcMar>
              <w:top w:w="75" w:type="dxa"/>
              <w:bottom w:w="75" w:type="dxa"/>
              <w:left w:w="85" w:type="dxa"/>
              <w:right w:w="85" w:type="dxa"/>
            </w:tcMar>
          </w:tcPr>
          <w:p>
            <w:pPr>
              <w:spacing w:after="0" w:line="250" w:lineRule="auto"/>
            </w:pPr>
            <w:r>
              <w:rPr>
                <w:sz w:val="18"/>
              </w:rPr>
              <w:t>A commitment to launch in every candidate country, own hardware, or bypass regulatory and commercial gates.</w:t>
            </w:r>
          </w:p>
        </w:tc>
      </w:tr>
    </w:tbl>
    <w:p>
      <w:pPr>
        <w:spacing w:after="20" w:before="0" w:line="72" w:lineRule="auto"/>
      </w:pPr>
      <w:r>
        <w:rPr>
          <w:sz w:val="4"/>
        </w:rPr>
      </w:r>
    </w:p>
    <w:p>
      <w:r>
        <w:rPr/>
        <w:t>The €2M and €5M cases are separate operating designs within the upper range—not interchangeable numbers. The €250K and €350K endpoints also have distinct expenditure envelopes.</w:t>
      </w:r>
    </w:p>
    <w:p>
      <w:r>
        <w:rPr/>
        <w:t xml:space="preserve">These are </w:t>
      </w:r>
      <w:r>
        <w:rPr>
          <w:b/>
        </w:rPr>
        <w:t>alternative prospective funding envelopes from a defined planning start</w:t>
      </w:r>
      <w:r>
        <w:rPr/>
        <w:t>, not amounts to add together automatically. Prior expenditure is sunk cost; remaining work must be reconciled once a financing path is selected. A bridge that converts into equity affects the cap table and must not also be counted as fresh cash received in the larger round. The earlier verbal “around €30K” figure should be described as an initial operating estimate superseded by a scoped €15–25K bridge, subject to reconciliation of actual commitments. [S11]</w:t>
      </w:r>
    </w:p>
    <w:p>
      <w:bookmarkStart w:id="5" w:name="section_5"/>
      <w:pPr>
        <w:pStyle w:val="Heading1"/>
      </w:pPr>
      <w:r>
        <w:rPr/>
        <w:t>5. Proposed use of funds</w:t>
      </w:r>
      <w:bookmarkEnd w:id="5"/>
    </w:p>
    <w:p>
      <w:r>
        <w:rPr>
          <w:b/>
        </w:rPr>
        <w:t>Amounts below are €000.</w:t>
      </w:r>
      <w:r>
        <w:rPr/>
        <w:t xml:space="preserve"> Each column is an all-in planning allocation before customer receipts. Personnel and contractors sit in their functional lines; they must not be added again as a separate team total. These are management estimates requiring quotations, hiring dates and a monthly cash schedule.</w:t>
      </w:r>
    </w:p>
    <w:tbl>
      <w:tblPr>
        <w:tblW w:type="auto" w:w="0"/>
        <w:jc w:val="center"/>
        <w:tblLayout w:type="fixed"/>
        <w:tblLook w:firstColumn="1" w:firstRow="1" w:lastColumn="0" w:lastRow="0" w:noHBand="0" w:noVBand="1" w:val="04A0"/>
      </w:tblPr>
      <w:tblGrid>
        <w:gridCol w:w="3341"/>
        <w:gridCol w:w="1101"/>
        <w:gridCol w:w="1101"/>
        <w:gridCol w:w="1101"/>
        <w:gridCol w:w="1101"/>
        <w:gridCol w:w="1101"/>
        <w:gridCol w:w="1101"/>
      </w:tblGrid>
      <w:tr>
        <w:trPr>
          <w:cantSplit/>
          <w:tblHeader/>
        </w:trPr>
        <w:tc>
          <w:tcPr>
            <w:tcW w:type="dxa" w:w="3341"/>
            <w:vAlign w:val="center"/>
            <w:tcMar>
              <w:top w:w="75" w:type="dxa"/>
              <w:bottom w:w="75" w:type="dxa"/>
              <w:left w:w="85" w:type="dxa"/>
              <w:right w:w="85" w:type="dxa"/>
            </w:tcMar>
            <w:shd w:fill="282220"/>
          </w:tcPr>
          <w:p>
            <w:pPr>
              <w:spacing w:after="0" w:line="250" w:lineRule="auto"/>
            </w:pPr>
            <w:r>
              <w:rPr>
                <w:b/>
                <w:color w:val="FFFFFF"/>
                <w:sz w:val="16"/>
              </w:rPr>
              <w:t>Cost category</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15K</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25K</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250K</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350K</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2M</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5M</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Product engineering and design</w:t>
            </w:r>
          </w:p>
        </w:tc>
        <w:tc>
          <w:tcPr>
            <w:tcW w:type="dxa" w:w="1101"/>
            <w:vAlign w:val="center"/>
            <w:tcMar>
              <w:top w:w="75" w:type="dxa"/>
              <w:bottom w:w="75" w:type="dxa"/>
              <w:left w:w="85" w:type="dxa"/>
              <w:right w:w="85" w:type="dxa"/>
            </w:tcMar>
            <w:shd w:fill="F8F1E9"/>
          </w:tcPr>
          <w:p>
            <w:pPr>
              <w:spacing w:after="0" w:line="250" w:lineRule="auto"/>
              <w:jc w:val="right"/>
            </w:pPr>
            <w:r>
              <w:rPr>
                <w:sz w:val="16"/>
              </w:rPr>
              <w:t>3.0</w:t>
            </w:r>
          </w:p>
        </w:tc>
        <w:tc>
          <w:tcPr>
            <w:tcW w:type="dxa" w:w="1101"/>
            <w:vAlign w:val="center"/>
            <w:tcMar>
              <w:top w:w="75" w:type="dxa"/>
              <w:bottom w:w="75" w:type="dxa"/>
              <w:left w:w="85" w:type="dxa"/>
              <w:right w:w="85" w:type="dxa"/>
            </w:tcMar>
            <w:shd w:fill="F8F1E9"/>
          </w:tcPr>
          <w:p>
            <w:pPr>
              <w:spacing w:after="0" w:line="250" w:lineRule="auto"/>
              <w:jc w:val="right"/>
            </w:pPr>
            <w:r>
              <w:rPr>
                <w:sz w:val="16"/>
              </w:rPr>
              <w:t>5.0</w:t>
            </w:r>
          </w:p>
        </w:tc>
        <w:tc>
          <w:tcPr>
            <w:tcW w:type="dxa" w:w="1101"/>
            <w:vAlign w:val="center"/>
            <w:tcMar>
              <w:top w:w="75" w:type="dxa"/>
              <w:bottom w:w="75" w:type="dxa"/>
              <w:left w:w="85" w:type="dxa"/>
              <w:right w:w="85" w:type="dxa"/>
            </w:tcMar>
            <w:shd w:fill="F8F1E9"/>
          </w:tcPr>
          <w:p>
            <w:pPr>
              <w:spacing w:after="0" w:line="250" w:lineRule="auto"/>
              <w:jc w:val="right"/>
            </w:pPr>
            <w:r>
              <w:rPr>
                <w:sz w:val="16"/>
              </w:rPr>
              <w:t>80</w:t>
            </w:r>
          </w:p>
        </w:tc>
        <w:tc>
          <w:tcPr>
            <w:tcW w:type="dxa" w:w="1101"/>
            <w:vAlign w:val="center"/>
            <w:tcMar>
              <w:top w:w="75" w:type="dxa"/>
              <w:bottom w:w="75" w:type="dxa"/>
              <w:left w:w="85" w:type="dxa"/>
              <w:right w:w="85" w:type="dxa"/>
            </w:tcMar>
            <w:shd w:fill="F8F1E9"/>
          </w:tcPr>
          <w:p>
            <w:pPr>
              <w:spacing w:after="0" w:line="250" w:lineRule="auto"/>
              <w:jc w:val="right"/>
            </w:pPr>
            <w:r>
              <w:rPr>
                <w:sz w:val="16"/>
              </w:rPr>
              <w:t>105</w:t>
            </w:r>
          </w:p>
        </w:tc>
        <w:tc>
          <w:tcPr>
            <w:tcW w:type="dxa" w:w="1101"/>
            <w:vAlign w:val="center"/>
            <w:tcMar>
              <w:top w:w="75" w:type="dxa"/>
              <w:bottom w:w="75" w:type="dxa"/>
              <w:left w:w="85" w:type="dxa"/>
              <w:right w:w="85" w:type="dxa"/>
            </w:tcMar>
            <w:shd w:fill="F8F1E9"/>
          </w:tcPr>
          <w:p>
            <w:pPr>
              <w:spacing w:after="0" w:line="250" w:lineRule="auto"/>
              <w:jc w:val="right"/>
            </w:pPr>
            <w:r>
              <w:rPr>
                <w:sz w:val="16"/>
              </w:rPr>
              <w:t>420</w:t>
            </w:r>
          </w:p>
        </w:tc>
        <w:tc>
          <w:tcPr>
            <w:tcW w:type="dxa" w:w="1101"/>
            <w:vAlign w:val="center"/>
            <w:tcMar>
              <w:top w:w="75" w:type="dxa"/>
              <w:bottom w:w="75" w:type="dxa"/>
              <w:left w:w="85" w:type="dxa"/>
              <w:right w:w="85" w:type="dxa"/>
            </w:tcMar>
            <w:shd w:fill="F8F1E9"/>
          </w:tcPr>
          <w:p>
            <w:pPr>
              <w:spacing w:after="0" w:line="250" w:lineRule="auto"/>
              <w:jc w:val="right"/>
            </w:pPr>
            <w:r>
              <w:rPr>
                <w:sz w:val="16"/>
              </w:rPr>
              <w:t>900</w:t>
            </w:r>
          </w:p>
        </w:tc>
      </w:tr>
      <w:tr>
        <w:trPr>
          <w:cantSplit/>
        </w:trPr>
        <w:tc>
          <w:tcPr>
            <w:tcW w:type="dxa" w:w="3341"/>
            <w:vAlign w:val="center"/>
            <w:tcMar>
              <w:top w:w="75" w:type="dxa"/>
              <w:bottom w:w="75" w:type="dxa"/>
              <w:left w:w="85" w:type="dxa"/>
              <w:right w:w="85" w:type="dxa"/>
            </w:tcMar>
          </w:tcPr>
          <w:p>
            <w:pPr>
              <w:spacing w:after="0" w:line="250" w:lineRule="auto"/>
            </w:pPr>
            <w:r>
              <w:rPr>
                <w:sz w:val="16"/>
              </w:rPr>
              <w:t>Cloud, AI usage and platform operations</w:t>
            </w:r>
          </w:p>
        </w:tc>
        <w:tc>
          <w:tcPr>
            <w:tcW w:type="dxa" w:w="1101"/>
            <w:vAlign w:val="center"/>
            <w:tcMar>
              <w:top w:w="75" w:type="dxa"/>
              <w:bottom w:w="75" w:type="dxa"/>
              <w:left w:w="85" w:type="dxa"/>
              <w:right w:w="85" w:type="dxa"/>
            </w:tcMar>
          </w:tcPr>
          <w:p>
            <w:pPr>
              <w:spacing w:after="0" w:line="250" w:lineRule="auto"/>
              <w:jc w:val="right"/>
            </w:pPr>
            <w:r>
              <w:rPr>
                <w:sz w:val="16"/>
              </w:rPr>
              <w:t>1.0</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10</w:t>
            </w:r>
          </w:p>
        </w:tc>
        <w:tc>
          <w:tcPr>
            <w:tcW w:type="dxa" w:w="1101"/>
            <w:vAlign w:val="center"/>
            <w:tcMar>
              <w:top w:w="75" w:type="dxa"/>
              <w:bottom w:w="75" w:type="dxa"/>
              <w:left w:w="85" w:type="dxa"/>
              <w:right w:w="85" w:type="dxa"/>
            </w:tcMar>
          </w:tcPr>
          <w:p>
            <w:pPr>
              <w:spacing w:after="0" w:line="250" w:lineRule="auto"/>
              <w:jc w:val="right"/>
            </w:pPr>
            <w:r>
              <w:rPr>
                <w:sz w:val="16"/>
              </w:rPr>
              <w:t>15</w:t>
            </w:r>
          </w:p>
        </w:tc>
        <w:tc>
          <w:tcPr>
            <w:tcW w:type="dxa" w:w="1101"/>
            <w:vAlign w:val="center"/>
            <w:tcMar>
              <w:top w:w="75" w:type="dxa"/>
              <w:bottom w:w="75" w:type="dxa"/>
              <w:left w:w="85" w:type="dxa"/>
              <w:right w:w="85" w:type="dxa"/>
            </w:tcMar>
          </w:tcPr>
          <w:p>
            <w:pPr>
              <w:spacing w:after="0" w:line="250" w:lineRule="auto"/>
              <w:jc w:val="right"/>
            </w:pPr>
            <w:r>
              <w:rPr>
                <w:sz w:val="16"/>
              </w:rPr>
              <w:t>100</w:t>
            </w:r>
          </w:p>
        </w:tc>
        <w:tc>
          <w:tcPr>
            <w:tcW w:type="dxa" w:w="1101"/>
            <w:vAlign w:val="center"/>
            <w:tcMar>
              <w:top w:w="75" w:type="dxa"/>
              <w:bottom w:w="75" w:type="dxa"/>
              <w:left w:w="85" w:type="dxa"/>
              <w:right w:w="85" w:type="dxa"/>
            </w:tcMar>
          </w:tcPr>
          <w:p>
            <w:pPr>
              <w:spacing w:after="0" w:line="250" w:lineRule="auto"/>
              <w:jc w:val="right"/>
            </w:pPr>
            <w:r>
              <w:rPr>
                <w:sz w:val="16"/>
              </w:rPr>
              <w:t>250</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Expert content: food, exercise and recovery</w:t>
            </w:r>
          </w:p>
        </w:tc>
        <w:tc>
          <w:tcPr>
            <w:tcW w:type="dxa" w:w="1101"/>
            <w:vAlign w:val="center"/>
            <w:tcMar>
              <w:top w:w="75" w:type="dxa"/>
              <w:bottom w:w="75" w:type="dxa"/>
              <w:left w:w="85" w:type="dxa"/>
              <w:right w:w="85" w:type="dxa"/>
            </w:tcMar>
            <w:shd w:fill="F8F1E9"/>
          </w:tcPr>
          <w:p>
            <w:pPr>
              <w:spacing w:after="0" w:line="250" w:lineRule="auto"/>
              <w:jc w:val="right"/>
            </w:pPr>
            <w:r>
              <w:rPr>
                <w:sz w:val="16"/>
              </w:rPr>
              <w:t>2.0</w:t>
            </w:r>
          </w:p>
        </w:tc>
        <w:tc>
          <w:tcPr>
            <w:tcW w:type="dxa" w:w="1101"/>
            <w:vAlign w:val="center"/>
            <w:tcMar>
              <w:top w:w="75" w:type="dxa"/>
              <w:bottom w:w="75" w:type="dxa"/>
              <w:left w:w="85" w:type="dxa"/>
              <w:right w:w="85" w:type="dxa"/>
            </w:tcMar>
            <w:shd w:fill="F8F1E9"/>
          </w:tcPr>
          <w:p>
            <w:pPr>
              <w:spacing w:after="0" w:line="250" w:lineRule="auto"/>
              <w:jc w:val="right"/>
            </w:pPr>
            <w:r>
              <w:rPr>
                <w:sz w:val="16"/>
              </w:rPr>
              <w:t>3.0</w:t>
            </w:r>
          </w:p>
        </w:tc>
        <w:tc>
          <w:tcPr>
            <w:tcW w:type="dxa" w:w="1101"/>
            <w:vAlign w:val="center"/>
            <w:tcMar>
              <w:top w:w="75" w:type="dxa"/>
              <w:bottom w:w="75" w:type="dxa"/>
              <w:left w:w="85" w:type="dxa"/>
              <w:right w:w="85" w:type="dxa"/>
            </w:tcMar>
            <w:shd w:fill="F8F1E9"/>
          </w:tcPr>
          <w:p>
            <w:pPr>
              <w:spacing w:after="0" w:line="250" w:lineRule="auto"/>
              <w:jc w:val="right"/>
            </w:pPr>
            <w:r>
              <w:rPr>
                <w:sz w:val="16"/>
              </w:rPr>
              <w:t>25</w:t>
            </w:r>
          </w:p>
        </w:tc>
        <w:tc>
          <w:tcPr>
            <w:tcW w:type="dxa" w:w="1101"/>
            <w:vAlign w:val="center"/>
            <w:tcMar>
              <w:top w:w="75" w:type="dxa"/>
              <w:bottom w:w="75" w:type="dxa"/>
              <w:left w:w="85" w:type="dxa"/>
              <w:right w:w="85" w:type="dxa"/>
            </w:tcMar>
            <w:shd w:fill="F8F1E9"/>
          </w:tcPr>
          <w:p>
            <w:pPr>
              <w:spacing w:after="0" w:line="250" w:lineRule="auto"/>
              <w:jc w:val="right"/>
            </w:pPr>
            <w:r>
              <w:rPr>
                <w:sz w:val="16"/>
              </w:rPr>
              <w:t>40</w:t>
            </w:r>
          </w:p>
        </w:tc>
        <w:tc>
          <w:tcPr>
            <w:tcW w:type="dxa" w:w="1101"/>
            <w:vAlign w:val="center"/>
            <w:tcMar>
              <w:top w:w="75" w:type="dxa"/>
              <w:bottom w:w="75" w:type="dxa"/>
              <w:left w:w="85" w:type="dxa"/>
              <w:right w:w="85" w:type="dxa"/>
            </w:tcMar>
            <w:shd w:fill="F8F1E9"/>
          </w:tcPr>
          <w:p>
            <w:pPr>
              <w:spacing w:after="0" w:line="250" w:lineRule="auto"/>
              <w:jc w:val="right"/>
            </w:pPr>
            <w:r>
              <w:rPr>
                <w:sz w:val="16"/>
              </w:rPr>
              <w:t>240</w:t>
            </w:r>
          </w:p>
        </w:tc>
        <w:tc>
          <w:tcPr>
            <w:tcW w:type="dxa" w:w="1101"/>
            <w:vAlign w:val="center"/>
            <w:tcMar>
              <w:top w:w="75" w:type="dxa"/>
              <w:bottom w:w="75" w:type="dxa"/>
              <w:left w:w="85" w:type="dxa"/>
              <w:right w:w="85" w:type="dxa"/>
            </w:tcMar>
            <w:shd w:fill="F8F1E9"/>
          </w:tcPr>
          <w:p>
            <w:pPr>
              <w:spacing w:after="0" w:line="250" w:lineRule="auto"/>
              <w:jc w:val="right"/>
            </w:pPr>
            <w:r>
              <w:rPr>
                <w:sz w:val="16"/>
              </w:rPr>
              <w:t>600</w:t>
            </w:r>
          </w:p>
        </w:tc>
      </w:tr>
      <w:tr>
        <w:trPr>
          <w:cantSplit/>
        </w:trPr>
        <w:tc>
          <w:tcPr>
            <w:tcW w:type="dxa" w:w="3341"/>
            <w:vAlign w:val="center"/>
            <w:tcMar>
              <w:top w:w="75" w:type="dxa"/>
              <w:bottom w:w="75" w:type="dxa"/>
              <w:left w:w="85" w:type="dxa"/>
              <w:right w:w="85" w:type="dxa"/>
            </w:tcMar>
          </w:tcPr>
          <w:p>
            <w:pPr>
              <w:spacing w:after="0" w:line="250" w:lineRule="auto"/>
            </w:pPr>
            <w:r>
              <w:rPr>
                <w:sz w:val="16"/>
              </w:rPr>
              <w:t>Clinical safety, evaluation and pregnancy</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3.0</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30</w:t>
            </w:r>
          </w:p>
        </w:tc>
        <w:tc>
          <w:tcPr>
            <w:tcW w:type="dxa" w:w="1101"/>
            <w:vAlign w:val="center"/>
            <w:tcMar>
              <w:top w:w="75" w:type="dxa"/>
              <w:bottom w:w="75" w:type="dxa"/>
              <w:left w:w="85" w:type="dxa"/>
              <w:right w:w="85" w:type="dxa"/>
            </w:tcMar>
          </w:tcPr>
          <w:p>
            <w:pPr>
              <w:spacing w:after="0" w:line="250" w:lineRule="auto"/>
              <w:jc w:val="right"/>
            </w:pPr>
            <w:r>
              <w:rPr>
                <w:sz w:val="16"/>
              </w:rPr>
              <w:t>180</w:t>
            </w:r>
          </w:p>
        </w:tc>
        <w:tc>
          <w:tcPr>
            <w:tcW w:type="dxa" w:w="1101"/>
            <w:vAlign w:val="center"/>
            <w:tcMar>
              <w:top w:w="75" w:type="dxa"/>
              <w:bottom w:w="75" w:type="dxa"/>
              <w:left w:w="85" w:type="dxa"/>
              <w:right w:w="85" w:type="dxa"/>
            </w:tcMar>
          </w:tcPr>
          <w:p>
            <w:pPr>
              <w:spacing w:after="0" w:line="250" w:lineRule="auto"/>
              <w:jc w:val="right"/>
            </w:pPr>
            <w:r>
              <w:rPr>
                <w:sz w:val="16"/>
              </w:rPr>
              <w:t>500</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Marketing, media and activations</w:t>
            </w:r>
          </w:p>
        </w:tc>
        <w:tc>
          <w:tcPr>
            <w:tcW w:type="dxa" w:w="1101"/>
            <w:vAlign w:val="center"/>
            <w:tcMar>
              <w:top w:w="75" w:type="dxa"/>
              <w:bottom w:w="75" w:type="dxa"/>
              <w:left w:w="85" w:type="dxa"/>
              <w:right w:w="85" w:type="dxa"/>
            </w:tcMar>
            <w:shd w:fill="F8F1E9"/>
          </w:tcPr>
          <w:p>
            <w:pPr>
              <w:spacing w:after="0" w:line="250" w:lineRule="auto"/>
              <w:jc w:val="right"/>
            </w:pPr>
            <w:r>
              <w:rPr>
                <w:sz w:val="16"/>
              </w:rPr>
              <w:t>1.0</w:t>
            </w:r>
          </w:p>
        </w:tc>
        <w:tc>
          <w:tcPr>
            <w:tcW w:type="dxa" w:w="1101"/>
            <w:vAlign w:val="center"/>
            <w:tcMar>
              <w:top w:w="75" w:type="dxa"/>
              <w:bottom w:w="75" w:type="dxa"/>
              <w:left w:w="85" w:type="dxa"/>
              <w:right w:w="85" w:type="dxa"/>
            </w:tcMar>
            <w:shd w:fill="F8F1E9"/>
          </w:tcPr>
          <w:p>
            <w:pPr>
              <w:spacing w:after="0" w:line="250" w:lineRule="auto"/>
              <w:jc w:val="right"/>
            </w:pPr>
            <w:r>
              <w:rPr>
                <w:sz w:val="16"/>
              </w:rPr>
              <w:t>2.0</w:t>
            </w:r>
          </w:p>
        </w:tc>
        <w:tc>
          <w:tcPr>
            <w:tcW w:type="dxa" w:w="1101"/>
            <w:vAlign w:val="center"/>
            <w:tcMar>
              <w:top w:w="75" w:type="dxa"/>
              <w:bottom w:w="75" w:type="dxa"/>
              <w:left w:w="85" w:type="dxa"/>
              <w:right w:w="85" w:type="dxa"/>
            </w:tcMar>
            <w:shd w:fill="F8F1E9"/>
          </w:tcPr>
          <w:p>
            <w:pPr>
              <w:spacing w:after="0" w:line="250" w:lineRule="auto"/>
              <w:jc w:val="right"/>
            </w:pPr>
            <w:r>
              <w:rPr>
                <w:sz w:val="16"/>
              </w:rPr>
              <w:t>35</w:t>
            </w:r>
          </w:p>
        </w:tc>
        <w:tc>
          <w:tcPr>
            <w:tcW w:type="dxa" w:w="1101"/>
            <w:vAlign w:val="center"/>
            <w:tcMar>
              <w:top w:w="75" w:type="dxa"/>
              <w:bottom w:w="75" w:type="dxa"/>
              <w:left w:w="85" w:type="dxa"/>
              <w:right w:w="85" w:type="dxa"/>
            </w:tcMar>
            <w:shd w:fill="F8F1E9"/>
          </w:tcPr>
          <w:p>
            <w:pPr>
              <w:spacing w:after="0" w:line="250" w:lineRule="auto"/>
              <w:jc w:val="right"/>
            </w:pPr>
            <w:r>
              <w:rPr>
                <w:sz w:val="16"/>
              </w:rPr>
              <w:t>55</w:t>
            </w:r>
          </w:p>
        </w:tc>
        <w:tc>
          <w:tcPr>
            <w:tcW w:type="dxa" w:w="1101"/>
            <w:vAlign w:val="center"/>
            <w:tcMar>
              <w:top w:w="75" w:type="dxa"/>
              <w:bottom w:w="75" w:type="dxa"/>
              <w:left w:w="85" w:type="dxa"/>
              <w:right w:w="85" w:type="dxa"/>
            </w:tcMar>
            <w:shd w:fill="F8F1E9"/>
          </w:tcPr>
          <w:p>
            <w:pPr>
              <w:spacing w:after="0" w:line="250" w:lineRule="auto"/>
              <w:jc w:val="right"/>
            </w:pPr>
            <w:r>
              <w:rPr>
                <w:sz w:val="16"/>
              </w:rPr>
              <w:t>450</w:t>
            </w:r>
          </w:p>
        </w:tc>
        <w:tc>
          <w:tcPr>
            <w:tcW w:type="dxa" w:w="1101"/>
            <w:vAlign w:val="center"/>
            <w:tcMar>
              <w:top w:w="75" w:type="dxa"/>
              <w:bottom w:w="75" w:type="dxa"/>
              <w:left w:w="85" w:type="dxa"/>
              <w:right w:w="85" w:type="dxa"/>
            </w:tcMar>
            <w:shd w:fill="F8F1E9"/>
          </w:tcPr>
          <w:p>
            <w:pPr>
              <w:spacing w:after="0" w:line="250" w:lineRule="auto"/>
              <w:jc w:val="right"/>
            </w:pPr>
            <w:r>
              <w:rPr>
                <w:sz w:val="16"/>
              </w:rPr>
              <w:t>1,450</w:t>
            </w:r>
          </w:p>
        </w:tc>
      </w:tr>
      <w:tr>
        <w:trPr>
          <w:cantSplit/>
        </w:trPr>
        <w:tc>
          <w:tcPr>
            <w:tcW w:type="dxa" w:w="3341"/>
            <w:vAlign w:val="center"/>
            <w:tcMar>
              <w:top w:w="75" w:type="dxa"/>
              <w:bottom w:w="75" w:type="dxa"/>
              <w:left w:w="85" w:type="dxa"/>
              <w:right w:w="85" w:type="dxa"/>
            </w:tcMar>
          </w:tcPr>
          <w:p>
            <w:pPr>
              <w:spacing w:after="0" w:line="250" w:lineRule="auto"/>
            </w:pPr>
            <w:r>
              <w:rPr>
                <w:sz w:val="16"/>
              </w:rPr>
              <w:t>Distribution and partnership delivery</w:t>
            </w:r>
          </w:p>
        </w:tc>
        <w:tc>
          <w:tcPr>
            <w:tcW w:type="dxa" w:w="1101"/>
            <w:vAlign w:val="center"/>
            <w:tcMar>
              <w:top w:w="75" w:type="dxa"/>
              <w:bottom w:w="75" w:type="dxa"/>
              <w:left w:w="85" w:type="dxa"/>
              <w:right w:w="85" w:type="dxa"/>
            </w:tcMar>
          </w:tcPr>
          <w:p>
            <w:pPr>
              <w:spacing w:after="0" w:line="250" w:lineRule="auto"/>
              <w:jc w:val="right"/>
            </w:pPr>
            <w:r>
              <w:rPr>
                <w:sz w:val="16"/>
              </w:rPr>
              <w:t>0.5</w:t>
            </w:r>
          </w:p>
        </w:tc>
        <w:tc>
          <w:tcPr>
            <w:tcW w:type="dxa" w:w="1101"/>
            <w:vAlign w:val="center"/>
            <w:tcMar>
              <w:top w:w="75" w:type="dxa"/>
              <w:bottom w:w="75" w:type="dxa"/>
              <w:left w:w="85" w:type="dxa"/>
              <w:right w:w="85" w:type="dxa"/>
            </w:tcMar>
          </w:tcPr>
          <w:p>
            <w:pPr>
              <w:spacing w:after="0" w:line="250" w:lineRule="auto"/>
              <w:jc w:val="right"/>
            </w:pPr>
            <w:r>
              <w:rPr>
                <w:sz w:val="16"/>
              </w:rPr>
              <w:t>1.0</w:t>
            </w:r>
          </w:p>
        </w:tc>
        <w:tc>
          <w:tcPr>
            <w:tcW w:type="dxa" w:w="1101"/>
            <w:vAlign w:val="center"/>
            <w:tcMar>
              <w:top w:w="75" w:type="dxa"/>
              <w:bottom w:w="75" w:type="dxa"/>
              <w:left w:w="85" w:type="dxa"/>
              <w:right w:w="85" w:type="dxa"/>
            </w:tcMar>
          </w:tcPr>
          <w:p>
            <w:pPr>
              <w:spacing w:after="0" w:line="250" w:lineRule="auto"/>
              <w:jc w:val="right"/>
            </w:pPr>
            <w:r>
              <w:rPr>
                <w:sz w:val="16"/>
              </w:rPr>
              <w:t>15</w:t>
            </w:r>
          </w:p>
        </w:tc>
        <w:tc>
          <w:tcPr>
            <w:tcW w:type="dxa" w:w="1101"/>
            <w:vAlign w:val="center"/>
            <w:tcMar>
              <w:top w:w="75" w:type="dxa"/>
              <w:bottom w:w="75" w:type="dxa"/>
              <w:left w:w="85" w:type="dxa"/>
              <w:right w:w="85" w:type="dxa"/>
            </w:tcMar>
          </w:tcPr>
          <w:p>
            <w:pPr>
              <w:spacing w:after="0" w:line="250" w:lineRule="auto"/>
              <w:jc w:val="right"/>
            </w:pPr>
            <w:r>
              <w:rPr>
                <w:sz w:val="16"/>
              </w:rPr>
              <w:t>25</w:t>
            </w:r>
          </w:p>
        </w:tc>
        <w:tc>
          <w:tcPr>
            <w:tcW w:type="dxa" w:w="1101"/>
            <w:vAlign w:val="center"/>
            <w:tcMar>
              <w:top w:w="75" w:type="dxa"/>
              <w:bottom w:w="75" w:type="dxa"/>
              <w:left w:w="85" w:type="dxa"/>
              <w:right w:w="85" w:type="dxa"/>
            </w:tcMar>
          </w:tcPr>
          <w:p>
            <w:pPr>
              <w:spacing w:after="0" w:line="250" w:lineRule="auto"/>
              <w:jc w:val="right"/>
            </w:pPr>
            <w:r>
              <w:rPr>
                <w:sz w:val="16"/>
              </w:rPr>
              <w:t>200</w:t>
            </w:r>
          </w:p>
        </w:tc>
        <w:tc>
          <w:tcPr>
            <w:tcW w:type="dxa" w:w="1101"/>
            <w:vAlign w:val="center"/>
            <w:tcMar>
              <w:top w:w="75" w:type="dxa"/>
              <w:bottom w:w="75" w:type="dxa"/>
              <w:left w:w="85" w:type="dxa"/>
              <w:right w:w="85" w:type="dxa"/>
            </w:tcMar>
          </w:tcPr>
          <w:p>
            <w:pPr>
              <w:spacing w:after="0" w:line="250" w:lineRule="auto"/>
              <w:jc w:val="right"/>
            </w:pPr>
            <w:r>
              <w:rPr>
                <w:sz w:val="16"/>
              </w:rPr>
              <w:t>500</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Legal, compliance and international readiness</w:t>
            </w:r>
          </w:p>
        </w:tc>
        <w:tc>
          <w:tcPr>
            <w:tcW w:type="dxa" w:w="1101"/>
            <w:vAlign w:val="center"/>
            <w:tcMar>
              <w:top w:w="75" w:type="dxa"/>
              <w:bottom w:w="75" w:type="dxa"/>
              <w:left w:w="85" w:type="dxa"/>
              <w:right w:w="85" w:type="dxa"/>
            </w:tcMar>
            <w:shd w:fill="F8F1E9"/>
          </w:tcPr>
          <w:p>
            <w:pPr>
              <w:spacing w:after="0" w:line="250" w:lineRule="auto"/>
              <w:jc w:val="right"/>
            </w:pPr>
            <w:r>
              <w:rPr>
                <w:sz w:val="16"/>
              </w:rPr>
              <w:t>3.0</w:t>
            </w:r>
          </w:p>
        </w:tc>
        <w:tc>
          <w:tcPr>
            <w:tcW w:type="dxa" w:w="1101"/>
            <w:vAlign w:val="center"/>
            <w:tcMar>
              <w:top w:w="75" w:type="dxa"/>
              <w:bottom w:w="75" w:type="dxa"/>
              <w:left w:w="85" w:type="dxa"/>
              <w:right w:w="85" w:type="dxa"/>
            </w:tcMar>
            <w:shd w:fill="F8F1E9"/>
          </w:tcPr>
          <w:p>
            <w:pPr>
              <w:spacing w:after="0" w:line="250" w:lineRule="auto"/>
              <w:jc w:val="right"/>
            </w:pPr>
            <w:r>
              <w:rPr>
                <w:sz w:val="16"/>
              </w:rPr>
              <w:t>5.0</w:t>
            </w:r>
          </w:p>
        </w:tc>
        <w:tc>
          <w:tcPr>
            <w:tcW w:type="dxa" w:w="1101"/>
            <w:vAlign w:val="center"/>
            <w:tcMar>
              <w:top w:w="75" w:type="dxa"/>
              <w:bottom w:w="75" w:type="dxa"/>
              <w:left w:w="85" w:type="dxa"/>
              <w:right w:w="85" w:type="dxa"/>
            </w:tcMar>
            <w:shd w:fill="F8F1E9"/>
          </w:tcPr>
          <w:p>
            <w:pPr>
              <w:spacing w:after="0" w:line="250" w:lineRule="auto"/>
              <w:jc w:val="right"/>
            </w:pPr>
            <w:r>
              <w:rPr>
                <w:sz w:val="16"/>
              </w:rPr>
              <w:t>25</w:t>
            </w:r>
          </w:p>
        </w:tc>
        <w:tc>
          <w:tcPr>
            <w:tcW w:type="dxa" w:w="1101"/>
            <w:vAlign w:val="center"/>
            <w:tcMar>
              <w:top w:w="75" w:type="dxa"/>
              <w:bottom w:w="75" w:type="dxa"/>
              <w:left w:w="85" w:type="dxa"/>
              <w:right w:w="85" w:type="dxa"/>
            </w:tcMar>
            <w:shd w:fill="F8F1E9"/>
          </w:tcPr>
          <w:p>
            <w:pPr>
              <w:spacing w:after="0" w:line="250" w:lineRule="auto"/>
              <w:jc w:val="right"/>
            </w:pPr>
            <w:r>
              <w:rPr>
                <w:sz w:val="16"/>
              </w:rPr>
              <w:t>30</w:t>
            </w:r>
          </w:p>
        </w:tc>
        <w:tc>
          <w:tcPr>
            <w:tcW w:type="dxa" w:w="1101"/>
            <w:vAlign w:val="center"/>
            <w:tcMar>
              <w:top w:w="75" w:type="dxa"/>
              <w:bottom w:w="75" w:type="dxa"/>
              <w:left w:w="85" w:type="dxa"/>
              <w:right w:w="85" w:type="dxa"/>
            </w:tcMar>
            <w:shd w:fill="F8F1E9"/>
          </w:tcPr>
          <w:p>
            <w:pPr>
              <w:spacing w:after="0" w:line="250" w:lineRule="auto"/>
              <w:jc w:val="right"/>
            </w:pPr>
            <w:r>
              <w:rPr>
                <w:sz w:val="16"/>
              </w:rPr>
              <w:t>160</w:t>
            </w:r>
          </w:p>
        </w:tc>
        <w:tc>
          <w:tcPr>
            <w:tcW w:type="dxa" w:w="1101"/>
            <w:vAlign w:val="center"/>
            <w:tcMar>
              <w:top w:w="75" w:type="dxa"/>
              <w:bottom w:w="75" w:type="dxa"/>
              <w:left w:w="85" w:type="dxa"/>
              <w:right w:w="85" w:type="dxa"/>
            </w:tcMar>
            <w:shd w:fill="F8F1E9"/>
          </w:tcPr>
          <w:p>
            <w:pPr>
              <w:spacing w:after="0" w:line="250" w:lineRule="auto"/>
              <w:jc w:val="right"/>
            </w:pPr>
            <w:r>
              <w:rPr>
                <w:sz w:val="16"/>
              </w:rPr>
              <w:t>350</w:t>
            </w:r>
          </w:p>
        </w:tc>
      </w:tr>
      <w:tr>
        <w:trPr>
          <w:cantSplit/>
        </w:trPr>
        <w:tc>
          <w:tcPr>
            <w:tcW w:type="dxa" w:w="3341"/>
            <w:vAlign w:val="center"/>
            <w:tcMar>
              <w:top w:w="75" w:type="dxa"/>
              <w:bottom w:w="75" w:type="dxa"/>
              <w:left w:w="85" w:type="dxa"/>
              <w:right w:w="85" w:type="dxa"/>
            </w:tcMar>
          </w:tcPr>
          <w:p>
            <w:pPr>
              <w:spacing w:after="0" w:line="250" w:lineRule="auto"/>
            </w:pPr>
            <w:r>
              <w:rPr>
                <w:sz w:val="16"/>
              </w:rPr>
              <w:t>Corporate operations and administration</w:t>
            </w:r>
          </w:p>
        </w:tc>
        <w:tc>
          <w:tcPr>
            <w:tcW w:type="dxa" w:w="1101"/>
            <w:vAlign w:val="center"/>
            <w:tcMar>
              <w:top w:w="75" w:type="dxa"/>
              <w:bottom w:w="75" w:type="dxa"/>
              <w:left w:w="85" w:type="dxa"/>
              <w:right w:w="85" w:type="dxa"/>
            </w:tcMar>
          </w:tcPr>
          <w:p>
            <w:pPr>
              <w:spacing w:after="0" w:line="250" w:lineRule="auto"/>
              <w:jc w:val="right"/>
            </w:pPr>
            <w:r>
              <w:rPr>
                <w:sz w:val="16"/>
              </w:rPr>
              <w:t>1.5</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25</w:t>
            </w:r>
          </w:p>
        </w:tc>
        <w:tc>
          <w:tcPr>
            <w:tcW w:type="dxa" w:w="1101"/>
            <w:vAlign w:val="center"/>
            <w:tcMar>
              <w:top w:w="75" w:type="dxa"/>
              <w:bottom w:w="75" w:type="dxa"/>
              <w:left w:w="85" w:type="dxa"/>
              <w:right w:w="85" w:type="dxa"/>
            </w:tcMar>
          </w:tcPr>
          <w:p>
            <w:pPr>
              <w:spacing w:after="0" w:line="250" w:lineRule="auto"/>
              <w:jc w:val="right"/>
            </w:pPr>
            <w:r>
              <w:rPr>
                <w:sz w:val="16"/>
              </w:rPr>
              <w:t>100</w:t>
            </w:r>
          </w:p>
        </w:tc>
        <w:tc>
          <w:tcPr>
            <w:tcW w:type="dxa" w:w="1101"/>
            <w:vAlign w:val="center"/>
            <w:tcMar>
              <w:top w:w="75" w:type="dxa"/>
              <w:bottom w:w="75" w:type="dxa"/>
              <w:left w:w="85" w:type="dxa"/>
              <w:right w:w="85" w:type="dxa"/>
            </w:tcMar>
          </w:tcPr>
          <w:p>
            <w:pPr>
              <w:spacing w:after="0" w:line="250" w:lineRule="auto"/>
              <w:jc w:val="right"/>
            </w:pPr>
            <w:r>
              <w:rPr>
                <w:sz w:val="16"/>
              </w:rPr>
              <w:t>200</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Uncommitted contingency</w:t>
            </w:r>
          </w:p>
        </w:tc>
        <w:tc>
          <w:tcPr>
            <w:tcW w:type="dxa" w:w="1101"/>
            <w:vAlign w:val="center"/>
            <w:tcMar>
              <w:top w:w="75" w:type="dxa"/>
              <w:bottom w:w="75" w:type="dxa"/>
              <w:left w:w="85" w:type="dxa"/>
              <w:right w:w="85" w:type="dxa"/>
            </w:tcMar>
            <w:shd w:fill="F8F1E9"/>
          </w:tcPr>
          <w:p>
            <w:pPr>
              <w:spacing w:after="0" w:line="250" w:lineRule="auto"/>
              <w:jc w:val="right"/>
            </w:pPr>
            <w:r>
              <w:rPr>
                <w:sz w:val="16"/>
              </w:rPr>
              <w:t>1.0</w:t>
            </w:r>
          </w:p>
        </w:tc>
        <w:tc>
          <w:tcPr>
            <w:tcW w:type="dxa" w:w="1101"/>
            <w:vAlign w:val="center"/>
            <w:tcMar>
              <w:top w:w="75" w:type="dxa"/>
              <w:bottom w:w="75" w:type="dxa"/>
              <w:left w:w="85" w:type="dxa"/>
              <w:right w:w="85" w:type="dxa"/>
            </w:tcMar>
            <w:shd w:fill="F8F1E9"/>
          </w:tcPr>
          <w:p>
            <w:pPr>
              <w:spacing w:after="0" w:line="250" w:lineRule="auto"/>
              <w:jc w:val="right"/>
            </w:pPr>
            <w:r>
              <w:rPr>
                <w:sz w:val="16"/>
              </w:rPr>
              <w:t>2.0</w:t>
            </w:r>
          </w:p>
        </w:tc>
        <w:tc>
          <w:tcPr>
            <w:tcW w:type="dxa" w:w="1101"/>
            <w:vAlign w:val="center"/>
            <w:tcMar>
              <w:top w:w="75" w:type="dxa"/>
              <w:bottom w:w="75" w:type="dxa"/>
              <w:left w:w="85" w:type="dxa"/>
              <w:right w:w="85" w:type="dxa"/>
            </w:tcMar>
            <w:shd w:fill="F8F1E9"/>
          </w:tcPr>
          <w:p>
            <w:pPr>
              <w:spacing w:after="0" w:line="250" w:lineRule="auto"/>
              <w:jc w:val="right"/>
            </w:pPr>
            <w:r>
              <w:rPr>
                <w:sz w:val="16"/>
              </w:rPr>
              <w:t>20</w:t>
            </w:r>
          </w:p>
        </w:tc>
        <w:tc>
          <w:tcPr>
            <w:tcW w:type="dxa" w:w="1101"/>
            <w:vAlign w:val="center"/>
            <w:tcMar>
              <w:top w:w="75" w:type="dxa"/>
              <w:bottom w:w="75" w:type="dxa"/>
              <w:left w:w="85" w:type="dxa"/>
              <w:right w:w="85" w:type="dxa"/>
            </w:tcMar>
            <w:shd w:fill="F8F1E9"/>
          </w:tcPr>
          <w:p>
            <w:pPr>
              <w:spacing w:after="0" w:line="250" w:lineRule="auto"/>
              <w:jc w:val="right"/>
            </w:pPr>
            <w:r>
              <w:rPr>
                <w:sz w:val="16"/>
              </w:rPr>
              <w:t>25</w:t>
            </w:r>
          </w:p>
        </w:tc>
        <w:tc>
          <w:tcPr>
            <w:tcW w:type="dxa" w:w="1101"/>
            <w:vAlign w:val="center"/>
            <w:tcMar>
              <w:top w:w="75" w:type="dxa"/>
              <w:bottom w:w="75" w:type="dxa"/>
              <w:left w:w="85" w:type="dxa"/>
              <w:right w:w="85" w:type="dxa"/>
            </w:tcMar>
            <w:shd w:fill="F8F1E9"/>
          </w:tcPr>
          <w:p>
            <w:pPr>
              <w:spacing w:after="0" w:line="250" w:lineRule="auto"/>
              <w:jc w:val="right"/>
            </w:pPr>
            <w:r>
              <w:rPr>
                <w:sz w:val="16"/>
              </w:rPr>
              <w:t>150</w:t>
            </w:r>
          </w:p>
        </w:tc>
        <w:tc>
          <w:tcPr>
            <w:tcW w:type="dxa" w:w="1101"/>
            <w:vAlign w:val="center"/>
            <w:tcMar>
              <w:top w:w="75" w:type="dxa"/>
              <w:bottom w:w="75" w:type="dxa"/>
              <w:left w:w="85" w:type="dxa"/>
              <w:right w:w="85" w:type="dxa"/>
            </w:tcMar>
            <w:shd w:fill="F8F1E9"/>
          </w:tcPr>
          <w:p>
            <w:pPr>
              <w:spacing w:after="0" w:line="250" w:lineRule="auto"/>
              <w:jc w:val="right"/>
            </w:pPr>
            <w:r>
              <w:rPr>
                <w:sz w:val="16"/>
              </w:rPr>
              <w:t>250</w:t>
            </w:r>
          </w:p>
        </w:tc>
      </w:tr>
      <w:tr>
        <w:trPr>
          <w:cantSplit/>
        </w:trPr>
        <w:tc>
          <w:tcPr>
            <w:tcW w:type="dxa" w:w="3341"/>
            <w:vAlign w:val="center"/>
            <w:tcMar>
              <w:top w:w="75" w:type="dxa"/>
              <w:bottom w:w="75" w:type="dxa"/>
              <w:left w:w="85" w:type="dxa"/>
              <w:right w:w="85" w:type="dxa"/>
            </w:tcMar>
          </w:tcPr>
          <w:p>
            <w:pPr>
              <w:spacing w:after="0" w:line="250" w:lineRule="auto"/>
            </w:pPr>
            <w:r>
              <w:rPr>
                <w:b/>
                <w:sz w:val="16"/>
              </w:rPr>
              <w:t>Total</w:t>
            </w:r>
          </w:p>
        </w:tc>
        <w:tc>
          <w:tcPr>
            <w:tcW w:type="dxa" w:w="1101"/>
            <w:vAlign w:val="center"/>
            <w:tcMar>
              <w:top w:w="75" w:type="dxa"/>
              <w:bottom w:w="75" w:type="dxa"/>
              <w:left w:w="85" w:type="dxa"/>
              <w:right w:w="85" w:type="dxa"/>
            </w:tcMar>
          </w:tcPr>
          <w:p>
            <w:pPr>
              <w:spacing w:after="0" w:line="250" w:lineRule="auto"/>
              <w:jc w:val="right"/>
            </w:pPr>
            <w:r>
              <w:rPr>
                <w:b/>
                <w:sz w:val="16"/>
              </w:rPr>
              <w:t>15</w:t>
            </w:r>
          </w:p>
        </w:tc>
        <w:tc>
          <w:tcPr>
            <w:tcW w:type="dxa" w:w="1101"/>
            <w:vAlign w:val="center"/>
            <w:tcMar>
              <w:top w:w="75" w:type="dxa"/>
              <w:bottom w:w="75" w:type="dxa"/>
              <w:left w:w="85" w:type="dxa"/>
              <w:right w:w="85" w:type="dxa"/>
            </w:tcMar>
          </w:tcPr>
          <w:p>
            <w:pPr>
              <w:spacing w:after="0" w:line="250" w:lineRule="auto"/>
              <w:jc w:val="right"/>
            </w:pPr>
            <w:r>
              <w:rPr>
                <w:b/>
                <w:sz w:val="16"/>
              </w:rPr>
              <w:t>25</w:t>
            </w:r>
          </w:p>
        </w:tc>
        <w:tc>
          <w:tcPr>
            <w:tcW w:type="dxa" w:w="1101"/>
            <w:vAlign w:val="center"/>
            <w:tcMar>
              <w:top w:w="75" w:type="dxa"/>
              <w:bottom w:w="75" w:type="dxa"/>
              <w:left w:w="85" w:type="dxa"/>
              <w:right w:w="85" w:type="dxa"/>
            </w:tcMar>
          </w:tcPr>
          <w:p>
            <w:pPr>
              <w:spacing w:after="0" w:line="250" w:lineRule="auto"/>
              <w:jc w:val="right"/>
            </w:pPr>
            <w:r>
              <w:rPr>
                <w:b/>
                <w:sz w:val="16"/>
              </w:rPr>
              <w:t>250</w:t>
            </w:r>
          </w:p>
        </w:tc>
        <w:tc>
          <w:tcPr>
            <w:tcW w:type="dxa" w:w="1101"/>
            <w:vAlign w:val="center"/>
            <w:tcMar>
              <w:top w:w="75" w:type="dxa"/>
              <w:bottom w:w="75" w:type="dxa"/>
              <w:left w:w="85" w:type="dxa"/>
              <w:right w:w="85" w:type="dxa"/>
            </w:tcMar>
          </w:tcPr>
          <w:p>
            <w:pPr>
              <w:spacing w:after="0" w:line="250" w:lineRule="auto"/>
              <w:jc w:val="right"/>
            </w:pPr>
            <w:r>
              <w:rPr>
                <w:b/>
                <w:sz w:val="16"/>
              </w:rPr>
              <w:t>350</w:t>
            </w:r>
          </w:p>
        </w:tc>
        <w:tc>
          <w:tcPr>
            <w:tcW w:type="dxa" w:w="1101"/>
            <w:vAlign w:val="center"/>
            <w:tcMar>
              <w:top w:w="75" w:type="dxa"/>
              <w:bottom w:w="75" w:type="dxa"/>
              <w:left w:w="85" w:type="dxa"/>
              <w:right w:w="85" w:type="dxa"/>
            </w:tcMar>
          </w:tcPr>
          <w:p>
            <w:pPr>
              <w:spacing w:after="0" w:line="250" w:lineRule="auto"/>
              <w:jc w:val="right"/>
            </w:pPr>
            <w:r>
              <w:rPr>
                <w:b/>
                <w:sz w:val="16"/>
              </w:rPr>
              <w:t>2,000</w:t>
            </w:r>
          </w:p>
        </w:tc>
        <w:tc>
          <w:tcPr>
            <w:tcW w:type="dxa" w:w="1101"/>
            <w:vAlign w:val="center"/>
            <w:tcMar>
              <w:top w:w="75" w:type="dxa"/>
              <w:bottom w:w="75" w:type="dxa"/>
              <w:left w:w="85" w:type="dxa"/>
              <w:right w:w="85" w:type="dxa"/>
            </w:tcMar>
          </w:tcPr>
          <w:p>
            <w:pPr>
              <w:spacing w:after="0" w:line="250" w:lineRule="auto"/>
              <w:jc w:val="right"/>
            </w:pPr>
            <w:r>
              <w:rPr>
                <w:b/>
                <w:sz w:val="16"/>
              </w:rPr>
              <w:t>5,000</w:t>
            </w:r>
          </w:p>
        </w:tc>
      </w:tr>
    </w:tbl>
    <w:p>
      <w:pPr>
        <w:spacing w:after="20" w:before="0" w:line="72" w:lineRule="auto"/>
      </w:pPr>
      <w:r>
        <w:rPr>
          <w:sz w:val="4"/>
        </w:rPr>
      </w:r>
    </w:p>
    <w:p>
      <w:r>
        <w:rPr/>
        <w:t>This allocation revises the earlier discussion budget to make cloud expenditure and legal/international readiness explicit and to give exercise its own content investment. The total envelopes are unchanged. Under the scale options, content, marketing and distribution together receive €890K of €2M and €2.55M of €5M. Product and governance investment supports those commercial activities rather than competing with them for attention.</w:t>
      </w:r>
    </w:p>
    <w:p>
      <w:r>
        <w:rPr/>
        <w:t>The non-contingency envelope averages approximately €77.1K per month over 24 months in the €2M case and €197.9K in the €5M case. These are expenditure averages, not current burn or a forecast of net cash use. Fees, employer costs, non-recoverable taxes and vendor commitments must fit inside the allocations. Fundraising transaction costs reduce deployable cash and must be explicitly deducted from the reserve or another line before commitments are made.</w:t>
      </w:r>
    </w:p>
    <w:p>
      <w:r>
        <w:rPr/>
        <w:t>Customer receipts may extend resources, but are not required to make the expenditure columns add up. Conversely, no grant, unclosed investment or hoped-for sponsorship is assumed as cash in the base plan. The reserve is not a spending target.</w:t>
      </w:r>
    </w:p>
    <w:p>
      <w:bookmarkStart w:id="6" w:name="section_6"/>
      <w:pPr>
        <w:pStyle w:val="Heading1"/>
      </w:pPr>
      <w:r>
        <w:rPr/>
        <w:t>6. What larger capital accelerates</w:t>
      </w:r>
      <w:bookmarkEnd w:id="6"/>
    </w:p>
    <w:p>
      <w:r>
        <w:rPr/>
        <w:t>The main acceleration comes from replacing serial founder effort with coordinated parallel delivery. Product reliability, professional production, channel onboarding, growth experiments and country due diligence can proceed together rather than waiting for the same person to finish each task.</w:t>
      </w:r>
    </w:p>
    <w:tbl>
      <w:tblPr>
        <w:tblW w:type="auto" w:w="0"/>
        <w:jc w:val="center"/>
        <w:tblLayout w:type="fixed"/>
        <w:tblLook w:firstColumn="1" w:firstRow="1" w:lastColumn="0" w:lastRow="0" w:noHBand="0" w:noVBand="1" w:val="04A0"/>
      </w:tblPr>
      <w:tblGrid>
        <w:gridCol w:w="1656"/>
        <w:gridCol w:w="2693"/>
        <w:gridCol w:w="2794"/>
        <w:gridCol w:w="2805"/>
      </w:tblGrid>
      <w:tr>
        <w:trPr>
          <w:cantSplit/>
          <w:tblHeader/>
        </w:trPr>
        <w:tc>
          <w:tcPr>
            <w:tcW w:type="dxa" w:w="1656"/>
            <w:vAlign w:val="center"/>
            <w:tcMar>
              <w:top w:w="75" w:type="dxa"/>
              <w:bottom w:w="75" w:type="dxa"/>
              <w:left w:w="85" w:type="dxa"/>
              <w:right w:w="85" w:type="dxa"/>
            </w:tcMar>
            <w:shd w:fill="282220"/>
          </w:tcPr>
          <w:p>
            <w:pPr>
              <w:spacing w:after="0" w:line="250" w:lineRule="auto"/>
            </w:pPr>
            <w:r>
              <w:rPr>
                <w:b/>
                <w:color w:val="FFFFFF"/>
                <w:sz w:val="18"/>
              </w:rPr>
              <w:t>Workstream</w:t>
            </w:r>
          </w:p>
        </w:tc>
        <w:tc>
          <w:tcPr>
            <w:tcW w:type="dxa" w:w="2693"/>
            <w:vAlign w:val="center"/>
            <w:tcMar>
              <w:top w:w="75" w:type="dxa"/>
              <w:bottom w:w="75" w:type="dxa"/>
              <w:left w:w="85" w:type="dxa"/>
              <w:right w:w="85" w:type="dxa"/>
            </w:tcMar>
            <w:shd w:fill="282220"/>
          </w:tcPr>
          <w:p>
            <w:pPr>
              <w:spacing w:after="0" w:line="250" w:lineRule="auto"/>
              <w:jc w:val="right"/>
            </w:pPr>
            <w:r>
              <w:rPr>
                <w:b/>
                <w:color w:val="FFFFFF"/>
                <w:sz w:val="18"/>
              </w:rPr>
              <w:t>€250–350K</w:t>
            </w:r>
          </w:p>
        </w:tc>
        <w:tc>
          <w:tcPr>
            <w:tcW w:type="dxa" w:w="2794"/>
            <w:vAlign w:val="center"/>
            <w:tcMar>
              <w:top w:w="75" w:type="dxa"/>
              <w:bottom w:w="75" w:type="dxa"/>
              <w:left w:w="85" w:type="dxa"/>
              <w:right w:w="85" w:type="dxa"/>
            </w:tcMar>
            <w:shd w:fill="282220"/>
          </w:tcPr>
          <w:p>
            <w:pPr>
              <w:spacing w:after="0" w:line="250" w:lineRule="auto"/>
              <w:jc w:val="right"/>
            </w:pPr>
            <w:r>
              <w:rPr>
                <w:b/>
                <w:color w:val="FFFFFF"/>
                <w:sz w:val="18"/>
              </w:rPr>
              <w:t>€2M</w:t>
            </w:r>
          </w:p>
        </w:tc>
        <w:tc>
          <w:tcPr>
            <w:tcW w:type="dxa" w:w="2805"/>
            <w:vAlign w:val="center"/>
            <w:tcMar>
              <w:top w:w="75" w:type="dxa"/>
              <w:bottom w:w="75" w:type="dxa"/>
              <w:left w:w="85" w:type="dxa"/>
              <w:right w:w="85" w:type="dxa"/>
            </w:tcMar>
            <w:shd w:fill="282220"/>
          </w:tcPr>
          <w:p>
            <w:pPr>
              <w:spacing w:after="0" w:line="250" w:lineRule="auto"/>
              <w:jc w:val="right"/>
            </w:pPr>
            <w:r>
              <w:rPr>
                <w:b/>
                <w:color w:val="FFFFFF"/>
                <w:sz w:val="18"/>
              </w:rPr>
              <w:t>€5M</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Product and engineering</w:t>
            </w:r>
          </w:p>
        </w:tc>
        <w:tc>
          <w:tcPr>
            <w:tcW w:type="dxa" w:w="2693"/>
            <w:vAlign w:val="center"/>
            <w:tcMar>
              <w:top w:w="75" w:type="dxa"/>
              <w:bottom w:w="75" w:type="dxa"/>
              <w:left w:w="85" w:type="dxa"/>
              <w:right w:w="85" w:type="dxa"/>
            </w:tcMar>
            <w:shd w:fill="F8F1E9"/>
          </w:tcPr>
          <w:p>
            <w:pPr>
              <w:spacing w:after="0" w:line="250" w:lineRule="auto"/>
            </w:pPr>
            <w:r>
              <w:rPr>
                <w:sz w:val="18"/>
              </w:rPr>
              <w:t>Prioritised fixes and core release quality.</w:t>
            </w:r>
          </w:p>
        </w:tc>
        <w:tc>
          <w:tcPr>
            <w:tcW w:type="dxa" w:w="2794"/>
            <w:vAlign w:val="center"/>
            <w:tcMar>
              <w:top w:w="75" w:type="dxa"/>
              <w:bottom w:w="75" w:type="dxa"/>
              <w:left w:w="85" w:type="dxa"/>
              <w:right w:w="85" w:type="dxa"/>
            </w:tcMar>
            <w:shd w:fill="F8F1E9"/>
          </w:tcPr>
          <w:p>
            <w:pPr>
              <w:spacing w:after="0" w:line="250" w:lineRule="auto"/>
            </w:pPr>
            <w:r>
              <w:rPr>
                <w:sz w:val="18"/>
              </w:rPr>
              <w:t>Stable daily experience, policy-aware integrations, instrumentation and supportability.</w:t>
            </w:r>
          </w:p>
        </w:tc>
        <w:tc>
          <w:tcPr>
            <w:tcW w:type="dxa" w:w="2805"/>
            <w:vAlign w:val="center"/>
            <w:tcMar>
              <w:top w:w="75" w:type="dxa"/>
              <w:bottom w:w="75" w:type="dxa"/>
              <w:left w:w="85" w:type="dxa"/>
              <w:right w:w="85" w:type="dxa"/>
            </w:tcMar>
            <w:shd w:fill="F8F1E9"/>
          </w:tcPr>
          <w:p>
            <w:pPr>
              <w:spacing w:after="0" w:line="250" w:lineRule="auto"/>
            </w:pPr>
            <w:r>
              <w:rPr>
                <w:sz w:val="18"/>
              </w:rPr>
              <w:t>Parallel platform and experience delivery, stronger testing and controlled regional deployment options.</w:t>
            </w:r>
          </w:p>
        </w:tc>
      </w:tr>
      <w:tr>
        <w:trPr>
          <w:cantSplit/>
        </w:trPr>
        <w:tc>
          <w:tcPr>
            <w:tcW w:type="dxa" w:w="1656"/>
            <w:vAlign w:val="center"/>
            <w:tcMar>
              <w:top w:w="75" w:type="dxa"/>
              <w:bottom w:w="75" w:type="dxa"/>
              <w:left w:w="85" w:type="dxa"/>
              <w:right w:w="85" w:type="dxa"/>
            </w:tcMar>
          </w:tcPr>
          <w:p>
            <w:pPr>
              <w:spacing w:after="0" w:line="250" w:lineRule="auto"/>
            </w:pPr>
            <w:r>
              <w:rPr>
                <w:sz w:val="18"/>
              </w:rPr>
              <w:t>Expert content</w:t>
            </w:r>
          </w:p>
        </w:tc>
        <w:tc>
          <w:tcPr>
            <w:tcW w:type="dxa" w:w="2693"/>
            <w:vAlign w:val="center"/>
            <w:tcMar>
              <w:top w:w="75" w:type="dxa"/>
              <w:bottom w:w="75" w:type="dxa"/>
              <w:left w:w="85" w:type="dxa"/>
              <w:right w:w="85" w:type="dxa"/>
            </w:tcMar>
          </w:tcPr>
          <w:p>
            <w:pPr>
              <w:spacing w:after="0" w:line="250" w:lineRule="auto"/>
            </w:pPr>
            <w:r>
              <w:rPr>
                <w:sz w:val="18"/>
              </w:rPr>
              <w:t>Compact food-and-exercise starter library.</w:t>
            </w:r>
          </w:p>
        </w:tc>
        <w:tc>
          <w:tcPr>
            <w:tcW w:type="dxa" w:w="2794"/>
            <w:vAlign w:val="center"/>
            <w:tcMar>
              <w:top w:w="75" w:type="dxa"/>
              <w:bottom w:w="75" w:type="dxa"/>
              <w:left w:w="85" w:type="dxa"/>
              <w:right w:w="85" w:type="dxa"/>
            </w:tcMar>
          </w:tcPr>
          <w:p>
            <w:pPr>
              <w:spacing w:after="0" w:line="250" w:lineRule="auto"/>
            </w:pPr>
            <w:r>
              <w:rPr>
                <w:sz w:val="18"/>
              </w:rPr>
              <w:t>Recurring professional production across food, exercise and recovery.</w:t>
            </w:r>
          </w:p>
        </w:tc>
        <w:tc>
          <w:tcPr>
            <w:tcW w:type="dxa" w:w="2805"/>
            <w:vAlign w:val="center"/>
            <w:tcMar>
              <w:top w:w="75" w:type="dxa"/>
              <w:bottom w:w="75" w:type="dxa"/>
              <w:left w:w="85" w:type="dxa"/>
              <w:right w:w="85" w:type="dxa"/>
            </w:tcMar>
          </w:tcPr>
          <w:p>
            <w:pPr>
              <w:spacing w:after="0" w:line="250" w:lineRule="auto"/>
            </w:pPr>
            <w:r>
              <w:rPr>
                <w:sz w:val="18"/>
              </w:rPr>
              <w:t>Wider programmes, richer visual formats and selected local-language adaptations.</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Distribution</w:t>
            </w:r>
          </w:p>
        </w:tc>
        <w:tc>
          <w:tcPr>
            <w:tcW w:type="dxa" w:w="2693"/>
            <w:vAlign w:val="center"/>
            <w:tcMar>
              <w:top w:w="75" w:type="dxa"/>
              <w:bottom w:w="75" w:type="dxa"/>
              <w:left w:w="85" w:type="dxa"/>
              <w:right w:w="85" w:type="dxa"/>
            </w:tcMar>
            <w:shd w:fill="F8F1E9"/>
          </w:tcPr>
          <w:p>
            <w:pPr>
              <w:spacing w:after="0" w:line="250" w:lineRule="auto"/>
            </w:pPr>
            <w:r>
              <w:rPr>
                <w:sz w:val="18"/>
              </w:rPr>
              <w:t>A few founder-led pilots.</w:t>
            </w:r>
          </w:p>
        </w:tc>
        <w:tc>
          <w:tcPr>
            <w:tcW w:type="dxa" w:w="2794"/>
            <w:vAlign w:val="center"/>
            <w:tcMar>
              <w:top w:w="75" w:type="dxa"/>
              <w:bottom w:w="75" w:type="dxa"/>
              <w:left w:w="85" w:type="dxa"/>
              <w:right w:w="85" w:type="dxa"/>
            </w:tcMar>
            <w:shd w:fill="F8F1E9"/>
          </w:tcPr>
          <w:p>
            <w:pPr>
              <w:spacing w:after="0" w:line="250" w:lineRule="auto"/>
            </w:pPr>
            <w:r>
              <w:rPr>
                <w:sz w:val="18"/>
              </w:rPr>
              <w:t>A dedicated onboarding and account-management process.</w:t>
            </w:r>
          </w:p>
        </w:tc>
        <w:tc>
          <w:tcPr>
            <w:tcW w:type="dxa" w:w="2805"/>
            <w:vAlign w:val="center"/>
            <w:tcMar>
              <w:top w:w="75" w:type="dxa"/>
              <w:bottom w:w="75" w:type="dxa"/>
              <w:left w:w="85" w:type="dxa"/>
              <w:right w:w="85" w:type="dxa"/>
            </w:tcMar>
            <w:shd w:fill="F8F1E9"/>
          </w:tcPr>
          <w:p>
            <w:pPr>
              <w:spacing w:after="0" w:line="250" w:lineRule="auto"/>
            </w:pPr>
            <w:r>
              <w:rPr>
                <w:sz w:val="18"/>
              </w:rPr>
              <w:t>Network-level sales and delivery capacity across approved markets.</w:t>
            </w:r>
          </w:p>
        </w:tc>
      </w:tr>
      <w:tr>
        <w:trPr>
          <w:cantSplit/>
        </w:trPr>
        <w:tc>
          <w:tcPr>
            <w:tcW w:type="dxa" w:w="1656"/>
            <w:vAlign w:val="center"/>
            <w:tcMar>
              <w:top w:w="75" w:type="dxa"/>
              <w:bottom w:w="75" w:type="dxa"/>
              <w:left w:w="85" w:type="dxa"/>
              <w:right w:w="85" w:type="dxa"/>
            </w:tcMar>
          </w:tcPr>
          <w:p>
            <w:pPr>
              <w:spacing w:after="0" w:line="250" w:lineRule="auto"/>
            </w:pPr>
            <w:r>
              <w:rPr>
                <w:sz w:val="18"/>
              </w:rPr>
              <w:t>Marketing</w:t>
            </w:r>
          </w:p>
        </w:tc>
        <w:tc>
          <w:tcPr>
            <w:tcW w:type="dxa" w:w="2693"/>
            <w:vAlign w:val="center"/>
            <w:tcMar>
              <w:top w:w="75" w:type="dxa"/>
              <w:bottom w:w="75" w:type="dxa"/>
              <w:left w:w="85" w:type="dxa"/>
              <w:right w:w="85" w:type="dxa"/>
            </w:tcMar>
          </w:tcPr>
          <w:p>
            <w:pPr>
              <w:spacing w:after="0" w:line="250" w:lineRule="auto"/>
            </w:pPr>
            <w:r>
              <w:rPr>
                <w:sz w:val="18"/>
              </w:rPr>
              <w:t>Small experiments and founder-led channels.</w:t>
            </w:r>
          </w:p>
        </w:tc>
        <w:tc>
          <w:tcPr>
            <w:tcW w:type="dxa" w:w="2794"/>
            <w:vAlign w:val="center"/>
            <w:tcMar>
              <w:top w:w="75" w:type="dxa"/>
              <w:bottom w:w="75" w:type="dxa"/>
              <w:left w:w="85" w:type="dxa"/>
              <w:right w:w="85" w:type="dxa"/>
            </w:tcMar>
          </w:tcPr>
          <w:p>
            <w:pPr>
              <w:spacing w:after="0" w:line="250" w:lineRule="auto"/>
            </w:pPr>
            <w:r>
              <w:rPr>
                <w:sz w:val="18"/>
              </w:rPr>
              <w:t>Proven local campaigns with disciplined spending releases.</w:t>
            </w:r>
          </w:p>
        </w:tc>
        <w:tc>
          <w:tcPr>
            <w:tcW w:type="dxa" w:w="2805"/>
            <w:vAlign w:val="center"/>
            <w:tcMar>
              <w:top w:w="75" w:type="dxa"/>
              <w:bottom w:w="75" w:type="dxa"/>
              <w:left w:w="85" w:type="dxa"/>
              <w:right w:w="85" w:type="dxa"/>
            </w:tcMar>
          </w:tcPr>
          <w:p>
            <w:pPr>
              <w:spacing w:after="0" w:line="250" w:lineRule="auto"/>
            </w:pPr>
            <w:r>
              <w:rPr>
                <w:sz w:val="18"/>
              </w:rPr>
              <w:t>Replication of successful campaigns and broader awareness where capacity can convert demand.</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Pregnancy</w:t>
            </w:r>
          </w:p>
        </w:tc>
        <w:tc>
          <w:tcPr>
            <w:tcW w:type="dxa" w:w="2693"/>
            <w:vAlign w:val="center"/>
            <w:tcMar>
              <w:top w:w="75" w:type="dxa"/>
              <w:bottom w:w="75" w:type="dxa"/>
              <w:left w:w="85" w:type="dxa"/>
              <w:right w:w="85" w:type="dxa"/>
            </w:tcMar>
            <w:shd w:fill="F8F1E9"/>
          </w:tcPr>
          <w:p>
            <w:pPr>
              <w:spacing w:after="0" w:line="250" w:lineRule="auto"/>
            </w:pPr>
            <w:r>
              <w:rPr>
                <w:sz w:val="18"/>
              </w:rPr>
              <w:t>Discovery and intended-purpose assessment; not a launch commitment.</w:t>
            </w:r>
          </w:p>
        </w:tc>
        <w:tc>
          <w:tcPr>
            <w:tcW w:type="dxa" w:w="2794"/>
            <w:vAlign w:val="center"/>
            <w:tcMar>
              <w:top w:w="75" w:type="dxa"/>
              <w:bottom w:w="75" w:type="dxa"/>
              <w:left w:w="85" w:type="dxa"/>
              <w:right w:w="85" w:type="dxa"/>
            </w:tcMar>
            <w:shd w:fill="F8F1E9"/>
          </w:tcPr>
          <w:p>
            <w:pPr>
              <w:spacing w:after="0" w:line="250" w:lineRule="auto"/>
            </w:pPr>
            <w:r>
              <w:rPr>
                <w:sz w:val="18"/>
              </w:rPr>
              <w:t>Specialist co-design and a bounded, reviewed pilot.</w:t>
            </w:r>
          </w:p>
        </w:tc>
        <w:tc>
          <w:tcPr>
            <w:tcW w:type="dxa" w:w="2805"/>
            <w:vAlign w:val="center"/>
            <w:tcMar>
              <w:top w:w="75" w:type="dxa"/>
              <w:bottom w:w="75" w:type="dxa"/>
              <w:left w:w="85" w:type="dxa"/>
              <w:right w:w="85" w:type="dxa"/>
            </w:tcMar>
            <w:shd w:fill="F8F1E9"/>
          </w:tcPr>
          <w:p>
            <w:pPr>
              <w:spacing w:after="0" w:line="250" w:lineRule="auto"/>
            </w:pPr>
            <w:r>
              <w:rPr>
                <w:sz w:val="18"/>
              </w:rPr>
              <w:t>Broader product development and evaluation, still gated before release.</w:t>
            </w:r>
          </w:p>
        </w:tc>
      </w:tr>
      <w:tr>
        <w:trPr>
          <w:cantSplit/>
        </w:trPr>
        <w:tc>
          <w:tcPr>
            <w:tcW w:type="dxa" w:w="1656"/>
            <w:vAlign w:val="center"/>
            <w:tcMar>
              <w:top w:w="75" w:type="dxa"/>
              <w:bottom w:w="75" w:type="dxa"/>
              <w:left w:w="85" w:type="dxa"/>
              <w:right w:w="85" w:type="dxa"/>
            </w:tcMar>
          </w:tcPr>
          <w:p>
            <w:pPr>
              <w:spacing w:after="0" w:line="250" w:lineRule="auto"/>
            </w:pPr>
            <w:r>
              <w:rPr>
                <w:sz w:val="18"/>
              </w:rPr>
              <w:t>International</w:t>
            </w:r>
          </w:p>
        </w:tc>
        <w:tc>
          <w:tcPr>
            <w:tcW w:type="dxa" w:w="2693"/>
            <w:vAlign w:val="center"/>
            <w:tcMar>
              <w:top w:w="75" w:type="dxa"/>
              <w:bottom w:w="75" w:type="dxa"/>
              <w:left w:w="85" w:type="dxa"/>
              <w:right w:w="85" w:type="dxa"/>
            </w:tcMar>
          </w:tcPr>
          <w:p>
            <w:pPr>
              <w:spacing w:after="0" w:line="250" w:lineRule="auto"/>
            </w:pPr>
            <w:r>
              <w:rPr>
                <w:sz w:val="18"/>
              </w:rPr>
              <w:t>Low-cost discovery only.</w:t>
            </w:r>
          </w:p>
        </w:tc>
        <w:tc>
          <w:tcPr>
            <w:tcW w:type="dxa" w:w="2794"/>
            <w:vAlign w:val="center"/>
            <w:tcMar>
              <w:top w:w="75" w:type="dxa"/>
              <w:bottom w:w="75" w:type="dxa"/>
              <w:left w:w="85" w:type="dxa"/>
              <w:right w:w="85" w:type="dxa"/>
            </w:tcMar>
          </w:tcPr>
          <w:p>
            <w:pPr>
              <w:spacing w:after="0" w:line="250" w:lineRule="auto"/>
            </w:pPr>
            <w:r>
              <w:rPr>
                <w:sz w:val="18"/>
              </w:rPr>
              <w:t>Comparative exploration of Australia, Singapore and selected other candidates.</w:t>
            </w:r>
          </w:p>
        </w:tc>
        <w:tc>
          <w:tcPr>
            <w:tcW w:type="dxa" w:w="2805"/>
            <w:vAlign w:val="center"/>
            <w:tcMar>
              <w:top w:w="75" w:type="dxa"/>
              <w:bottom w:w="75" w:type="dxa"/>
              <w:left w:w="85" w:type="dxa"/>
              <w:right w:w="85" w:type="dxa"/>
            </w:tcMar>
          </w:tcPr>
          <w:p>
            <w:pPr>
              <w:spacing w:after="0" w:line="250" w:lineRule="auto"/>
            </w:pPr>
            <w:r>
              <w:rPr>
                <w:sz w:val="18"/>
              </w:rPr>
              <w:t>Country readiness and one or a small number of approved pilots, not simultaneous global launch.</w:t>
            </w:r>
          </w:p>
        </w:tc>
      </w:tr>
    </w:tbl>
    <w:p>
      <w:pPr>
        <w:spacing w:after="20" w:before="0" w:line="72" w:lineRule="auto"/>
      </w:pPr>
      <w:r>
        <w:rPr>
          <w:sz w:val="4"/>
        </w:rPr>
      </w:r>
    </w:p>
    <w:p>
      <w:r>
        <w:rPr/>
        <w:t>For workforce planning, the €2M case should be scoped around roughly 6–8 average paid full-time-equivalent roles across functions, with specialist contractors; the €5M case around 12–15. These are staffing design limits, not commitments or market salary benchmarks. Contractor production and clinical review are additional capacities already funded in their workstream lines. A salary-and-start-date model must validate the mix before hiring.</w:t>
      </w:r>
    </w:p>
    <w:p>
      <w:r>
        <w:rPr/>
        <w:t>More funding cannot compress the passage of time needed to observe repeat behaviour, remove the need for clinical review or guarantee institutional procurement. It buys execution capacity and room to learn—not certainty.</w:t>
      </w:r>
    </w:p>
    <w:p>
      <w:bookmarkStart w:id="7" w:name="section_7"/>
      <w:pPr>
        <w:pStyle w:val="Heading1"/>
      </w:pPr>
      <w:r>
        <w:rPr/>
        <w:t>7. Expert content and collaboration: food and exercise together</w:t>
      </w:r>
      <w:bookmarkEnd w:id="7"/>
    </w:p>
    <w:p>
      <w:r>
        <w:rPr/>
        <w:t xml:space="preserve">The content proposition is a professionally governed </w:t>
      </w:r>
      <w:r>
        <w:rPr>
          <w:b/>
        </w:rPr>
        <w:t>daily action library</w:t>
      </w:r>
      <w:r>
        <w:rPr/>
        <w:t>, not a collection of nutrition articles. A useful programme can combine a recipe, a strength or walking session, a recovery option and a short explanation, with the user choosing what fits. Food and movement should be visible in onboarding, the home screen, search, campaigns and partner materials. [S01, S03]</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Domain</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Collaborators</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Concrete deliverables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Nutrition and everyday cooking</w:t>
            </w:r>
          </w:p>
        </w:tc>
        <w:tc>
          <w:tcPr>
            <w:tcW w:type="dxa" w:w="3773"/>
            <w:vAlign w:val="center"/>
            <w:tcMar>
              <w:top w:w="75" w:type="dxa"/>
              <w:bottom w:w="75" w:type="dxa"/>
              <w:left w:w="85" w:type="dxa"/>
              <w:right w:w="85" w:type="dxa"/>
            </w:tcMar>
            <w:shd w:fill="F8F1E9"/>
          </w:tcPr>
          <w:p>
            <w:pPr>
              <w:spacing w:after="0" w:line="250" w:lineRule="auto"/>
            </w:pPr>
            <w:r>
              <w:rPr>
                <w:sz w:val="18"/>
              </w:rPr>
              <w:t>Dietitians/nutritionists and chefs.</w:t>
            </w:r>
          </w:p>
        </w:tc>
        <w:tc>
          <w:tcPr>
            <w:tcW w:type="dxa" w:w="3755"/>
            <w:vAlign w:val="center"/>
            <w:tcMar>
              <w:top w:w="75" w:type="dxa"/>
              <w:bottom w:w="75" w:type="dxa"/>
              <w:left w:w="85" w:type="dxa"/>
              <w:right w:w="85" w:type="dxa"/>
            </w:tcMar>
            <w:shd w:fill="F8F1E9"/>
          </w:tcPr>
          <w:p>
            <w:pPr>
              <w:spacing w:after="0" w:line="250" w:lineRule="auto"/>
            </w:pPr>
            <w:r>
              <w:rPr>
                <w:sz w:val="18"/>
              </w:rPr>
              <w:t>Practical recipes, ingredient photographs, step-by-step preparation, substitutions, shopping guides and budget-conscious options.</w:t>
            </w:r>
          </w:p>
        </w:tc>
      </w:tr>
      <w:tr>
        <w:trPr>
          <w:cantSplit/>
        </w:trPr>
        <w:tc>
          <w:tcPr>
            <w:tcW w:type="dxa" w:w="2419"/>
            <w:vAlign w:val="center"/>
            <w:tcMar>
              <w:top w:w="75" w:type="dxa"/>
              <w:bottom w:w="75" w:type="dxa"/>
              <w:left w:w="85" w:type="dxa"/>
              <w:right w:w="85" w:type="dxa"/>
            </w:tcMar>
          </w:tcPr>
          <w:p>
            <w:pPr>
              <w:spacing w:after="0" w:line="250" w:lineRule="auto"/>
            </w:pPr>
            <w:r>
              <w:rPr>
                <w:sz w:val="18"/>
              </w:rPr>
              <w:t>Strength and structured exercise</w:t>
            </w:r>
          </w:p>
        </w:tc>
        <w:tc>
          <w:tcPr>
            <w:tcW w:type="dxa" w:w="3773"/>
            <w:vAlign w:val="center"/>
            <w:tcMar>
              <w:top w:w="75" w:type="dxa"/>
              <w:bottom w:w="75" w:type="dxa"/>
              <w:left w:w="85" w:type="dxa"/>
              <w:right w:w="85" w:type="dxa"/>
            </w:tcMar>
          </w:tcPr>
          <w:p>
            <w:pPr>
              <w:spacing w:after="0" w:line="250" w:lineRule="auto"/>
            </w:pPr>
            <w:r>
              <w:rPr>
                <w:sz w:val="18"/>
              </w:rPr>
              <w:t>Qualified trainers, exercise professionals and gyms.</w:t>
            </w:r>
          </w:p>
        </w:tc>
        <w:tc>
          <w:tcPr>
            <w:tcW w:type="dxa" w:w="3755"/>
            <w:vAlign w:val="center"/>
            <w:tcMar>
              <w:top w:w="75" w:type="dxa"/>
              <w:bottom w:w="75" w:type="dxa"/>
              <w:left w:w="85" w:type="dxa"/>
              <w:right w:w="85" w:type="dxa"/>
            </w:tcMar>
          </w:tcPr>
          <w:p>
            <w:pPr>
              <w:spacing w:after="0" w:line="250" w:lineRule="auto"/>
            </w:pPr>
            <w:r>
              <w:rPr>
                <w:sz w:val="18"/>
              </w:rPr>
              <w:t>Demonstration videos, technique photographs, home/gym alternatives, beginner progressions and equipment variants.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Cardio and everyday movement</w:t>
            </w:r>
          </w:p>
        </w:tc>
        <w:tc>
          <w:tcPr>
            <w:tcW w:type="dxa" w:w="3773"/>
            <w:vAlign w:val="center"/>
            <w:tcMar>
              <w:top w:w="75" w:type="dxa"/>
              <w:bottom w:w="75" w:type="dxa"/>
              <w:left w:w="85" w:type="dxa"/>
              <w:right w:w="85" w:type="dxa"/>
            </w:tcMar>
            <w:shd w:fill="F8F1E9"/>
          </w:tcPr>
          <w:p>
            <w:pPr>
              <w:spacing w:after="0" w:line="250" w:lineRule="auto"/>
            </w:pPr>
            <w:r>
              <w:rPr>
                <w:sz w:val="18"/>
              </w:rPr>
              <w:t>Trainers, running/walking communities and studios.</w:t>
            </w:r>
          </w:p>
        </w:tc>
        <w:tc>
          <w:tcPr>
            <w:tcW w:type="dxa" w:w="3755"/>
            <w:vAlign w:val="center"/>
            <w:tcMar>
              <w:top w:w="75" w:type="dxa"/>
              <w:bottom w:w="75" w:type="dxa"/>
              <w:left w:w="85" w:type="dxa"/>
              <w:right w:w="85" w:type="dxa"/>
            </w:tcMar>
            <w:shd w:fill="F8F1E9"/>
          </w:tcPr>
          <w:p>
            <w:pPr>
              <w:spacing w:after="0" w:line="250" w:lineRule="auto"/>
            </w:pPr>
            <w:r>
              <w:rPr>
                <w:sz w:val="18"/>
              </w:rPr>
              <w:t>Walking, running, cycling and mixed-activity programmes suited to different starting points and available time.</w:t>
            </w:r>
          </w:p>
        </w:tc>
      </w:tr>
      <w:tr>
        <w:trPr>
          <w:cantSplit/>
        </w:trPr>
        <w:tc>
          <w:tcPr>
            <w:tcW w:type="dxa" w:w="2419"/>
            <w:vAlign w:val="center"/>
            <w:tcMar>
              <w:top w:w="75" w:type="dxa"/>
              <w:bottom w:w="75" w:type="dxa"/>
              <w:left w:w="85" w:type="dxa"/>
              <w:right w:w="85" w:type="dxa"/>
            </w:tcMar>
          </w:tcPr>
          <w:p>
            <w:pPr>
              <w:spacing w:after="0" w:line="250" w:lineRule="auto"/>
            </w:pPr>
            <w:r>
              <w:rPr>
                <w:sz w:val="18"/>
              </w:rPr>
              <w:t>Mobility and recovery</w:t>
            </w:r>
          </w:p>
        </w:tc>
        <w:tc>
          <w:tcPr>
            <w:tcW w:type="dxa" w:w="3773"/>
            <w:vAlign w:val="center"/>
            <w:tcMar>
              <w:top w:w="75" w:type="dxa"/>
              <w:bottom w:w="75" w:type="dxa"/>
              <w:left w:w="85" w:type="dxa"/>
              <w:right w:w="85" w:type="dxa"/>
            </w:tcMar>
          </w:tcPr>
          <w:p>
            <w:pPr>
              <w:spacing w:after="0" w:line="250" w:lineRule="auto"/>
            </w:pPr>
            <w:r>
              <w:rPr>
                <w:sz w:val="18"/>
              </w:rPr>
              <w:t>Physiotherapists and appropriately qualified movement specialists.</w:t>
            </w:r>
          </w:p>
        </w:tc>
        <w:tc>
          <w:tcPr>
            <w:tcW w:type="dxa" w:w="3755"/>
            <w:vAlign w:val="center"/>
            <w:tcMar>
              <w:top w:w="75" w:type="dxa"/>
              <w:bottom w:w="75" w:type="dxa"/>
              <w:left w:w="85" w:type="dxa"/>
              <w:right w:w="85" w:type="dxa"/>
            </w:tcMar>
          </w:tcPr>
          <w:p>
            <w:pPr>
              <w:spacing w:after="0" w:line="250" w:lineRule="auto"/>
            </w:pPr>
            <w:r>
              <w:rPr>
                <w:sz w:val="18"/>
              </w:rPr>
              <w:t>Mobility sequences, warm-up/cool-down content and non-diagnostic recovery education.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Sleep and sustainable routines</w:t>
            </w:r>
          </w:p>
        </w:tc>
        <w:tc>
          <w:tcPr>
            <w:tcW w:type="dxa" w:w="3773"/>
            <w:vAlign w:val="center"/>
            <w:tcMar>
              <w:top w:w="75" w:type="dxa"/>
              <w:bottom w:w="75" w:type="dxa"/>
              <w:left w:w="85" w:type="dxa"/>
              <w:right w:w="85" w:type="dxa"/>
            </w:tcMar>
            <w:shd w:fill="F8F1E9"/>
          </w:tcPr>
          <w:p>
            <w:pPr>
              <w:spacing w:after="0" w:line="250" w:lineRule="auto"/>
            </w:pPr>
            <w:r>
              <w:rPr>
                <w:sz w:val="18"/>
              </w:rPr>
              <w:t>Appropriately qualified wellbeing and behavioural specialists.</w:t>
            </w:r>
          </w:p>
        </w:tc>
        <w:tc>
          <w:tcPr>
            <w:tcW w:type="dxa" w:w="3755"/>
            <w:vAlign w:val="center"/>
            <w:tcMar>
              <w:top w:w="75" w:type="dxa"/>
              <w:bottom w:w="75" w:type="dxa"/>
              <w:left w:w="85" w:type="dxa"/>
              <w:right w:w="85" w:type="dxa"/>
            </w:tcMar>
            <w:shd w:fill="F8F1E9"/>
          </w:tcPr>
          <w:p>
            <w:pPr>
              <w:spacing w:after="0" w:line="250" w:lineRule="auto"/>
            </w:pPr>
            <w:r>
              <w:rPr>
                <w:sz w:val="18"/>
              </w:rPr>
              <w:t>Practical routine guides, optional reflection and habit support without treatment claims.</w:t>
            </w:r>
          </w:p>
        </w:tc>
      </w:tr>
      <w:tr>
        <w:trPr>
          <w:cantSplit/>
        </w:trPr>
        <w:tc>
          <w:tcPr>
            <w:tcW w:type="dxa" w:w="2419"/>
            <w:vAlign w:val="center"/>
            <w:tcMar>
              <w:top w:w="75" w:type="dxa"/>
              <w:bottom w:w="75" w:type="dxa"/>
              <w:left w:w="85" w:type="dxa"/>
              <w:right w:w="85" w:type="dxa"/>
            </w:tcMar>
          </w:tcPr>
          <w:p>
            <w:pPr>
              <w:spacing w:after="0" w:line="250" w:lineRule="auto"/>
            </w:pPr>
            <w:r>
              <w:rPr>
                <w:sz w:val="18"/>
              </w:rPr>
              <w:t>Maternal wellbeing</w:t>
            </w:r>
          </w:p>
        </w:tc>
        <w:tc>
          <w:tcPr>
            <w:tcW w:type="dxa" w:w="3773"/>
            <w:vAlign w:val="center"/>
            <w:tcMar>
              <w:top w:w="75" w:type="dxa"/>
              <w:bottom w:w="75" w:type="dxa"/>
              <w:left w:w="85" w:type="dxa"/>
              <w:right w:w="85" w:type="dxa"/>
            </w:tcMar>
          </w:tcPr>
          <w:p>
            <w:pPr>
              <w:spacing w:after="0" w:line="250" w:lineRule="auto"/>
            </w:pPr>
            <w:r>
              <w:rPr>
                <w:sz w:val="18"/>
              </w:rPr>
              <w:t>Midwives, obstetric specialists, maternal-health dietitians and pregnancy-qualified exercise professionals.</w:t>
            </w:r>
          </w:p>
        </w:tc>
        <w:tc>
          <w:tcPr>
            <w:tcW w:type="dxa" w:w="3755"/>
            <w:vAlign w:val="center"/>
            <w:tcMar>
              <w:top w:w="75" w:type="dxa"/>
              <w:bottom w:w="75" w:type="dxa"/>
              <w:left w:w="85" w:type="dxa"/>
              <w:right w:w="85" w:type="dxa"/>
            </w:tcMar>
          </w:tcPr>
          <w:p>
            <w:pPr>
              <w:spacing w:after="0" w:line="250" w:lineRule="auto"/>
            </w:pPr>
            <w:r>
              <w:rPr>
                <w:sz w:val="18"/>
              </w:rPr>
              <w:t>Separately governed pregnancy/postpartum education and approved movement content.</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Explanation and reach</w:t>
            </w:r>
          </w:p>
        </w:tc>
        <w:tc>
          <w:tcPr>
            <w:tcW w:type="dxa" w:w="3773"/>
            <w:vAlign w:val="center"/>
            <w:tcMar>
              <w:top w:w="75" w:type="dxa"/>
              <w:bottom w:w="75" w:type="dxa"/>
              <w:left w:w="85" w:type="dxa"/>
              <w:right w:w="85" w:type="dxa"/>
            </w:tcMar>
            <w:shd w:fill="F8F1E9"/>
          </w:tcPr>
          <w:p>
            <w:pPr>
              <w:spacing w:after="0" w:line="250" w:lineRule="auto"/>
            </w:pPr>
            <w:r>
              <w:rPr>
                <w:sz w:val="18"/>
              </w:rPr>
              <w:t>Credible creators, influencers and ambassadors.</w:t>
            </w:r>
          </w:p>
        </w:tc>
        <w:tc>
          <w:tcPr>
            <w:tcW w:type="dxa" w:w="3755"/>
            <w:vAlign w:val="center"/>
            <w:tcMar>
              <w:top w:w="75" w:type="dxa"/>
              <w:bottom w:w="75" w:type="dxa"/>
              <w:left w:w="85" w:type="dxa"/>
              <w:right w:w="85" w:type="dxa"/>
            </w:tcMar>
            <w:shd w:fill="F8F1E9"/>
          </w:tcPr>
          <w:p>
            <w:pPr>
              <w:spacing w:after="0" w:line="250" w:lineRule="auto"/>
            </w:pPr>
            <w:r>
              <w:rPr>
                <w:sz w:val="18"/>
              </w:rPr>
              <w:t>Accessible demonstrations, interviews and campaign adaptations; no automatic authority over health claims.</w:t>
            </w:r>
          </w:p>
        </w:tc>
      </w:tr>
      <w:tr>
        <w:trPr>
          <w:cantSplit/>
        </w:trPr>
        <w:tc>
          <w:tcPr>
            <w:tcW w:type="dxa" w:w="2419"/>
            <w:vAlign w:val="center"/>
            <w:tcMar>
              <w:top w:w="75" w:type="dxa"/>
              <w:bottom w:w="75" w:type="dxa"/>
              <w:left w:w="85" w:type="dxa"/>
              <w:right w:w="85" w:type="dxa"/>
            </w:tcMar>
          </w:tcPr>
          <w:p>
            <w:pPr>
              <w:spacing w:after="0" w:line="250" w:lineRule="auto"/>
            </w:pPr>
            <w:r>
              <w:rPr>
                <w:sz w:val="18"/>
              </w:rPr>
              <w:t>Wearable literacy</w:t>
            </w:r>
          </w:p>
        </w:tc>
        <w:tc>
          <w:tcPr>
            <w:tcW w:type="dxa" w:w="3773"/>
            <w:vAlign w:val="center"/>
            <w:tcMar>
              <w:top w:w="75" w:type="dxa"/>
              <w:bottom w:w="75" w:type="dxa"/>
              <w:left w:w="85" w:type="dxa"/>
              <w:right w:w="85" w:type="dxa"/>
            </w:tcMar>
          </w:tcPr>
          <w:p>
            <w:pPr>
              <w:spacing w:after="0" w:line="250" w:lineRule="auto"/>
            </w:pPr>
            <w:r>
              <w:rPr>
                <w:sz w:val="18"/>
              </w:rPr>
              <w:t>Product specialists and approved ecosystem collaborators.</w:t>
            </w:r>
          </w:p>
        </w:tc>
        <w:tc>
          <w:tcPr>
            <w:tcW w:type="dxa" w:w="3755"/>
            <w:vAlign w:val="center"/>
            <w:tcMar>
              <w:top w:w="75" w:type="dxa"/>
              <w:bottom w:w="75" w:type="dxa"/>
              <w:left w:w="85" w:type="dxa"/>
              <w:right w:w="85" w:type="dxa"/>
            </w:tcMar>
          </w:tcPr>
          <w:p>
            <w:pPr>
              <w:spacing w:after="0" w:line="250" w:lineRule="auto"/>
            </w:pPr>
            <w:r>
              <w:rPr>
                <w:sz w:val="18"/>
              </w:rPr>
              <w:t>Connection guides, explanation of source metrics and limitations, and useful non-wearable alternatives.</w:t>
            </w:r>
          </w:p>
        </w:tc>
      </w:tr>
    </w:tbl>
    <w:p>
      <w:pPr>
        <w:spacing w:after="20" w:before="0" w:line="72" w:lineRule="auto"/>
      </w:pPr>
      <w:r>
        <w:rPr>
          <w:sz w:val="4"/>
        </w:rPr>
      </w:r>
    </w:p>
    <w:p>
      <w:r>
        <w:rPr>
          <w:b/>
        </w:rPr>
        <w:t>Proposed content allocation:</w:t>
      </w:r>
      <w:r>
        <w:rPr/>
        <w:t xml:space="preserve"> in the €2M case, €70K for nutrition/cooking, €80K for exercise/movement, €35K for recovery and €55K for shared production, editorial work and rights. In the €5M case, the corresponding figures are €170K, €200K, €85K and €145K. Pregnancy-specific clinical design and evaluation sit in the separate clinical line to avoid double counting.</w:t>
      </w:r>
    </w:p>
    <w:p>
      <w:r>
        <w:rPr/>
        <w:t>For production planning, begin with a release package of 30 reviewed food assets, 30 exercise/movement assets and 15 recovery guides. This is a proposed initial deliverable, not an assertion that the assets exist. Scale options can commission successive packages after completion, usefulness and quality are measured; translated, subtitled and shortened versions must not be counted as new original programmes.</w:t>
      </w:r>
    </w:p>
    <w:p>
      <w:r>
        <w:rPr/>
        <w:t>Every asset requires an author, qualified reviewer where appropriate, publication/review date, version, intended audience, contraindication or limitation tags, source references and documented rights. Contracts should cover territory, language, duration, adaptation, image consent and withdrawal of outdated content. Editorial judgement must remain independent of sponsorship.</w:t>
      </w:r>
    </w:p>
    <w:p>
      <w:r>
        <w:rPr/>
        <w:t>Meal photography and exercise demonstrations need different controls. Meal images produce editable estimates, not precise nutrient measurements. Exercise photos and video teach a movement; automated camera-based diagnosis or injury assessment is not part of this funding case. The user can correct or decline an inference. [S01]</w:t>
      </w:r>
    </w:p>
    <w:p>
      <w:bookmarkStart w:id="8" w:name="section_8"/>
      <w:pPr>
        <w:pStyle w:val="Heading1"/>
      </w:pPr>
      <w:r>
        <w:rPr/>
        <w:t>8. Distribution: how the proposition reaches users</w:t>
      </w:r>
      <w:bookmarkEnd w:id="8"/>
    </w:p>
    <w:p>
      <w:r>
        <w:rPr/>
        <w:t>Each channel has a distinct buyer, introduction mechanism and adoption barrier. A technical integration is not a marketing partnership; a signed institution is not an activated population; a clinician's recommendation is not a paid contract.</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Route</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Initial offer and mechanism</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Commercial treatment and proof</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Nutritionists, trainers and physiotherapists</w:t>
            </w:r>
          </w:p>
        </w:tc>
        <w:tc>
          <w:tcPr>
            <w:tcW w:type="dxa" w:w="3773"/>
            <w:vAlign w:val="center"/>
            <w:tcMar>
              <w:top w:w="75" w:type="dxa"/>
              <w:bottom w:w="75" w:type="dxa"/>
              <w:left w:w="85" w:type="dxa"/>
              <w:right w:w="85" w:type="dxa"/>
            </w:tcMar>
            <w:shd w:fill="F8F1E9"/>
          </w:tcPr>
          <w:p>
            <w:pPr>
              <w:spacing w:after="0" w:line="250" w:lineRule="auto"/>
            </w:pPr>
            <w:r>
              <w:rPr>
                <w:sz w:val="18"/>
              </w:rPr>
              <w:t>Reviewed programme and voluntary access code; introductory session.</w:t>
            </w:r>
          </w:p>
        </w:tc>
        <w:tc>
          <w:tcPr>
            <w:tcW w:type="dxa" w:w="3755"/>
            <w:vAlign w:val="center"/>
            <w:tcMar>
              <w:top w:w="75" w:type="dxa"/>
              <w:bottom w:w="75" w:type="dxa"/>
              <w:left w:w="85" w:type="dxa"/>
              <w:right w:w="85" w:type="dxa"/>
            </w:tcMar>
            <w:shd w:fill="F8F1E9"/>
          </w:tcPr>
          <w:p>
            <w:pPr>
              <w:spacing w:after="0" w:line="250" w:lineRule="auto"/>
            </w:pPr>
            <w:r>
              <w:rPr>
                <w:sz w:val="18"/>
              </w:rPr>
              <w:t>Track productive referrers, consented registrations and retained users. Pay for defined services rather than assume referral commissions are appropriate.</w:t>
            </w:r>
          </w:p>
        </w:tc>
      </w:tr>
      <w:tr>
        <w:trPr>
          <w:cantSplit/>
        </w:trPr>
        <w:tc>
          <w:tcPr>
            <w:tcW w:type="dxa" w:w="2419"/>
            <w:vAlign w:val="center"/>
            <w:tcMar>
              <w:top w:w="75" w:type="dxa"/>
              <w:bottom w:w="75" w:type="dxa"/>
              <w:left w:w="85" w:type="dxa"/>
              <w:right w:w="85" w:type="dxa"/>
            </w:tcMar>
          </w:tcPr>
          <w:p>
            <w:pPr>
              <w:spacing w:after="0" w:line="250" w:lineRule="auto"/>
            </w:pPr>
            <w:r>
              <w:rPr>
                <w:sz w:val="18"/>
              </w:rPr>
              <w:t>Gyms and studios</w:t>
            </w:r>
          </w:p>
        </w:tc>
        <w:tc>
          <w:tcPr>
            <w:tcW w:type="dxa" w:w="3773"/>
            <w:vAlign w:val="center"/>
            <w:tcMar>
              <w:top w:w="75" w:type="dxa"/>
              <w:bottom w:w="75" w:type="dxa"/>
              <w:left w:w="85" w:type="dxa"/>
              <w:right w:w="85" w:type="dxa"/>
            </w:tcMar>
          </w:tcPr>
          <w:p>
            <w:pPr>
              <w:spacing w:after="0" w:line="250" w:lineRule="auto"/>
            </w:pPr>
            <w:r>
              <w:rPr>
                <w:sz w:val="18"/>
              </w:rPr>
              <w:t>Member programme, instructor demonstration and optional access bundle.</w:t>
            </w:r>
          </w:p>
        </w:tc>
        <w:tc>
          <w:tcPr>
            <w:tcW w:type="dxa" w:w="3755"/>
            <w:vAlign w:val="center"/>
            <w:tcMar>
              <w:top w:w="75" w:type="dxa"/>
              <w:bottom w:w="75" w:type="dxa"/>
              <w:left w:w="85" w:type="dxa"/>
              <w:right w:w="85" w:type="dxa"/>
            </w:tcMar>
          </w:tcPr>
          <w:p>
            <w:pPr>
              <w:spacing w:after="0" w:line="250" w:lineRule="auto"/>
            </w:pPr>
            <w:r>
              <w:rPr>
                <w:sz w:val="18"/>
              </w:rPr>
              <w:t>Organisation contract or user subscription; track incremental activation and renewal.</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Hospitals and primary care</w:t>
            </w:r>
          </w:p>
        </w:tc>
        <w:tc>
          <w:tcPr>
            <w:tcW w:type="dxa" w:w="3773"/>
            <w:vAlign w:val="center"/>
            <w:tcMar>
              <w:top w:w="75" w:type="dxa"/>
              <w:bottom w:w="75" w:type="dxa"/>
              <w:left w:w="85" w:type="dxa"/>
              <w:right w:w="85" w:type="dxa"/>
            </w:tcMar>
            <w:shd w:fill="F8F1E9"/>
          </w:tcPr>
          <w:p>
            <w:pPr>
              <w:spacing w:after="0" w:line="250" w:lineRule="auto"/>
            </w:pPr>
            <w:r>
              <w:rPr>
                <w:sz w:val="18"/>
              </w:rPr>
              <w:t>Approved educational pilot through a named service lead.</w:t>
            </w:r>
          </w:p>
        </w:tc>
        <w:tc>
          <w:tcPr>
            <w:tcW w:type="dxa" w:w="3755"/>
            <w:vAlign w:val="center"/>
            <w:tcMar>
              <w:top w:w="75" w:type="dxa"/>
              <w:bottom w:w="75" w:type="dxa"/>
              <w:left w:w="85" w:type="dxa"/>
              <w:right w:w="85" w:type="dxa"/>
            </w:tcMar>
            <w:shd w:fill="F8F1E9"/>
          </w:tcPr>
          <w:p>
            <w:pPr>
              <w:spacing w:after="0" w:line="250" w:lineRule="auto"/>
            </w:pPr>
            <w:r>
              <w:rPr>
                <w:sz w:val="18"/>
              </w:rPr>
              <w:t>Separate institutional approval, procurement and implementation. No assumed health-system contract in the early revenue case.</w:t>
            </w:r>
          </w:p>
        </w:tc>
      </w:tr>
      <w:tr>
        <w:trPr>
          <w:cantSplit/>
        </w:trPr>
        <w:tc>
          <w:tcPr>
            <w:tcW w:type="dxa" w:w="2419"/>
            <w:vAlign w:val="center"/>
            <w:tcMar>
              <w:top w:w="75" w:type="dxa"/>
              <w:bottom w:w="75" w:type="dxa"/>
              <w:left w:w="85" w:type="dxa"/>
              <w:right w:w="85" w:type="dxa"/>
            </w:tcMar>
          </w:tcPr>
          <w:p>
            <w:pPr>
              <w:spacing w:after="0" w:line="250" w:lineRule="auto"/>
            </w:pPr>
            <w:r>
              <w:rPr>
                <w:sz w:val="18"/>
              </w:rPr>
              <w:t>Midwives and obstetric services</w:t>
            </w:r>
          </w:p>
        </w:tc>
        <w:tc>
          <w:tcPr>
            <w:tcW w:type="dxa" w:w="3773"/>
            <w:vAlign w:val="center"/>
            <w:tcMar>
              <w:top w:w="75" w:type="dxa"/>
              <w:bottom w:w="75" w:type="dxa"/>
              <w:left w:w="85" w:type="dxa"/>
              <w:right w:w="85" w:type="dxa"/>
            </w:tcMar>
          </w:tcPr>
          <w:p>
            <w:pPr>
              <w:spacing w:after="0" w:line="250" w:lineRule="auto"/>
            </w:pPr>
            <w:r>
              <w:rPr>
                <w:sz w:val="18"/>
              </w:rPr>
              <w:t>Pregnancy education and support between appointments, only after the dedicated mode is approved.</w:t>
            </w:r>
          </w:p>
        </w:tc>
        <w:tc>
          <w:tcPr>
            <w:tcW w:type="dxa" w:w="3755"/>
            <w:vAlign w:val="center"/>
            <w:tcMar>
              <w:top w:w="75" w:type="dxa"/>
              <w:bottom w:w="75" w:type="dxa"/>
              <w:left w:w="85" w:type="dxa"/>
              <w:right w:w="85" w:type="dxa"/>
            </w:tcMar>
          </w:tcPr>
          <w:p>
            <w:pPr>
              <w:spacing w:after="0" w:line="250" w:lineRule="auto"/>
            </w:pPr>
            <w:r>
              <w:rPr>
                <w:sz w:val="18"/>
              </w:rPr>
              <w:t>Clinically reviewed pathway; no automatic enrolment, diagnosis or patient-data sharing.</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Endocrinologists and women's-health specialists</w:t>
            </w:r>
          </w:p>
        </w:tc>
        <w:tc>
          <w:tcPr>
            <w:tcW w:type="dxa" w:w="3773"/>
            <w:vAlign w:val="center"/>
            <w:tcMar>
              <w:top w:w="75" w:type="dxa"/>
              <w:bottom w:w="75" w:type="dxa"/>
              <w:left w:w="85" w:type="dxa"/>
              <w:right w:w="85" w:type="dxa"/>
            </w:tcMar>
            <w:shd w:fill="F8F1E9"/>
          </w:tcPr>
          <w:p>
            <w:pPr>
              <w:spacing w:after="0" w:line="250" w:lineRule="auto"/>
            </w:pPr>
            <w:r>
              <w:rPr>
                <w:sz w:val="18"/>
              </w:rPr>
              <w:t>User-controlled wellbeing records and general education within approved boundaries.</w:t>
            </w:r>
          </w:p>
        </w:tc>
        <w:tc>
          <w:tcPr>
            <w:tcW w:type="dxa" w:w="3755"/>
            <w:vAlign w:val="center"/>
            <w:tcMar>
              <w:top w:w="75" w:type="dxa"/>
              <w:bottom w:w="75" w:type="dxa"/>
              <w:left w:w="85" w:type="dxa"/>
              <w:right w:w="85" w:type="dxa"/>
            </w:tcMar>
            <w:shd w:fill="F8F1E9"/>
          </w:tcPr>
          <w:p>
            <w:pPr>
              <w:spacing w:after="0" w:line="250" w:lineRule="auto"/>
            </w:pPr>
            <w:r>
              <w:rPr>
                <w:sz w:val="18"/>
              </w:rPr>
              <w:t>No treatment recommendations or laboratory interpretation without a separately assessed product pathway.</w:t>
            </w:r>
          </w:p>
        </w:tc>
      </w:tr>
      <w:tr>
        <w:trPr>
          <w:cantSplit/>
        </w:trPr>
        <w:tc>
          <w:tcPr>
            <w:tcW w:type="dxa" w:w="2419"/>
            <w:vAlign w:val="center"/>
            <w:tcMar>
              <w:top w:w="75" w:type="dxa"/>
              <w:bottom w:w="75" w:type="dxa"/>
              <w:left w:w="85" w:type="dxa"/>
              <w:right w:w="85" w:type="dxa"/>
            </w:tcMar>
          </w:tcPr>
          <w:p>
            <w:pPr>
              <w:spacing w:after="0" w:line="250" w:lineRule="auto"/>
            </w:pPr>
            <w:r>
              <w:rPr>
                <w:sz w:val="18"/>
              </w:rPr>
              <w:t>Professional and nursing bodies</w:t>
            </w:r>
          </w:p>
        </w:tc>
        <w:tc>
          <w:tcPr>
            <w:tcW w:type="dxa" w:w="3773"/>
            <w:vAlign w:val="center"/>
            <w:tcMar>
              <w:top w:w="75" w:type="dxa"/>
              <w:bottom w:w="75" w:type="dxa"/>
              <w:left w:w="85" w:type="dxa"/>
              <w:right w:w="85" w:type="dxa"/>
            </w:tcMar>
          </w:tcPr>
          <w:p>
            <w:pPr>
              <w:spacing w:after="0" w:line="250" w:lineRule="auto"/>
            </w:pPr>
            <w:r>
              <w:rPr>
                <w:sz w:val="18"/>
              </w:rPr>
              <w:t>Educational webinars, professional materials, member information and workshops.</w:t>
            </w:r>
          </w:p>
        </w:tc>
        <w:tc>
          <w:tcPr>
            <w:tcW w:type="dxa" w:w="3755"/>
            <w:vAlign w:val="center"/>
            <w:tcMar>
              <w:top w:w="75" w:type="dxa"/>
              <w:bottom w:w="75" w:type="dxa"/>
              <w:left w:w="85" w:type="dxa"/>
              <w:right w:w="85" w:type="dxa"/>
            </w:tcMar>
          </w:tcPr>
          <w:p>
            <w:pPr>
              <w:spacing w:after="0" w:line="250" w:lineRule="auto"/>
            </w:pPr>
            <w:r>
              <w:rPr>
                <w:sz w:val="18"/>
              </w:rPr>
              <w:t>Endorsement and distribution rights agreed expressly; a logo is not permission.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Employers and universities</w:t>
            </w:r>
          </w:p>
        </w:tc>
        <w:tc>
          <w:tcPr>
            <w:tcW w:type="dxa" w:w="3773"/>
            <w:vAlign w:val="center"/>
            <w:tcMar>
              <w:top w:w="75" w:type="dxa"/>
              <w:bottom w:w="75" w:type="dxa"/>
              <w:left w:w="85" w:type="dxa"/>
              <w:right w:w="85" w:type="dxa"/>
            </w:tcMar>
            <w:shd w:fill="F8F1E9"/>
          </w:tcPr>
          <w:p>
            <w:pPr>
              <w:spacing w:after="0" w:line="250" w:lineRule="auto"/>
            </w:pPr>
            <w:r>
              <w:rPr>
                <w:sz w:val="18"/>
              </w:rPr>
              <w:t>Time-bounded voluntary wellbeing programme and licences.</w:t>
            </w:r>
          </w:p>
        </w:tc>
        <w:tc>
          <w:tcPr>
            <w:tcW w:type="dxa" w:w="3755"/>
            <w:vAlign w:val="center"/>
            <w:tcMar>
              <w:top w:w="75" w:type="dxa"/>
              <w:bottom w:w="75" w:type="dxa"/>
              <w:left w:w="85" w:type="dxa"/>
              <w:right w:w="85" w:type="dxa"/>
            </w:tcMar>
            <w:shd w:fill="F8F1E9"/>
          </w:tcPr>
          <w:p>
            <w:pPr>
              <w:spacing w:after="0" w:line="250" w:lineRule="auto"/>
            </w:pPr>
            <w:r>
              <w:rPr>
                <w:sz w:val="18"/>
              </w:rPr>
              <w:t>Contracted, activated and regularly active seats reported separately; no employer access to individual health records.</w:t>
            </w:r>
          </w:p>
        </w:tc>
      </w:tr>
      <w:tr>
        <w:trPr>
          <w:cantSplit/>
        </w:trPr>
        <w:tc>
          <w:tcPr>
            <w:tcW w:type="dxa" w:w="2419"/>
            <w:vAlign w:val="center"/>
            <w:tcMar>
              <w:top w:w="75" w:type="dxa"/>
              <w:bottom w:w="75" w:type="dxa"/>
              <w:left w:w="85" w:type="dxa"/>
              <w:right w:w="85" w:type="dxa"/>
            </w:tcMar>
          </w:tcPr>
          <w:p>
            <w:pPr>
              <w:spacing w:after="0" w:line="250" w:lineRule="auto"/>
            </w:pPr>
            <w:r>
              <w:rPr>
                <w:sz w:val="18"/>
              </w:rPr>
              <w:t>Wearable ecosystems</w:t>
            </w:r>
          </w:p>
        </w:tc>
        <w:tc>
          <w:tcPr>
            <w:tcW w:type="dxa" w:w="3773"/>
            <w:vAlign w:val="center"/>
            <w:tcMar>
              <w:top w:w="75" w:type="dxa"/>
              <w:bottom w:w="75" w:type="dxa"/>
              <w:left w:w="85" w:type="dxa"/>
              <w:right w:w="85" w:type="dxa"/>
            </w:tcMar>
          </w:tcPr>
          <w:p>
            <w:pPr>
              <w:spacing w:after="0" w:line="250" w:lineRule="auto"/>
            </w:pPr>
            <w:r>
              <w:rPr>
                <w:sz w:val="18"/>
              </w:rPr>
              <w:t>User-authorised connections and, separately, possible ecosystem listings or co-marketing.</w:t>
            </w:r>
          </w:p>
        </w:tc>
        <w:tc>
          <w:tcPr>
            <w:tcW w:type="dxa" w:w="3755"/>
            <w:vAlign w:val="center"/>
            <w:tcMar>
              <w:top w:w="75" w:type="dxa"/>
              <w:bottom w:w="75" w:type="dxa"/>
              <w:left w:w="85" w:type="dxa"/>
              <w:right w:w="85" w:type="dxa"/>
            </w:tcMar>
          </w:tcPr>
          <w:p>
            <w:pPr>
              <w:spacing w:after="0" w:line="250" w:lineRule="auto"/>
            </w:pPr>
            <w:r>
              <w:rPr>
                <w:sz w:val="18"/>
              </w:rPr>
              <w:t>Provider permission and terms first; no assumed distribution to an installed device base.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Fashion, activewear and lifestyle retail</w:t>
            </w:r>
          </w:p>
        </w:tc>
        <w:tc>
          <w:tcPr>
            <w:tcW w:type="dxa" w:w="3773"/>
            <w:vAlign w:val="center"/>
            <w:tcMar>
              <w:top w:w="75" w:type="dxa"/>
              <w:bottom w:w="75" w:type="dxa"/>
              <w:left w:w="85" w:type="dxa"/>
              <w:right w:w="85" w:type="dxa"/>
            </w:tcMar>
            <w:shd w:fill="F8F1E9"/>
          </w:tcPr>
          <w:p>
            <w:pPr>
              <w:spacing w:after="0" w:line="250" w:lineRule="auto"/>
            </w:pPr>
            <w:r>
              <w:rPr>
                <w:sz w:val="18"/>
              </w:rPr>
              <w:t>Useful shopping/comfort/movement content, stores, receipts or voluntary loyalty offers.</w:t>
            </w:r>
          </w:p>
        </w:tc>
        <w:tc>
          <w:tcPr>
            <w:tcW w:type="dxa" w:w="3755"/>
            <w:vAlign w:val="center"/>
            <w:tcMar>
              <w:top w:w="75" w:type="dxa"/>
              <w:bottom w:w="75" w:type="dxa"/>
              <w:left w:w="85" w:type="dxa"/>
              <w:right w:w="85" w:type="dxa"/>
            </w:tcMar>
            <w:shd w:fill="F8F1E9"/>
          </w:tcPr>
          <w:p>
            <w:pPr>
              <w:spacing w:after="0" w:line="250" w:lineRule="auto"/>
            </w:pPr>
            <w:r>
              <w:rPr>
                <w:sz w:val="18"/>
              </w:rPr>
              <w:t>Campaign or distribution contract; no body-shaming or health-data matching with retail profiles.</w:t>
            </w:r>
          </w:p>
        </w:tc>
      </w:tr>
      <w:tr>
        <w:trPr>
          <w:cantSplit/>
        </w:trPr>
        <w:tc>
          <w:tcPr>
            <w:tcW w:type="dxa" w:w="2419"/>
            <w:vAlign w:val="center"/>
            <w:tcMar>
              <w:top w:w="75" w:type="dxa"/>
              <w:bottom w:w="75" w:type="dxa"/>
              <w:left w:w="85" w:type="dxa"/>
              <w:right w:w="85" w:type="dxa"/>
            </w:tcMar>
          </w:tcPr>
          <w:p>
            <w:pPr>
              <w:spacing w:after="0" w:line="250" w:lineRule="auto"/>
            </w:pPr>
            <w:r>
              <w:rPr>
                <w:sz w:val="18"/>
              </w:rPr>
              <w:t>Sports events and clubs</w:t>
            </w:r>
          </w:p>
        </w:tc>
        <w:tc>
          <w:tcPr>
            <w:tcW w:type="dxa" w:w="3773"/>
            <w:vAlign w:val="center"/>
            <w:tcMar>
              <w:top w:w="75" w:type="dxa"/>
              <w:bottom w:w="75" w:type="dxa"/>
              <w:left w:w="85" w:type="dxa"/>
              <w:right w:w="85" w:type="dxa"/>
            </w:tcMar>
          </w:tcPr>
          <w:p>
            <w:pPr>
              <w:spacing w:after="0" w:line="250" w:lineRule="auto"/>
            </w:pPr>
            <w:r>
              <w:rPr>
                <w:sz w:val="18"/>
              </w:rPr>
              <w:t>Pre-event education, accessible movement sessions and post-event guides.</w:t>
            </w:r>
          </w:p>
        </w:tc>
        <w:tc>
          <w:tcPr>
            <w:tcW w:type="dxa" w:w="3755"/>
            <w:vAlign w:val="center"/>
            <w:tcMar>
              <w:top w:w="75" w:type="dxa"/>
              <w:bottom w:w="75" w:type="dxa"/>
              <w:left w:w="85" w:type="dxa"/>
              <w:right w:w="85" w:type="dxa"/>
            </w:tcMar>
          </w:tcPr>
          <w:p>
            <w:pPr>
              <w:spacing w:after="0" w:line="250" w:lineRule="auto"/>
            </w:pPr>
            <w:r>
              <w:rPr>
                <w:sz w:val="18"/>
              </w:rPr>
              <w:t>Event-specific codes, activation cohorts and full event cost.</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Internet and social networks</w:t>
            </w:r>
          </w:p>
        </w:tc>
        <w:tc>
          <w:tcPr>
            <w:tcW w:type="dxa" w:w="3773"/>
            <w:vAlign w:val="center"/>
            <w:tcMar>
              <w:top w:w="75" w:type="dxa"/>
              <w:bottom w:w="75" w:type="dxa"/>
              <w:left w:w="85" w:type="dxa"/>
              <w:right w:w="85" w:type="dxa"/>
            </w:tcMar>
            <w:shd w:fill="F8F1E9"/>
          </w:tcPr>
          <w:p>
            <w:pPr>
              <w:spacing w:after="0" w:line="250" w:lineRule="auto"/>
            </w:pPr>
            <w:r>
              <w:rPr>
                <w:sz w:val="18"/>
              </w:rPr>
              <w:t>Searchable content, app-store presence, creator demonstrations and direct discovery.</w:t>
            </w:r>
          </w:p>
        </w:tc>
        <w:tc>
          <w:tcPr>
            <w:tcW w:type="dxa" w:w="3755"/>
            <w:vAlign w:val="center"/>
            <w:tcMar>
              <w:top w:w="75" w:type="dxa"/>
              <w:bottom w:w="75" w:type="dxa"/>
              <w:left w:w="85" w:type="dxa"/>
              <w:right w:w="85" w:type="dxa"/>
            </w:tcMar>
            <w:shd w:fill="F8F1E9"/>
          </w:tcPr>
          <w:p>
            <w:pPr>
              <w:spacing w:after="0" w:line="250" w:lineRule="auto"/>
            </w:pPr>
            <w:r>
              <w:rPr>
                <w:sz w:val="18"/>
              </w:rPr>
              <w:t>Attribute to incremental activated/paying users, not follower totals.</w:t>
            </w:r>
          </w:p>
        </w:tc>
      </w:tr>
    </w:tbl>
    <w:p>
      <w:pPr>
        <w:spacing w:after="20" w:before="0" w:line="72" w:lineRule="auto"/>
      </w:pPr>
      <w:r>
        <w:rPr>
          <w:sz w:val="4"/>
        </w:rPr>
      </w:r>
    </w:p>
    <w:p>
      <w:r>
        <w:rPr/>
        <w:t>Distribution investment pays for business development, legal/commercial onboarding, training, materials, implementation and account management. For the €2M plan, propose €110K for relationship/account capacity, €40K for partner enablement, €30K for demos/travel and €20K for customer success. Under €5M, use €270K, €100K, €70K and €60K respectively.</w:t>
      </w:r>
    </w:p>
    <w:p>
      <w:r>
        <w:rPr/>
        <w:t>The initial commercial objective is to establish one repeatable direct route and one repeatable partner-funded or partner-introduced route. Hospitals remain strategically important, but the near-term plan must also function without hospital procurement closing on schedule. Partner agreements must prohibit uploading patient lists, employee health information or inferred pregnancy audiences into advertising systems.</w:t>
      </w:r>
    </w:p>
    <w:p>
      <w:bookmarkStart w:id="9" w:name="section_9"/>
      <w:pPr>
        <w:pStyle w:val="Heading1"/>
      </w:pPr>
      <w:r>
        <w:rPr/>
        <w:t>9. Marketing: ATL, BTL and the conversion journey</w:t>
      </w:r>
      <w:bookmarkEnd w:id="9"/>
    </w:p>
    <w:p>
      <w:r>
        <w:rPr/>
        <w:t>Marketing is a core investment programme, not a residual line. The role of awareness is to create demand that the product and distribution system can convert and retain. A channel menu is not permission to deploy every channel simultaneously.</w:t>
      </w:r>
    </w:p>
    <w:p>
      <w:r>
        <w:rPr>
          <w:b/>
        </w:rPr>
        <w:t>ATL—broad awareness:</w:t>
      </w:r>
      <w:r>
        <w:rPr/>
        <w:t xml:space="preserve"> regional outdoor and transit placements, radio and audio, relevant media, selected print/digital publications, and larger-reach campaigns. Public relations and earned coverage support awareness but should be budgeted and measured separately from purchased media. National television or large celebrity contracts require evidence and a specific business case.</w:t>
      </w:r>
    </w:p>
    <w:p>
      <w:r>
        <w:rPr>
          <w:b/>
        </w:rPr>
        <w:t>BTL—direct activation:</w:t>
      </w:r>
      <w:r>
        <w:rPr/>
        <w:t xml:space="preserve"> professional workshops, gym/studio sessions, retailer demonstrations, shopping-mall pop-ups, university and workplace events, roadshows, sports events, community sessions, QR materials and invitation-based programmes. Each activation must connect to an actual useful experience in the app.</w:t>
      </w:r>
    </w:p>
    <w:p>
      <w:r>
        <w:rPr>
          <w:b/>
        </w:rPr>
        <w:t>TTL—integrated campaigns:</w:t>
      </w:r>
      <w:r>
        <w:rPr/>
        <w:t xml:space="preserve"> one theme carried from broad awareness through a creator or professional introduction, an event or landing page, a first useful app action and opt-in follow-up. TTL is a marketing concept; the product's personalisation feedback loop is a different system.</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Marketing activity</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€2M plan</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€5M plan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Paid digital acquisition and search/app-store tests</w:t>
            </w:r>
          </w:p>
        </w:tc>
        <w:tc>
          <w:tcPr>
            <w:tcW w:type="dxa" w:w="3773"/>
            <w:vAlign w:val="center"/>
            <w:tcMar>
              <w:top w:w="75" w:type="dxa"/>
              <w:bottom w:w="75" w:type="dxa"/>
              <w:left w:w="85" w:type="dxa"/>
              <w:right w:w="85" w:type="dxa"/>
            </w:tcMar>
            <w:shd w:fill="F8F1E9"/>
          </w:tcPr>
          <w:p>
            <w:pPr>
              <w:spacing w:after="0" w:line="250" w:lineRule="auto"/>
              <w:jc w:val="right"/>
            </w:pPr>
            <w:r>
              <w:rPr>
                <w:sz w:val="18"/>
              </w:rPr>
              <w:t>€180K</w:t>
            </w:r>
          </w:p>
        </w:tc>
        <w:tc>
          <w:tcPr>
            <w:tcW w:type="dxa" w:w="3755"/>
            <w:vAlign w:val="center"/>
            <w:tcMar>
              <w:top w:w="75" w:type="dxa"/>
              <w:bottom w:w="75" w:type="dxa"/>
              <w:left w:w="85" w:type="dxa"/>
              <w:right w:w="85" w:type="dxa"/>
            </w:tcMar>
            <w:shd w:fill="F8F1E9"/>
          </w:tcPr>
          <w:p>
            <w:pPr>
              <w:spacing w:after="0" w:line="250" w:lineRule="auto"/>
              <w:jc w:val="right"/>
            </w:pPr>
            <w:r>
              <w:rPr>
                <w:sz w:val="18"/>
              </w:rPr>
              <w:t>€650K</w:t>
            </w:r>
          </w:p>
        </w:tc>
      </w:tr>
      <w:tr>
        <w:trPr>
          <w:cantSplit/>
        </w:trPr>
        <w:tc>
          <w:tcPr>
            <w:tcW w:type="dxa" w:w="2419"/>
            <w:vAlign w:val="center"/>
            <w:tcMar>
              <w:top w:w="75" w:type="dxa"/>
              <w:bottom w:w="75" w:type="dxa"/>
              <w:left w:w="85" w:type="dxa"/>
              <w:right w:w="85" w:type="dxa"/>
            </w:tcMar>
          </w:tcPr>
          <w:p>
            <w:pPr>
              <w:spacing w:after="0" w:line="250" w:lineRule="auto"/>
            </w:pPr>
            <w:r>
              <w:rPr>
                <w:sz w:val="18"/>
              </w:rPr>
              <w:t>Creators and ambassadors; campaign usage rights</w:t>
            </w:r>
          </w:p>
        </w:tc>
        <w:tc>
          <w:tcPr>
            <w:tcW w:type="dxa" w:w="3773"/>
            <w:vAlign w:val="center"/>
            <w:tcMar>
              <w:top w:w="75" w:type="dxa"/>
              <w:bottom w:w="75" w:type="dxa"/>
              <w:left w:w="85" w:type="dxa"/>
              <w:right w:w="85" w:type="dxa"/>
            </w:tcMar>
          </w:tcPr>
          <w:p>
            <w:pPr>
              <w:spacing w:after="0" w:line="250" w:lineRule="auto"/>
              <w:jc w:val="right"/>
            </w:pPr>
            <w:r>
              <w:rPr>
                <w:sz w:val="18"/>
              </w:rPr>
              <w:t>€70K</w:t>
            </w:r>
          </w:p>
        </w:tc>
        <w:tc>
          <w:tcPr>
            <w:tcW w:type="dxa" w:w="3755"/>
            <w:vAlign w:val="center"/>
            <w:tcMar>
              <w:top w:w="75" w:type="dxa"/>
              <w:bottom w:w="75" w:type="dxa"/>
              <w:left w:w="85" w:type="dxa"/>
              <w:right w:w="85" w:type="dxa"/>
            </w:tcMar>
          </w:tcPr>
          <w:p>
            <w:pPr>
              <w:spacing w:after="0" w:line="250" w:lineRule="auto"/>
              <w:jc w:val="right"/>
            </w:pPr>
            <w:r>
              <w:rPr>
                <w:sz w:val="18"/>
              </w:rPr>
              <w:t>€220K</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BTL events, roadshows, retail and shopping malls</w:t>
            </w:r>
          </w:p>
        </w:tc>
        <w:tc>
          <w:tcPr>
            <w:tcW w:type="dxa" w:w="3773"/>
            <w:vAlign w:val="center"/>
            <w:tcMar>
              <w:top w:w="75" w:type="dxa"/>
              <w:bottom w:w="75" w:type="dxa"/>
              <w:left w:w="85" w:type="dxa"/>
              <w:right w:w="85" w:type="dxa"/>
            </w:tcMar>
            <w:shd w:fill="F8F1E9"/>
          </w:tcPr>
          <w:p>
            <w:pPr>
              <w:spacing w:after="0" w:line="250" w:lineRule="auto"/>
              <w:jc w:val="right"/>
            </w:pPr>
            <w:r>
              <w:rPr>
                <w:sz w:val="18"/>
              </w:rPr>
              <w:t>€70K</w:t>
            </w:r>
          </w:p>
        </w:tc>
        <w:tc>
          <w:tcPr>
            <w:tcW w:type="dxa" w:w="3755"/>
            <w:vAlign w:val="center"/>
            <w:tcMar>
              <w:top w:w="75" w:type="dxa"/>
              <w:bottom w:w="75" w:type="dxa"/>
              <w:left w:w="85" w:type="dxa"/>
              <w:right w:w="85" w:type="dxa"/>
            </w:tcMar>
            <w:shd w:fill="F8F1E9"/>
          </w:tcPr>
          <w:p>
            <w:pPr>
              <w:spacing w:after="0" w:line="250" w:lineRule="auto"/>
              <w:jc w:val="right"/>
            </w:pPr>
            <w:r>
              <w:rPr>
                <w:sz w:val="18"/>
              </w:rPr>
              <w:t>€200K</w:t>
            </w:r>
          </w:p>
        </w:tc>
      </w:tr>
      <w:tr>
        <w:trPr>
          <w:cantSplit/>
        </w:trPr>
        <w:tc>
          <w:tcPr>
            <w:tcW w:type="dxa" w:w="2419"/>
            <w:vAlign w:val="center"/>
            <w:tcMar>
              <w:top w:w="75" w:type="dxa"/>
              <w:bottom w:w="75" w:type="dxa"/>
              <w:left w:w="85" w:type="dxa"/>
              <w:right w:w="85" w:type="dxa"/>
            </w:tcMar>
          </w:tcPr>
          <w:p>
            <w:pPr>
              <w:spacing w:after="0" w:line="250" w:lineRule="auto"/>
            </w:pPr>
            <w:r>
              <w:rPr>
                <w:sz w:val="18"/>
              </w:rPr>
              <w:t>ATL/local awareness, selected media and PR</w:t>
            </w:r>
          </w:p>
        </w:tc>
        <w:tc>
          <w:tcPr>
            <w:tcW w:type="dxa" w:w="3773"/>
            <w:vAlign w:val="center"/>
            <w:tcMar>
              <w:top w:w="75" w:type="dxa"/>
              <w:bottom w:w="75" w:type="dxa"/>
              <w:left w:w="85" w:type="dxa"/>
              <w:right w:w="85" w:type="dxa"/>
            </w:tcMar>
          </w:tcPr>
          <w:p>
            <w:pPr>
              <w:spacing w:after="0" w:line="250" w:lineRule="auto"/>
              <w:jc w:val="right"/>
            </w:pPr>
            <w:r>
              <w:rPr>
                <w:sz w:val="18"/>
              </w:rPr>
              <w:t>€40K</w:t>
            </w:r>
          </w:p>
        </w:tc>
        <w:tc>
          <w:tcPr>
            <w:tcW w:type="dxa" w:w="3755"/>
            <w:vAlign w:val="center"/>
            <w:tcMar>
              <w:top w:w="75" w:type="dxa"/>
              <w:bottom w:w="75" w:type="dxa"/>
              <w:left w:w="85" w:type="dxa"/>
              <w:right w:w="85" w:type="dxa"/>
            </w:tcMar>
          </w:tcPr>
          <w:p>
            <w:pPr>
              <w:spacing w:after="0" w:line="250" w:lineRule="auto"/>
              <w:jc w:val="right"/>
            </w:pPr>
            <w:r>
              <w:rPr>
                <w:sz w:val="18"/>
              </w:rPr>
              <w:t>€180K</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Searchable editorial content and organic discovery</w:t>
            </w:r>
          </w:p>
        </w:tc>
        <w:tc>
          <w:tcPr>
            <w:tcW w:type="dxa" w:w="3773"/>
            <w:vAlign w:val="center"/>
            <w:tcMar>
              <w:top w:w="75" w:type="dxa"/>
              <w:bottom w:w="75" w:type="dxa"/>
              <w:left w:w="85" w:type="dxa"/>
              <w:right w:w="85" w:type="dxa"/>
            </w:tcMar>
            <w:shd w:fill="F8F1E9"/>
          </w:tcPr>
          <w:p>
            <w:pPr>
              <w:spacing w:after="0" w:line="250" w:lineRule="auto"/>
              <w:jc w:val="right"/>
            </w:pPr>
            <w:r>
              <w:rPr>
                <w:sz w:val="18"/>
              </w:rPr>
              <w:t>€30K</w:t>
            </w:r>
          </w:p>
        </w:tc>
        <w:tc>
          <w:tcPr>
            <w:tcW w:type="dxa" w:w="3755"/>
            <w:vAlign w:val="center"/>
            <w:tcMar>
              <w:top w:w="75" w:type="dxa"/>
              <w:bottom w:w="75" w:type="dxa"/>
              <w:left w:w="85" w:type="dxa"/>
              <w:right w:w="85" w:type="dxa"/>
            </w:tcMar>
            <w:shd w:fill="F8F1E9"/>
          </w:tcPr>
          <w:p>
            <w:pPr>
              <w:spacing w:after="0" w:line="250" w:lineRule="auto"/>
              <w:jc w:val="right"/>
            </w:pPr>
            <w:r>
              <w:rPr>
                <w:sz w:val="18"/>
              </w:rPr>
              <w:t>€80K</w:t>
            </w:r>
          </w:p>
        </w:tc>
      </w:tr>
      <w:tr>
        <w:trPr>
          <w:cantSplit/>
        </w:trPr>
        <w:tc>
          <w:tcPr>
            <w:tcW w:type="dxa" w:w="2419"/>
            <w:vAlign w:val="center"/>
            <w:tcMar>
              <w:top w:w="75" w:type="dxa"/>
              <w:bottom w:w="75" w:type="dxa"/>
              <w:left w:w="85" w:type="dxa"/>
              <w:right w:w="85" w:type="dxa"/>
            </w:tcMar>
          </w:tcPr>
          <w:p>
            <w:pPr>
              <w:spacing w:after="0" w:line="250" w:lineRule="auto"/>
            </w:pPr>
            <w:r>
              <w:rPr>
                <w:sz w:val="18"/>
              </w:rPr>
              <w:t>Opt-in lifecycle communication and referrals</w:t>
            </w:r>
          </w:p>
        </w:tc>
        <w:tc>
          <w:tcPr>
            <w:tcW w:type="dxa" w:w="3773"/>
            <w:vAlign w:val="center"/>
            <w:tcMar>
              <w:top w:w="75" w:type="dxa"/>
              <w:bottom w:w="75" w:type="dxa"/>
              <w:left w:w="85" w:type="dxa"/>
              <w:right w:w="85" w:type="dxa"/>
            </w:tcMar>
          </w:tcPr>
          <w:p>
            <w:pPr>
              <w:spacing w:after="0" w:line="250" w:lineRule="auto"/>
              <w:jc w:val="right"/>
            </w:pPr>
            <w:r>
              <w:rPr>
                <w:sz w:val="18"/>
              </w:rPr>
              <w:t>€20K</w:t>
            </w:r>
          </w:p>
        </w:tc>
        <w:tc>
          <w:tcPr>
            <w:tcW w:type="dxa" w:w="3755"/>
            <w:vAlign w:val="center"/>
            <w:tcMar>
              <w:top w:w="75" w:type="dxa"/>
              <w:bottom w:w="75" w:type="dxa"/>
              <w:left w:w="85" w:type="dxa"/>
              <w:right w:w="85" w:type="dxa"/>
            </w:tcMar>
          </w:tcPr>
          <w:p>
            <w:pPr>
              <w:spacing w:after="0" w:line="250" w:lineRule="auto"/>
              <w:jc w:val="right"/>
            </w:pPr>
            <w:r>
              <w:rPr>
                <w:sz w:val="18"/>
              </w:rPr>
              <w:t>€40K</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Growth operations, attribution and experiments</w:t>
            </w:r>
          </w:p>
        </w:tc>
        <w:tc>
          <w:tcPr>
            <w:tcW w:type="dxa" w:w="3773"/>
            <w:vAlign w:val="center"/>
            <w:tcMar>
              <w:top w:w="75" w:type="dxa"/>
              <w:bottom w:w="75" w:type="dxa"/>
              <w:left w:w="85" w:type="dxa"/>
              <w:right w:w="85" w:type="dxa"/>
            </w:tcMar>
            <w:shd w:fill="F8F1E9"/>
          </w:tcPr>
          <w:p>
            <w:pPr>
              <w:spacing w:after="0" w:line="250" w:lineRule="auto"/>
              <w:jc w:val="right"/>
            </w:pPr>
            <w:r>
              <w:rPr>
                <w:sz w:val="18"/>
              </w:rPr>
              <w:t>€40K</w:t>
            </w:r>
          </w:p>
        </w:tc>
        <w:tc>
          <w:tcPr>
            <w:tcW w:type="dxa" w:w="3755"/>
            <w:vAlign w:val="center"/>
            <w:tcMar>
              <w:top w:w="75" w:type="dxa"/>
              <w:bottom w:w="75" w:type="dxa"/>
              <w:left w:w="85" w:type="dxa"/>
              <w:right w:w="85" w:type="dxa"/>
            </w:tcMar>
            <w:shd w:fill="F8F1E9"/>
          </w:tcPr>
          <w:p>
            <w:pPr>
              <w:spacing w:after="0" w:line="250" w:lineRule="auto"/>
              <w:jc w:val="right"/>
            </w:pPr>
            <w:r>
              <w:rPr>
                <w:sz w:val="18"/>
              </w:rPr>
              <w:t>€80K</w:t>
            </w:r>
          </w:p>
        </w:tc>
      </w:tr>
      <w:tr>
        <w:trPr>
          <w:cantSplit/>
        </w:trPr>
        <w:tc>
          <w:tcPr>
            <w:tcW w:type="dxa" w:w="2419"/>
            <w:vAlign w:val="center"/>
            <w:tcMar>
              <w:top w:w="75" w:type="dxa"/>
              <w:bottom w:w="75" w:type="dxa"/>
              <w:left w:w="85" w:type="dxa"/>
              <w:right w:w="85" w:type="dxa"/>
            </w:tcMar>
          </w:tcPr>
          <w:p>
            <w:pPr>
              <w:spacing w:after="0" w:line="250" w:lineRule="auto"/>
            </w:pPr>
            <w:r>
              <w:rPr>
                <w:b/>
                <w:sz w:val="18"/>
              </w:rPr>
              <w:t>Total</w:t>
            </w:r>
          </w:p>
        </w:tc>
        <w:tc>
          <w:tcPr>
            <w:tcW w:type="dxa" w:w="3773"/>
            <w:vAlign w:val="center"/>
            <w:tcMar>
              <w:top w:w="75" w:type="dxa"/>
              <w:bottom w:w="75" w:type="dxa"/>
              <w:left w:w="85" w:type="dxa"/>
              <w:right w:w="85" w:type="dxa"/>
            </w:tcMar>
          </w:tcPr>
          <w:p>
            <w:pPr>
              <w:spacing w:after="0" w:line="250" w:lineRule="auto"/>
              <w:jc w:val="right"/>
            </w:pPr>
            <w:r>
              <w:rPr>
                <w:b/>
                <w:sz w:val="18"/>
              </w:rPr>
              <w:t>€450K</w:t>
            </w:r>
          </w:p>
        </w:tc>
        <w:tc>
          <w:tcPr>
            <w:tcW w:type="dxa" w:w="3755"/>
            <w:vAlign w:val="center"/>
            <w:tcMar>
              <w:top w:w="75" w:type="dxa"/>
              <w:bottom w:w="75" w:type="dxa"/>
              <w:left w:w="85" w:type="dxa"/>
              <w:right w:w="85" w:type="dxa"/>
            </w:tcMar>
          </w:tcPr>
          <w:p>
            <w:pPr>
              <w:spacing w:after="0" w:line="250" w:lineRule="auto"/>
              <w:jc w:val="right"/>
            </w:pPr>
            <w:r>
              <w:rPr>
                <w:b/>
                <w:sz w:val="18"/>
              </w:rPr>
              <w:t>€1,450K</w:t>
            </w:r>
          </w:p>
        </w:tc>
      </w:tr>
    </w:tbl>
    <w:p>
      <w:pPr>
        <w:spacing w:after="20" w:before="0" w:line="72" w:lineRule="auto"/>
      </w:pPr>
      <w:r>
        <w:rPr>
          <w:sz w:val="4"/>
        </w:rPr>
      </w:r>
    </w:p>
    <w:p>
      <w:r>
        <w:rPr/>
        <w:t>These are spend ceilings. Product-library production belongs in the content budget; campaign adaptation and media rights belong here. Partner sales staff belong in distribution. Every purchase order must have a single cost owner.</w:t>
      </w:r>
    </w:p>
    <w:p>
      <w:r>
        <w:rPr/>
        <w:t xml:space="preserve">A proposed </w:t>
      </w:r>
      <w:r>
        <w:rPr>
          <w:b/>
        </w:rPr>
        <w:t>“Eat, Move, Recover—Your Way”</w:t>
      </w:r>
      <w:r>
        <w:rPr/>
        <w:t xml:space="preserve"> campaign illustrates the model. A chef and trainer make a practical short demonstration. A gym or retailer hosts a small session. A shopping-mall activation offers a useful recipe and movement guide rather than an invasive health screening. The participant voluntarily joins a short in-app programme. Follow-up asks whether the programme was useful and presents an optional subscription. A professional or maternal version would have its own reviewed scope.</w:t>
      </w:r>
    </w:p>
    <w:p>
      <w:r>
        <w:rPr/>
        <w:t>Measure the complete journey: qualified reach; visits; registrations; first meaningful action; repeat use; first payment; retained payment; contribution after service cost. Use local comparisons or holdouts where feasible to test incremental campaign impact. Do not upload health events, cycle phases, pregnancy status, meals or wearable information to ad platforms. A QR scan is not a paying customer.</w:t>
      </w:r>
    </w:p>
    <w:p>
      <w:bookmarkStart w:id="10" w:name="section_10"/>
      <w:pPr>
        <w:pStyle w:val="Heading1"/>
      </w:pPr>
      <w:r>
        <w:rPr/>
        <w:t>10. Taking a reasonable share: a bottom-up acquisition plan</w:t>
      </w:r>
      <w:bookmarkEnd w:id="10"/>
    </w:p>
    <w:p>
      <w:r>
        <w:rPr/>
        <w:t>The initial market is Spain, with a focused adult acquisition proposition and a product architecture that can serve different life stages without inferring a health condition from age. Proposal 32's demographic and device analysis remains the research base; overlapping age, life-stage and wearable segments must not be added together as independent markets. [S01]</w:t>
      </w:r>
    </w:p>
    <w:p>
      <w:r>
        <w:rPr/>
        <w:t xml:space="preserve">The market capture plan starts with reachable channels and productive accounts, not an arbitrary percentage of TAM. The following deliberately restrained worked example tests what the two scale budgets might produce. It is </w:t>
      </w:r>
      <w:r>
        <w:rPr>
          <w:b/>
        </w:rPr>
        <w:t>not a validated forecast or a spending authorisation</w:t>
      </w:r>
      <w:r>
        <w:rPr/>
        <w:t>. The planning workbook exposes its assumptions.</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24-month worked example</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€2M case</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€5M case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Paid-media budget used in the example</w:t>
            </w:r>
          </w:p>
        </w:tc>
        <w:tc>
          <w:tcPr>
            <w:tcW w:type="dxa" w:w="3773"/>
            <w:vAlign w:val="center"/>
            <w:tcMar>
              <w:top w:w="75" w:type="dxa"/>
              <w:bottom w:w="75" w:type="dxa"/>
              <w:left w:w="85" w:type="dxa"/>
              <w:right w:w="85" w:type="dxa"/>
            </w:tcMar>
            <w:shd w:fill="F8F1E9"/>
          </w:tcPr>
          <w:p>
            <w:pPr>
              <w:spacing w:after="0" w:line="250" w:lineRule="auto"/>
              <w:jc w:val="right"/>
            </w:pPr>
            <w:r>
              <w:rPr>
                <w:sz w:val="18"/>
              </w:rPr>
              <w:t>€180,000</w:t>
            </w:r>
          </w:p>
        </w:tc>
        <w:tc>
          <w:tcPr>
            <w:tcW w:type="dxa" w:w="3755"/>
            <w:vAlign w:val="center"/>
            <w:tcMar>
              <w:top w:w="75" w:type="dxa"/>
              <w:bottom w:w="75" w:type="dxa"/>
              <w:left w:w="85" w:type="dxa"/>
              <w:right w:w="85" w:type="dxa"/>
            </w:tcMar>
            <w:shd w:fill="F8F1E9"/>
          </w:tcPr>
          <w:p>
            <w:pPr>
              <w:spacing w:after="0" w:line="250" w:lineRule="auto"/>
              <w:jc w:val="right"/>
            </w:pPr>
            <w:r>
              <w:rPr>
                <w:sz w:val="18"/>
              </w:rPr>
              <w:t>€650,000</w:t>
            </w:r>
          </w:p>
        </w:tc>
      </w:tr>
      <w:tr>
        <w:trPr>
          <w:cantSplit/>
        </w:trPr>
        <w:tc>
          <w:tcPr>
            <w:tcW w:type="dxa" w:w="2419"/>
            <w:vAlign w:val="center"/>
            <w:tcMar>
              <w:top w:w="75" w:type="dxa"/>
              <w:bottom w:w="75" w:type="dxa"/>
              <w:left w:w="85" w:type="dxa"/>
              <w:right w:w="85" w:type="dxa"/>
            </w:tcMar>
          </w:tcPr>
          <w:p>
            <w:pPr>
              <w:spacing w:after="0" w:line="250" w:lineRule="auto"/>
            </w:pPr>
            <w:r>
              <w:rPr>
                <w:sz w:val="18"/>
              </w:rPr>
              <w:t>Paid registrations at assumed €5 each</w:t>
            </w:r>
          </w:p>
        </w:tc>
        <w:tc>
          <w:tcPr>
            <w:tcW w:type="dxa" w:w="3773"/>
            <w:vAlign w:val="center"/>
            <w:tcMar>
              <w:top w:w="75" w:type="dxa"/>
              <w:bottom w:w="75" w:type="dxa"/>
              <w:left w:w="85" w:type="dxa"/>
              <w:right w:w="85" w:type="dxa"/>
            </w:tcMar>
          </w:tcPr>
          <w:p>
            <w:pPr>
              <w:spacing w:after="0" w:line="250" w:lineRule="auto"/>
              <w:jc w:val="right"/>
            </w:pPr>
            <w:r>
              <w:rPr>
                <w:sz w:val="18"/>
              </w:rPr>
              <w:t>36,000</w:t>
            </w:r>
          </w:p>
        </w:tc>
        <w:tc>
          <w:tcPr>
            <w:tcW w:type="dxa" w:w="3755"/>
            <w:vAlign w:val="center"/>
            <w:tcMar>
              <w:top w:w="75" w:type="dxa"/>
              <w:bottom w:w="75" w:type="dxa"/>
              <w:left w:w="85" w:type="dxa"/>
              <w:right w:w="85" w:type="dxa"/>
            </w:tcMar>
          </w:tcPr>
          <w:p>
            <w:pPr>
              <w:spacing w:after="0" w:line="250" w:lineRule="auto"/>
              <w:jc w:val="right"/>
            </w:pPr>
            <w:r>
              <w:rPr>
                <w:sz w:val="18"/>
              </w:rPr>
              <w:t>130,000</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New B2C payers from paid media: 55% activation × 12% of activated users</w:t>
            </w:r>
          </w:p>
        </w:tc>
        <w:tc>
          <w:tcPr>
            <w:tcW w:type="dxa" w:w="3773"/>
            <w:vAlign w:val="center"/>
            <w:tcMar>
              <w:top w:w="75" w:type="dxa"/>
              <w:bottom w:w="75" w:type="dxa"/>
              <w:left w:w="85" w:type="dxa"/>
              <w:right w:w="85" w:type="dxa"/>
            </w:tcMar>
            <w:shd w:fill="F8F1E9"/>
          </w:tcPr>
          <w:p>
            <w:pPr>
              <w:spacing w:after="0" w:line="250" w:lineRule="auto"/>
              <w:jc w:val="right"/>
            </w:pPr>
            <w:r>
              <w:rPr>
                <w:sz w:val="18"/>
              </w:rPr>
              <w:t>2,376</w:t>
            </w:r>
          </w:p>
        </w:tc>
        <w:tc>
          <w:tcPr>
            <w:tcW w:type="dxa" w:w="3755"/>
            <w:vAlign w:val="center"/>
            <w:tcMar>
              <w:top w:w="75" w:type="dxa"/>
              <w:bottom w:w="75" w:type="dxa"/>
              <w:left w:w="85" w:type="dxa"/>
              <w:right w:w="85" w:type="dxa"/>
            </w:tcMar>
            <w:shd w:fill="F8F1E9"/>
          </w:tcPr>
          <w:p>
            <w:pPr>
              <w:spacing w:after="0" w:line="250" w:lineRule="auto"/>
              <w:jc w:val="right"/>
            </w:pPr>
            <w:r>
              <w:rPr>
                <w:sz w:val="18"/>
              </w:rPr>
              <w:t>8,580</w:t>
            </w:r>
          </w:p>
        </w:tc>
      </w:tr>
      <w:tr>
        <w:trPr>
          <w:cantSplit/>
        </w:trPr>
        <w:tc>
          <w:tcPr>
            <w:tcW w:type="dxa" w:w="2419"/>
            <w:vAlign w:val="center"/>
            <w:tcMar>
              <w:top w:w="75" w:type="dxa"/>
              <w:bottom w:w="75" w:type="dxa"/>
              <w:left w:w="85" w:type="dxa"/>
              <w:right w:w="85" w:type="dxa"/>
            </w:tcMar>
          </w:tcPr>
          <w:p>
            <w:pPr>
              <w:spacing w:after="0" w:line="250" w:lineRule="auto"/>
            </w:pPr>
            <w:r>
              <w:rPr>
                <w:sz w:val="18"/>
              </w:rPr>
              <w:t>Owned/creator/event registrations, independently attributed</w:t>
            </w:r>
          </w:p>
        </w:tc>
        <w:tc>
          <w:tcPr>
            <w:tcW w:type="dxa" w:w="3773"/>
            <w:vAlign w:val="center"/>
            <w:tcMar>
              <w:top w:w="75" w:type="dxa"/>
              <w:bottom w:w="75" w:type="dxa"/>
              <w:left w:w="85" w:type="dxa"/>
              <w:right w:w="85" w:type="dxa"/>
            </w:tcMar>
          </w:tcPr>
          <w:p>
            <w:pPr>
              <w:spacing w:after="0" w:line="250" w:lineRule="auto"/>
              <w:jc w:val="right"/>
            </w:pPr>
            <w:r>
              <w:rPr>
                <w:sz w:val="18"/>
              </w:rPr>
              <w:t>16,000</w:t>
            </w:r>
          </w:p>
        </w:tc>
        <w:tc>
          <w:tcPr>
            <w:tcW w:type="dxa" w:w="3755"/>
            <w:vAlign w:val="center"/>
            <w:tcMar>
              <w:top w:w="75" w:type="dxa"/>
              <w:bottom w:w="75" w:type="dxa"/>
              <w:left w:w="85" w:type="dxa"/>
              <w:right w:w="85" w:type="dxa"/>
            </w:tcMar>
          </w:tcPr>
          <w:p>
            <w:pPr>
              <w:spacing w:after="0" w:line="250" w:lineRule="auto"/>
              <w:jc w:val="right"/>
            </w:pPr>
            <w:r>
              <w:rPr>
                <w:sz w:val="18"/>
              </w:rPr>
              <w:t>50,000</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New B2C payers from that route: 60% activation × 18% conversion</w:t>
            </w:r>
          </w:p>
        </w:tc>
        <w:tc>
          <w:tcPr>
            <w:tcW w:type="dxa" w:w="3773"/>
            <w:vAlign w:val="center"/>
            <w:tcMar>
              <w:top w:w="75" w:type="dxa"/>
              <w:bottom w:w="75" w:type="dxa"/>
              <w:left w:w="85" w:type="dxa"/>
              <w:right w:w="85" w:type="dxa"/>
            </w:tcMar>
            <w:shd w:fill="F8F1E9"/>
          </w:tcPr>
          <w:p>
            <w:pPr>
              <w:spacing w:after="0" w:line="250" w:lineRule="auto"/>
              <w:jc w:val="right"/>
            </w:pPr>
            <w:r>
              <w:rPr>
                <w:sz w:val="18"/>
              </w:rPr>
              <w:t>1,728</w:t>
            </w:r>
          </w:p>
        </w:tc>
        <w:tc>
          <w:tcPr>
            <w:tcW w:type="dxa" w:w="3755"/>
            <w:vAlign w:val="center"/>
            <w:tcMar>
              <w:top w:w="75" w:type="dxa"/>
              <w:bottom w:w="75" w:type="dxa"/>
              <w:left w:w="85" w:type="dxa"/>
              <w:right w:w="85" w:type="dxa"/>
            </w:tcMar>
            <w:shd w:fill="F8F1E9"/>
          </w:tcPr>
          <w:p>
            <w:pPr>
              <w:spacing w:after="0" w:line="250" w:lineRule="auto"/>
              <w:jc w:val="right"/>
            </w:pPr>
            <w:r>
              <w:rPr>
                <w:sz w:val="18"/>
              </w:rPr>
              <w:t>5,400</w:t>
            </w:r>
          </w:p>
        </w:tc>
      </w:tr>
      <w:tr>
        <w:trPr>
          <w:cantSplit/>
        </w:trPr>
        <w:tc>
          <w:tcPr>
            <w:tcW w:type="dxa" w:w="2419"/>
            <w:vAlign w:val="center"/>
            <w:tcMar>
              <w:top w:w="75" w:type="dxa"/>
              <w:bottom w:w="75" w:type="dxa"/>
              <w:left w:w="85" w:type="dxa"/>
              <w:right w:w="85" w:type="dxa"/>
            </w:tcMar>
          </w:tcPr>
          <w:p>
            <w:pPr>
              <w:spacing w:after="0" w:line="250" w:lineRule="auto"/>
            </w:pPr>
            <w:r>
              <w:rPr>
                <w:sz w:val="18"/>
              </w:rPr>
              <w:t>Productive professional locations</w:t>
            </w:r>
          </w:p>
        </w:tc>
        <w:tc>
          <w:tcPr>
            <w:tcW w:type="dxa" w:w="3773"/>
            <w:vAlign w:val="center"/>
            <w:tcMar>
              <w:top w:w="75" w:type="dxa"/>
              <w:bottom w:w="75" w:type="dxa"/>
              <w:left w:w="85" w:type="dxa"/>
              <w:right w:w="85" w:type="dxa"/>
            </w:tcMar>
          </w:tcPr>
          <w:p>
            <w:pPr>
              <w:spacing w:after="0" w:line="250" w:lineRule="auto"/>
              <w:jc w:val="right"/>
            </w:pPr>
            <w:r>
              <w:rPr>
                <w:sz w:val="18"/>
              </w:rPr>
              <w:t>40</w:t>
            </w:r>
          </w:p>
        </w:tc>
        <w:tc>
          <w:tcPr>
            <w:tcW w:type="dxa" w:w="3755"/>
            <w:vAlign w:val="center"/>
            <w:tcMar>
              <w:top w:w="75" w:type="dxa"/>
              <w:bottom w:w="75" w:type="dxa"/>
              <w:left w:w="85" w:type="dxa"/>
              <w:right w:w="85" w:type="dxa"/>
            </w:tcMar>
          </w:tcPr>
          <w:p>
            <w:pPr>
              <w:spacing w:after="0" w:line="250" w:lineRule="auto"/>
              <w:jc w:val="right"/>
            </w:pPr>
            <w:r>
              <w:rPr>
                <w:sz w:val="18"/>
              </w:rPr>
              <w:t>120</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Professional-route new B2C payers</w:t>
            </w:r>
          </w:p>
        </w:tc>
        <w:tc>
          <w:tcPr>
            <w:tcW w:type="dxa" w:w="3773"/>
            <w:vAlign w:val="center"/>
            <w:tcMar>
              <w:top w:w="75" w:type="dxa"/>
              <w:bottom w:w="75" w:type="dxa"/>
              <w:left w:w="85" w:type="dxa"/>
              <w:right w:w="85" w:type="dxa"/>
            </w:tcMar>
            <w:shd w:fill="F8F1E9"/>
          </w:tcPr>
          <w:p>
            <w:pPr>
              <w:spacing w:after="0" w:line="250" w:lineRule="auto"/>
              <w:jc w:val="right"/>
            </w:pPr>
            <w:r>
              <w:rPr>
                <w:sz w:val="18"/>
              </w:rPr>
              <w:t>648</w:t>
            </w:r>
          </w:p>
        </w:tc>
        <w:tc>
          <w:tcPr>
            <w:tcW w:type="dxa" w:w="3755"/>
            <w:vAlign w:val="center"/>
            <w:tcMar>
              <w:top w:w="75" w:type="dxa"/>
              <w:bottom w:w="75" w:type="dxa"/>
              <w:left w:w="85" w:type="dxa"/>
              <w:right w:w="85" w:type="dxa"/>
            </w:tcMar>
            <w:shd w:fill="F8F1E9"/>
          </w:tcPr>
          <w:p>
            <w:pPr>
              <w:spacing w:after="0" w:line="250" w:lineRule="auto"/>
              <w:jc w:val="right"/>
            </w:pPr>
            <w:r>
              <w:rPr>
                <w:sz w:val="18"/>
              </w:rPr>
              <w:t>1,944</w:t>
            </w:r>
          </w:p>
        </w:tc>
      </w:tr>
      <w:tr>
        <w:trPr>
          <w:cantSplit/>
        </w:trPr>
        <w:tc>
          <w:tcPr>
            <w:tcW w:type="dxa" w:w="2419"/>
            <w:vAlign w:val="center"/>
            <w:tcMar>
              <w:top w:w="75" w:type="dxa"/>
              <w:bottom w:w="75" w:type="dxa"/>
              <w:left w:w="85" w:type="dxa"/>
              <w:right w:w="85" w:type="dxa"/>
            </w:tcMar>
          </w:tcPr>
          <w:p>
            <w:pPr>
              <w:spacing w:after="0" w:line="250" w:lineRule="auto"/>
            </w:pPr>
            <w:r>
              <w:rPr>
                <w:b/>
                <w:sz w:val="18"/>
              </w:rPr>
              <w:t>Gross new B2C payers over the period</w:t>
            </w:r>
          </w:p>
        </w:tc>
        <w:tc>
          <w:tcPr>
            <w:tcW w:type="dxa" w:w="3773"/>
            <w:vAlign w:val="center"/>
            <w:tcMar>
              <w:top w:w="75" w:type="dxa"/>
              <w:bottom w:w="75" w:type="dxa"/>
              <w:left w:w="85" w:type="dxa"/>
              <w:right w:w="85" w:type="dxa"/>
            </w:tcMar>
          </w:tcPr>
          <w:p>
            <w:pPr>
              <w:spacing w:after="0" w:line="250" w:lineRule="auto"/>
              <w:jc w:val="right"/>
            </w:pPr>
            <w:r>
              <w:rPr>
                <w:b/>
                <w:sz w:val="18"/>
              </w:rPr>
              <w:t>4,752</w:t>
            </w:r>
          </w:p>
        </w:tc>
        <w:tc>
          <w:tcPr>
            <w:tcW w:type="dxa" w:w="3755"/>
            <w:vAlign w:val="center"/>
            <w:tcMar>
              <w:top w:w="75" w:type="dxa"/>
              <w:bottom w:w="75" w:type="dxa"/>
              <w:left w:w="85" w:type="dxa"/>
              <w:right w:w="85" w:type="dxa"/>
            </w:tcMar>
          </w:tcPr>
          <w:p>
            <w:pPr>
              <w:spacing w:after="0" w:line="250" w:lineRule="auto"/>
              <w:jc w:val="right"/>
            </w:pPr>
            <w:r>
              <w:rPr>
                <w:b/>
                <w:sz w:val="18"/>
              </w:rPr>
              <w:t>15,924</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Illustrative B2C subscriptions active at month 24</w:t>
            </w:r>
          </w:p>
        </w:tc>
        <w:tc>
          <w:tcPr>
            <w:tcW w:type="dxa" w:w="3773"/>
            <w:vAlign w:val="center"/>
            <w:tcMar>
              <w:top w:w="75" w:type="dxa"/>
              <w:bottom w:w="75" w:type="dxa"/>
              <w:left w:w="85" w:type="dxa"/>
              <w:right w:w="85" w:type="dxa"/>
            </w:tcMar>
            <w:shd w:fill="F8F1E9"/>
          </w:tcPr>
          <w:p>
            <w:pPr>
              <w:spacing w:after="0" w:line="250" w:lineRule="auto"/>
            </w:pPr>
            <w:r>
              <w:rPr>
                <w:sz w:val="18"/>
              </w:rPr>
              <w:t>Approximately 3,183</w:t>
            </w:r>
          </w:p>
        </w:tc>
        <w:tc>
          <w:tcPr>
            <w:tcW w:type="dxa" w:w="3755"/>
            <w:vAlign w:val="center"/>
            <w:tcMar>
              <w:top w:w="75" w:type="dxa"/>
              <w:bottom w:w="75" w:type="dxa"/>
              <w:left w:w="85" w:type="dxa"/>
              <w:right w:w="85" w:type="dxa"/>
            </w:tcMar>
            <w:shd w:fill="F8F1E9"/>
          </w:tcPr>
          <w:p>
            <w:pPr>
              <w:spacing w:after="0" w:line="250" w:lineRule="auto"/>
            </w:pPr>
            <w:r>
              <w:rPr>
                <w:sz w:val="18"/>
              </w:rPr>
              <w:t>Approximately 10,665</w:t>
            </w:r>
          </w:p>
        </w:tc>
      </w:tr>
      <w:tr>
        <w:trPr>
          <w:cantSplit/>
        </w:trPr>
        <w:tc>
          <w:tcPr>
            <w:tcW w:type="dxa" w:w="2419"/>
            <w:vAlign w:val="center"/>
            <w:tcMar>
              <w:top w:w="75" w:type="dxa"/>
              <w:bottom w:w="75" w:type="dxa"/>
              <w:left w:w="85" w:type="dxa"/>
              <w:right w:w="85" w:type="dxa"/>
            </w:tcMar>
          </w:tcPr>
          <w:p>
            <w:pPr>
              <w:spacing w:after="0" w:line="250" w:lineRule="auto"/>
            </w:pPr>
            <w:r>
              <w:rPr>
                <w:sz w:val="18"/>
              </w:rPr>
              <w:t>Active B2B contracts at month 24</w:t>
            </w:r>
          </w:p>
        </w:tc>
        <w:tc>
          <w:tcPr>
            <w:tcW w:type="dxa" w:w="3773"/>
            <w:vAlign w:val="center"/>
            <w:tcMar>
              <w:top w:w="75" w:type="dxa"/>
              <w:bottom w:w="75" w:type="dxa"/>
              <w:left w:w="85" w:type="dxa"/>
              <w:right w:w="85" w:type="dxa"/>
            </w:tcMar>
          </w:tcPr>
          <w:p>
            <w:pPr>
              <w:spacing w:after="0" w:line="250" w:lineRule="auto"/>
              <w:jc w:val="right"/>
            </w:pPr>
            <w:r>
              <w:rPr>
                <w:sz w:val="18"/>
              </w:rPr>
              <w:t>10</w:t>
            </w:r>
          </w:p>
        </w:tc>
        <w:tc>
          <w:tcPr>
            <w:tcW w:type="dxa" w:w="3755"/>
            <w:vAlign w:val="center"/>
            <w:tcMar>
              <w:top w:w="75" w:type="dxa"/>
              <w:bottom w:w="75" w:type="dxa"/>
              <w:left w:w="85" w:type="dxa"/>
              <w:right w:w="85" w:type="dxa"/>
            </w:tcMar>
          </w:tcPr>
          <w:p>
            <w:pPr>
              <w:spacing w:after="0" w:line="250" w:lineRule="auto"/>
              <w:jc w:val="right"/>
            </w:pPr>
            <w:r>
              <w:rPr>
                <w:sz w:val="18"/>
              </w:rPr>
              <w:t>30</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Contracted B2B seats at 200 / 250 per contract</w:t>
            </w:r>
          </w:p>
        </w:tc>
        <w:tc>
          <w:tcPr>
            <w:tcW w:type="dxa" w:w="3773"/>
            <w:vAlign w:val="center"/>
            <w:tcMar>
              <w:top w:w="75" w:type="dxa"/>
              <w:bottom w:w="75" w:type="dxa"/>
              <w:left w:w="85" w:type="dxa"/>
              <w:right w:w="85" w:type="dxa"/>
            </w:tcMar>
            <w:shd w:fill="F8F1E9"/>
          </w:tcPr>
          <w:p>
            <w:pPr>
              <w:spacing w:after="0" w:line="250" w:lineRule="auto"/>
              <w:jc w:val="right"/>
            </w:pPr>
            <w:r>
              <w:rPr>
                <w:sz w:val="18"/>
              </w:rPr>
              <w:t>2,000</w:t>
            </w:r>
          </w:p>
        </w:tc>
        <w:tc>
          <w:tcPr>
            <w:tcW w:type="dxa" w:w="3755"/>
            <w:vAlign w:val="center"/>
            <w:tcMar>
              <w:top w:w="75" w:type="dxa"/>
              <w:bottom w:w="75" w:type="dxa"/>
              <w:left w:w="85" w:type="dxa"/>
              <w:right w:w="85" w:type="dxa"/>
            </w:tcMar>
            <w:shd w:fill="F8F1E9"/>
          </w:tcPr>
          <w:p>
            <w:pPr>
              <w:spacing w:after="0" w:line="250" w:lineRule="auto"/>
              <w:jc w:val="right"/>
            </w:pPr>
            <w:r>
              <w:rPr>
                <w:sz w:val="18"/>
              </w:rPr>
              <w:t>7,500</w:t>
            </w:r>
          </w:p>
        </w:tc>
      </w:tr>
      <w:tr>
        <w:trPr>
          <w:cantSplit/>
        </w:trPr>
        <w:tc>
          <w:tcPr>
            <w:tcW w:type="dxa" w:w="2419"/>
            <w:vAlign w:val="center"/>
            <w:tcMar>
              <w:top w:w="75" w:type="dxa"/>
              <w:bottom w:w="75" w:type="dxa"/>
              <w:left w:w="85" w:type="dxa"/>
              <w:right w:w="85" w:type="dxa"/>
            </w:tcMar>
          </w:tcPr>
          <w:p>
            <w:pPr>
              <w:spacing w:after="0" w:line="250" w:lineRule="auto"/>
            </w:pPr>
            <w:r>
              <w:rPr>
                <w:sz w:val="18"/>
              </w:rPr>
              <w:t>Active B2B users at assumed 60% activation</w:t>
            </w:r>
          </w:p>
        </w:tc>
        <w:tc>
          <w:tcPr>
            <w:tcW w:type="dxa" w:w="3773"/>
            <w:vAlign w:val="center"/>
            <w:tcMar>
              <w:top w:w="75" w:type="dxa"/>
              <w:bottom w:w="75" w:type="dxa"/>
              <w:left w:w="85" w:type="dxa"/>
              <w:right w:w="85" w:type="dxa"/>
            </w:tcMar>
          </w:tcPr>
          <w:p>
            <w:pPr>
              <w:spacing w:after="0" w:line="250" w:lineRule="auto"/>
              <w:jc w:val="right"/>
            </w:pPr>
            <w:r>
              <w:rPr>
                <w:sz w:val="18"/>
              </w:rPr>
              <w:t>1,200</w:t>
            </w:r>
          </w:p>
        </w:tc>
        <w:tc>
          <w:tcPr>
            <w:tcW w:type="dxa" w:w="3755"/>
            <w:vAlign w:val="center"/>
            <w:tcMar>
              <w:top w:w="75" w:type="dxa"/>
              <w:bottom w:w="75" w:type="dxa"/>
              <w:left w:w="85" w:type="dxa"/>
              <w:right w:w="85" w:type="dxa"/>
            </w:tcMar>
          </w:tcPr>
          <w:p>
            <w:pPr>
              <w:spacing w:after="0" w:line="250" w:lineRule="auto"/>
              <w:jc w:val="right"/>
            </w:pPr>
            <w:r>
              <w:rPr>
                <w:sz w:val="18"/>
              </w:rPr>
              <w:t>4,500</w:t>
            </w:r>
          </w:p>
        </w:tc>
      </w:tr>
    </w:tbl>
    <w:p>
      <w:pPr>
        <w:spacing w:after="20" w:before="0" w:line="72" w:lineRule="auto"/>
      </w:pPr>
      <w:r>
        <w:rPr>
          <w:sz w:val="4"/>
        </w:rPr>
      </w:r>
    </w:p>
    <w:p>
      <w:r>
        <w:rPr/>
        <w:t>Professional-route arithmetic is 40 or 120 locations × 30 eligible invitations per active month × nine average active months × 40% registration × 60% activation × 25% paid conversion. Productive locations must be earned through an actual sales pipeline; candidates and signed-but-inactive locations are excluded.</w:t>
      </w:r>
    </w:p>
    <w:p>
      <w:r>
        <w:rPr/>
        <w:t>For the simplified retention illustration, gross B2C additions arrive evenly over months 7–24, with 5% monthly churn and no opening paid subscribers. Annual subscriptions, delayed conversion, reactivation and country differences are not modelled. These must be added before adoption of an operating forecast. B2B contract counts are active endpoint assumptions, not fractional monthly sales. Person-level B2C/B2B overlap must be reconciled; do not sum every row into “users.”</w:t>
      </w:r>
    </w:p>
    <w:p>
      <w:r>
        <w:rPr/>
        <w:t>At an illustrative blended €6 B2C monthly revenue excluding consumption taxes and a €3.50 contracted B2B seat charge, the two month-24 recurring revenue run rates are about €26.1K and €90.2K per month—approximately €313K and €1.083M annualised. These are endpoint recurring run rates, not annual earned revenue. Sponsorships, grants and events are excluded. Prices are modelling assumptions, not a new approved rate card.</w:t>
      </w:r>
    </w:p>
    <w:p>
      <w:r>
        <w:rPr>
          <w:b/>
        </w:rPr>
        <w:t>The critical commercial test:</w:t>
      </w:r>
      <w:r>
        <w:rPr/>
        <w:t xml:space="preserve"> the paid funnel above implies €75.76 media-only acquisition cost per new payer. At €6 monthly revenue, 75% contribution margin and 5% monthly churn, a simplified lifetime contribution is €90. That is only about 1.19× media CAC before acquisition overhead. It does not justify scaled advertising. The example is useful precisely because it exposes the gap rather than hiding it.</w:t>
      </w:r>
    </w:p>
    <w:p>
      <w:r>
        <w:rPr/>
        <w:t>Before releasing the full paid-media budget, the team should demonstrate a credible route toward fully loaded payer CAC of no more than approximately €30 at those revenue/margin/churn assumptions, or improve contribution and retention enough to support a different ceiling. Use observed cohort contribution, not the simple lifetime formula alone. If tests fail, stop or redesign the channel and preserve cash. The base case does not assume that a larger cheque fixes poor acquisition economics.</w:t>
      </w:r>
    </w:p>
    <w:p>
      <w:r>
        <w:rPr/>
        <w:t>Neither worked example demonstrates break-even at the spending level of the larger programme. The business must prove stronger economics, reduce the steady-state cost base or secure further financing before committing beyond funded work. A new round is not silently embedded in these scenarios. The next practical milestone is a retained, paying customer base and renewing organisation accounts—not an unsupported national market-share claim.</w:t>
      </w:r>
    </w:p>
    <w:p>
      <w:bookmarkStart w:id="11" w:name="section_11"/>
      <w:pPr>
        <w:pStyle w:val="Heading1"/>
      </w:pPr>
      <w:r>
        <w:rPr/>
        <w:t>11. Revenue model and unit economics</w:t>
      </w:r>
      <w:bookmarkEnd w:id="11"/>
    </w:p>
    <w:p>
      <w:r>
        <w:rPr/>
        <w:t>Use a small number of clearly defined offers. Retain a limited free or trial experience as an acquisition hypothesis; test paid access to the daily programmes and relevant personalisation. Organisation-funded access can be priced by contracted seats or active seats, but the contract and model must choose one basis. Individual expert appointments, where permitted, should be separately priced rather than presented as unlimited support inside a low-cost subscription.</w:t>
      </w:r>
    </w:p>
    <w:p>
      <w:r>
        <w:rPr/>
        <w:t>The source deck contains €4.99 Basic, €12.99 Premium and €3.99 B2B price propositions; other source versions use different prices. They are historical design inputs, not evidence of current realised revenue. One price list—including annual discounts, taxes, payment fees and service scope—must replace the competing versions before external circulation. [S02, S06, S07, S08]</w:t>
      </w:r>
    </w:p>
    <w:p>
      <w:r>
        <w:rPr/>
        <w:t>Recurring subscription revenue, implementation/service fees, workshops, affiliate income and sponsorship must be reported separately. Grants are not customer revenue. An enterprise licence does not create 150 active users on signature, and an upgrade from Basic to Premium does not create a second person.</w:t>
      </w:r>
    </w:p>
    <w:p>
      <w:r>
        <w:rPr/>
        <w:t>Track net revenue per subscriber, the cost of serving free and paying users, cloud/AI and media-delivery cost, payment/store charges, content royalties, refunds and support. Calculate gross margin consistently, then calculate customer contribution and acquisition payback using the same customer population and time period. The cost of founder-created content belongs in fully loaded economics even when it does not cause an immediate cash payment.</w:t>
      </w:r>
    </w:p>
    <w:p>
      <w:r>
        <w:rPr/>
        <w:t>The original financial work is retained in the annexes for traceability, but its forecasts are not adopted as audited outputs. Some versions explicitly depend on further seed and Series A funding. The new planning workbook is a scenario schedule and commercial stress test; it is not a repaired version of the full historical financial model. [S07, S08]</w:t>
      </w:r>
    </w:p>
    <w:p>
      <w:bookmarkStart w:id="12" w:name="section_12"/>
      <w:pPr>
        <w:pStyle w:val="Heading1"/>
      </w:pPr>
      <w:r>
        <w:rPr/>
        <w:t>12. Cloud operating model and international cost</w:t>
      </w:r>
      <w:bookmarkEnd w:id="12"/>
    </w:p>
    <w:p>
      <w:r>
        <w:rPr/>
        <w:t>The business is cloud-delivered, with mobile and web experiences, managed data services and controlled AI processing. The source architecture uses React Native and Supabase, with a policy-aware health-data gateway and optional AI features. Device permissions, local health stores and some user interactions remain on the device; “cloud business” does not mean every function runs remotely. [S01]</w:t>
      </w:r>
    </w:p>
    <w:p>
      <w:r>
        <w:rPr/>
        <w:t>This structure avoids owning data centres, manufacturing devices or building country-specific physical service estates. Reusable software and content make expansion possible without reproducing the entire business. However, storage, inference, streaming, observability, incident response, service support and compliance all incur costs.</w:t>
      </w:r>
    </w:p>
    <w:p>
      <w:r>
        <w:rPr/>
        <w:t>Cloud compliance is a shared responsibility. Supabase's documentation explicitly leaves application architecture, access management, data and security configuration with the customer. A supplier's certification does not certify NutriSync. OpenAI states that API data is not used for model training by default, but retention, feature state, regional processing and contractual controls must be checked for the actual service used. [W08, W09]</w:t>
      </w:r>
    </w:p>
    <w:p>
      <w:r>
        <w:rPr/>
        <w:t>The operating design should include least-privilege access, tested user-data separation, secret management, controlled administrative access, private image storage, media lifecycle rules, monitoring, backup restoration tests, deletion workflows and incident ownership. Meter AI and media use by feature and cohort. Set spend alerts and application-level limits rather than assuming a billing notification caps usage.</w:t>
      </w:r>
    </w:p>
    <w:p>
      <w:r>
        <w:rPr/>
        <w:t>Retain an EU-first storage design for Spain while assessing every processing and support route. Remote access and onward processing can matter even when the primary database is in Europe. Regional environments may be justified later, but do not deploy multiple countries' infrastructure merely to create a global appearance. Data residency, permitted transfer and actual processing location are different questions. [S09, W10, W11]</w:t>
      </w:r>
    </w:p>
    <w:p>
      <w:bookmarkStart w:id="13" w:name="section_13"/>
      <w:pPr>
        <w:pStyle w:val="Heading1"/>
      </w:pPr>
      <w:r>
        <w:rPr/>
        <w:t>13. International expansion: markets to explore, not promises</w:t>
      </w:r>
      <w:bookmarkEnd w:id="13"/>
    </w:p>
    <w:p>
      <w:r>
        <w:rPr/>
        <w:t xml:space="preserve">Spain remains the first execution market. International opportunity is </w:t>
      </w:r>
      <w:r>
        <w:rPr>
          <w:b/>
        </w:rPr>
        <w:t>not limited to Europe</w:t>
      </w:r>
      <w:r>
        <w:rPr/>
        <w:t>. Australia and Singapore belong on the exploration shortlist alongside selected European/UK and Spanish-speaking Latin American candidates. Their relative order should be decided by evidence and founder access, not geography alone.</w:t>
      </w:r>
    </w:p>
    <w:tbl>
      <w:tblPr>
        <w:tblW w:type="auto" w:w="0"/>
        <w:jc w:val="center"/>
        <w:tblLayout w:type="fixed"/>
        <w:tblLook w:firstColumn="1" w:firstRow="1" w:lastColumn="0" w:lastRow="0" w:noHBand="0" w:noVBand="1" w:val="04A0"/>
      </w:tblPr>
      <w:tblGrid>
        <w:gridCol w:w="1656"/>
        <w:gridCol w:w="2693"/>
        <w:gridCol w:w="2794"/>
        <w:gridCol w:w="2805"/>
      </w:tblGrid>
      <w:tr>
        <w:trPr>
          <w:cantSplit/>
          <w:tblHeader/>
        </w:trPr>
        <w:tc>
          <w:tcPr>
            <w:tcW w:type="dxa" w:w="1656"/>
            <w:vAlign w:val="center"/>
            <w:tcMar>
              <w:top w:w="75" w:type="dxa"/>
              <w:bottom w:w="75" w:type="dxa"/>
              <w:left w:w="85" w:type="dxa"/>
              <w:right w:w="85" w:type="dxa"/>
            </w:tcMar>
            <w:shd w:fill="282220"/>
          </w:tcPr>
          <w:p>
            <w:pPr>
              <w:spacing w:after="0" w:line="250" w:lineRule="auto"/>
            </w:pPr>
            <w:r>
              <w:rPr>
                <w:b/>
                <w:color w:val="FFFFFF"/>
                <w:sz w:val="18"/>
              </w:rPr>
              <w:t>Candidate</w:t>
            </w:r>
          </w:p>
        </w:tc>
        <w:tc>
          <w:tcPr>
            <w:tcW w:type="dxa" w:w="2693"/>
            <w:vAlign w:val="center"/>
            <w:tcMar>
              <w:top w:w="75" w:type="dxa"/>
              <w:bottom w:w="75" w:type="dxa"/>
              <w:left w:w="85" w:type="dxa"/>
              <w:right w:w="85" w:type="dxa"/>
            </w:tcMar>
            <w:shd w:fill="282220"/>
          </w:tcPr>
          <w:p>
            <w:pPr>
              <w:spacing w:after="0" w:line="250" w:lineRule="auto"/>
            </w:pPr>
            <w:r>
              <w:rPr>
                <w:b/>
                <w:color w:val="FFFFFF"/>
                <w:sz w:val="18"/>
              </w:rPr>
              <w:t>Hypothesis to test</w:t>
            </w:r>
          </w:p>
        </w:tc>
        <w:tc>
          <w:tcPr>
            <w:tcW w:type="dxa" w:w="2794"/>
            <w:vAlign w:val="center"/>
            <w:tcMar>
              <w:top w:w="75" w:type="dxa"/>
              <w:bottom w:w="75" w:type="dxa"/>
              <w:left w:w="85" w:type="dxa"/>
              <w:right w:w="85" w:type="dxa"/>
            </w:tcMar>
            <w:shd w:fill="282220"/>
          </w:tcPr>
          <w:p>
            <w:pPr>
              <w:spacing w:after="0" w:line="250" w:lineRule="auto"/>
            </w:pPr>
            <w:r>
              <w:rPr>
                <w:b/>
                <w:color w:val="FFFFFF"/>
                <w:sz w:val="18"/>
              </w:rPr>
              <w:t>Initial route</w:t>
            </w:r>
          </w:p>
        </w:tc>
        <w:tc>
          <w:tcPr>
            <w:tcW w:type="dxa" w:w="2805"/>
            <w:vAlign w:val="center"/>
            <w:tcMar>
              <w:top w:w="75" w:type="dxa"/>
              <w:bottom w:w="75" w:type="dxa"/>
              <w:left w:w="85" w:type="dxa"/>
              <w:right w:w="85" w:type="dxa"/>
            </w:tcMar>
            <w:shd w:fill="282220"/>
          </w:tcPr>
          <w:p>
            <w:pPr>
              <w:spacing w:after="0" w:line="250" w:lineRule="auto"/>
            </w:pPr>
            <w:r>
              <w:rPr>
                <w:b/>
                <w:color w:val="FFFFFF"/>
                <w:sz w:val="18"/>
              </w:rPr>
              <w:t>Readiness questions</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Selected EU markets</w:t>
            </w:r>
          </w:p>
        </w:tc>
        <w:tc>
          <w:tcPr>
            <w:tcW w:type="dxa" w:w="2693"/>
            <w:vAlign w:val="center"/>
            <w:tcMar>
              <w:top w:w="75" w:type="dxa"/>
              <w:bottom w:w="75" w:type="dxa"/>
              <w:left w:w="85" w:type="dxa"/>
              <w:right w:w="85" w:type="dxa"/>
            </w:tcMar>
            <w:shd w:fill="F8F1E9"/>
          </w:tcPr>
          <w:p>
            <w:pPr>
              <w:spacing w:after="0" w:line="250" w:lineRule="auto"/>
            </w:pPr>
            <w:r>
              <w:rPr>
                <w:sz w:val="18"/>
              </w:rPr>
              <w:t>Reuse of the Spain product with local adaptation.</w:t>
            </w:r>
          </w:p>
        </w:tc>
        <w:tc>
          <w:tcPr>
            <w:tcW w:type="dxa" w:w="2794"/>
            <w:vAlign w:val="center"/>
            <w:tcMar>
              <w:top w:w="75" w:type="dxa"/>
              <w:bottom w:w="75" w:type="dxa"/>
              <w:left w:w="85" w:type="dxa"/>
              <w:right w:w="85" w:type="dxa"/>
            </w:tcMar>
            <w:shd w:fill="F8F1E9"/>
          </w:tcPr>
          <w:p>
            <w:pPr>
              <w:spacing w:after="0" w:line="250" w:lineRule="auto"/>
            </w:pPr>
            <w:r>
              <w:rPr>
                <w:sz w:val="18"/>
              </w:rPr>
              <w:t>A small partner or community pilot.</w:t>
            </w:r>
          </w:p>
        </w:tc>
        <w:tc>
          <w:tcPr>
            <w:tcW w:type="dxa" w:w="2805"/>
            <w:vAlign w:val="center"/>
            <w:tcMar>
              <w:top w:w="75" w:type="dxa"/>
              <w:bottom w:w="75" w:type="dxa"/>
              <w:left w:w="85" w:type="dxa"/>
              <w:right w:w="85" w:type="dxa"/>
            </w:tcMar>
            <w:shd w:fill="F8F1E9"/>
          </w:tcPr>
          <w:p>
            <w:pPr>
              <w:spacing w:after="0" w:line="250" w:lineRule="auto"/>
            </w:pPr>
            <w:r>
              <w:rPr>
                <w:sz w:val="18"/>
              </w:rPr>
              <w:t>Language, consumer rules, professional services, local claims and operational support.</w:t>
            </w:r>
          </w:p>
        </w:tc>
      </w:tr>
      <w:tr>
        <w:trPr>
          <w:cantSplit/>
        </w:trPr>
        <w:tc>
          <w:tcPr>
            <w:tcW w:type="dxa" w:w="1656"/>
            <w:vAlign w:val="center"/>
            <w:tcMar>
              <w:top w:w="75" w:type="dxa"/>
              <w:bottom w:w="75" w:type="dxa"/>
              <w:left w:w="85" w:type="dxa"/>
              <w:right w:w="85" w:type="dxa"/>
            </w:tcMar>
          </w:tcPr>
          <w:p>
            <w:pPr>
              <w:spacing w:after="0" w:line="250" w:lineRule="auto"/>
            </w:pPr>
            <w:r>
              <w:rPr>
                <w:sz w:val="18"/>
              </w:rPr>
              <w:t>United Kingdom</w:t>
            </w:r>
          </w:p>
        </w:tc>
        <w:tc>
          <w:tcPr>
            <w:tcW w:type="dxa" w:w="2693"/>
            <w:vAlign w:val="center"/>
            <w:tcMar>
              <w:top w:w="75" w:type="dxa"/>
              <w:bottom w:w="75" w:type="dxa"/>
              <w:left w:w="85" w:type="dxa"/>
              <w:right w:w="85" w:type="dxa"/>
            </w:tcMar>
          </w:tcPr>
          <w:p>
            <w:pPr>
              <w:spacing w:after="0" w:line="250" w:lineRule="auto"/>
            </w:pPr>
            <w:r>
              <w:rPr>
                <w:sz w:val="18"/>
              </w:rPr>
              <w:t>English-language content and potential employer/professional distribution.</w:t>
            </w:r>
          </w:p>
        </w:tc>
        <w:tc>
          <w:tcPr>
            <w:tcW w:type="dxa" w:w="2794"/>
            <w:vAlign w:val="center"/>
            <w:tcMar>
              <w:top w:w="75" w:type="dxa"/>
              <w:bottom w:w="75" w:type="dxa"/>
              <w:left w:w="85" w:type="dxa"/>
              <w:right w:w="85" w:type="dxa"/>
            </w:tcMar>
          </w:tcPr>
          <w:p>
            <w:pPr>
              <w:spacing w:after="0" w:line="250" w:lineRule="auto"/>
            </w:pPr>
            <w:r>
              <w:rPr>
                <w:sz w:val="18"/>
              </w:rPr>
              <w:t>Discovery and a bounded pilot.</w:t>
            </w:r>
          </w:p>
        </w:tc>
        <w:tc>
          <w:tcPr>
            <w:tcW w:type="dxa" w:w="2805"/>
            <w:vAlign w:val="center"/>
            <w:tcMar>
              <w:top w:w="75" w:type="dxa"/>
              <w:bottom w:w="75" w:type="dxa"/>
              <w:left w:w="85" w:type="dxa"/>
              <w:right w:w="85" w:type="dxa"/>
            </w:tcMar>
          </w:tcPr>
          <w:p>
            <w:pPr>
              <w:spacing w:after="0" w:line="250" w:lineRule="auto"/>
            </w:pPr>
            <w:r>
              <w:rPr>
                <w:sz w:val="18"/>
              </w:rPr>
              <w:t>UK privacy, health-product rules, contracts, tax and local service scope.</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Australia</w:t>
            </w:r>
          </w:p>
        </w:tc>
        <w:tc>
          <w:tcPr>
            <w:tcW w:type="dxa" w:w="2693"/>
            <w:vAlign w:val="center"/>
            <w:tcMar>
              <w:top w:w="75" w:type="dxa"/>
              <w:bottom w:w="75" w:type="dxa"/>
              <w:left w:w="85" w:type="dxa"/>
              <w:right w:w="85" w:type="dxa"/>
            </w:tcMar>
            <w:shd w:fill="F8F1E9"/>
          </w:tcPr>
          <w:p>
            <w:pPr>
              <w:spacing w:after="0" w:line="250" w:lineRule="auto"/>
            </w:pPr>
            <w:r>
              <w:rPr>
                <w:sz w:val="18"/>
              </w:rPr>
              <w:t>English-language nutrition, exercise and wellbeing proposition with organisation/community routes.</w:t>
            </w:r>
          </w:p>
        </w:tc>
        <w:tc>
          <w:tcPr>
            <w:tcW w:type="dxa" w:w="2794"/>
            <w:vAlign w:val="center"/>
            <w:tcMar>
              <w:top w:w="75" w:type="dxa"/>
              <w:bottom w:w="75" w:type="dxa"/>
              <w:left w:w="85" w:type="dxa"/>
              <w:right w:w="85" w:type="dxa"/>
            </w:tcMar>
            <w:shd w:fill="F8F1E9"/>
          </w:tcPr>
          <w:p>
            <w:pPr>
              <w:spacing w:after="0" w:line="250" w:lineRule="auto"/>
            </w:pPr>
            <w:r>
              <w:rPr>
                <w:sz w:val="18"/>
              </w:rPr>
              <w:t>Research with users, gyms, employers and professional contacts.</w:t>
            </w:r>
          </w:p>
        </w:tc>
        <w:tc>
          <w:tcPr>
            <w:tcW w:type="dxa" w:w="2805"/>
            <w:vAlign w:val="center"/>
            <w:tcMar>
              <w:top w:w="75" w:type="dxa"/>
              <w:bottom w:w="75" w:type="dxa"/>
              <w:left w:w="85" w:type="dxa"/>
              <w:right w:w="85" w:type="dxa"/>
            </w:tcMar>
            <w:shd w:fill="F8F1E9"/>
          </w:tcPr>
          <w:p>
            <w:pPr>
              <w:spacing w:after="0" w:line="250" w:lineRule="auto"/>
            </w:pPr>
            <w:r>
              <w:rPr>
                <w:sz w:val="18"/>
              </w:rPr>
              <w:t>TGA intended purpose, privacy, local/state requirements, support hours, tax, insurance and data flows.</w:t>
            </w:r>
          </w:p>
        </w:tc>
      </w:tr>
      <w:tr>
        <w:trPr>
          <w:cantSplit/>
        </w:trPr>
        <w:tc>
          <w:tcPr>
            <w:tcW w:type="dxa" w:w="1656"/>
            <w:vAlign w:val="center"/>
            <w:tcMar>
              <w:top w:w="75" w:type="dxa"/>
              <w:bottom w:w="75" w:type="dxa"/>
              <w:left w:w="85" w:type="dxa"/>
              <w:right w:w="85" w:type="dxa"/>
            </w:tcMar>
          </w:tcPr>
          <w:p>
            <w:pPr>
              <w:spacing w:after="0" w:line="250" w:lineRule="auto"/>
            </w:pPr>
            <w:r>
              <w:rPr>
                <w:sz w:val="18"/>
              </w:rPr>
              <w:t>Singapore</w:t>
            </w:r>
          </w:p>
        </w:tc>
        <w:tc>
          <w:tcPr>
            <w:tcW w:type="dxa" w:w="2693"/>
            <w:vAlign w:val="center"/>
            <w:tcMar>
              <w:top w:w="75" w:type="dxa"/>
              <w:bottom w:w="75" w:type="dxa"/>
              <w:left w:w="85" w:type="dxa"/>
              <w:right w:w="85" w:type="dxa"/>
            </w:tcMar>
          </w:tcPr>
          <w:p>
            <w:pPr>
              <w:spacing w:after="0" w:line="250" w:lineRule="auto"/>
            </w:pPr>
            <w:r>
              <w:rPr>
                <w:sz w:val="18"/>
              </w:rPr>
              <w:t>Selective entry through existing digital-sector contacts and possible institutional/enterprise programmes.</w:t>
            </w:r>
          </w:p>
        </w:tc>
        <w:tc>
          <w:tcPr>
            <w:tcW w:type="dxa" w:w="2794"/>
            <w:vAlign w:val="center"/>
            <w:tcMar>
              <w:top w:w="75" w:type="dxa"/>
              <w:bottom w:w="75" w:type="dxa"/>
              <w:left w:w="85" w:type="dxa"/>
              <w:right w:w="85" w:type="dxa"/>
            </w:tcMar>
          </w:tcPr>
          <w:p>
            <w:pPr>
              <w:spacing w:after="0" w:line="250" w:lineRule="auto"/>
            </w:pPr>
            <w:r>
              <w:rPr>
                <w:sz w:val="18"/>
              </w:rPr>
              <w:t>Founder-led introductions and an eligibility/readiness assessment.</w:t>
            </w:r>
          </w:p>
        </w:tc>
        <w:tc>
          <w:tcPr>
            <w:tcW w:type="dxa" w:w="2805"/>
            <w:vAlign w:val="center"/>
            <w:tcMar>
              <w:top w:w="75" w:type="dxa"/>
              <w:bottom w:w="75" w:type="dxa"/>
              <w:left w:w="85" w:type="dxa"/>
              <w:right w:w="85" w:type="dxa"/>
            </w:tcMar>
          </w:tcPr>
          <w:p>
            <w:pPr>
              <w:spacing w:after="0" w:line="250" w:lineRule="auto"/>
            </w:pPr>
            <w:r>
              <w:rPr>
                <w:sz w:val="18"/>
              </w:rPr>
              <w:t>PDPA, HSA/MOH scope, operating entity, ultimate ownership, local activity, contracting and grant terms.</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Selected LATAM countries</w:t>
            </w:r>
          </w:p>
        </w:tc>
        <w:tc>
          <w:tcPr>
            <w:tcW w:type="dxa" w:w="2693"/>
            <w:vAlign w:val="center"/>
            <w:tcMar>
              <w:top w:w="75" w:type="dxa"/>
              <w:bottom w:w="75" w:type="dxa"/>
              <w:left w:w="85" w:type="dxa"/>
              <w:right w:w="85" w:type="dxa"/>
            </w:tcMar>
            <w:shd w:fill="F8F1E9"/>
          </w:tcPr>
          <w:p>
            <w:pPr>
              <w:spacing w:after="0" w:line="250" w:lineRule="auto"/>
            </w:pPr>
            <w:r>
              <w:rPr>
                <w:sz w:val="18"/>
              </w:rPr>
              <w:t>Spanish-language reuse with significant local food and payment adaptation.</w:t>
            </w:r>
          </w:p>
        </w:tc>
        <w:tc>
          <w:tcPr>
            <w:tcW w:type="dxa" w:w="2794"/>
            <w:vAlign w:val="center"/>
            <w:tcMar>
              <w:top w:w="75" w:type="dxa"/>
              <w:bottom w:w="75" w:type="dxa"/>
              <w:left w:w="85" w:type="dxa"/>
              <w:right w:w="85" w:type="dxa"/>
            </w:tcMar>
            <w:shd w:fill="F8F1E9"/>
          </w:tcPr>
          <w:p>
            <w:pPr>
              <w:spacing w:after="0" w:line="250" w:lineRule="auto"/>
            </w:pPr>
            <w:r>
              <w:rPr>
                <w:sz w:val="18"/>
              </w:rPr>
              <w:t>Country-specific discovery rather than a regional launch claim.</w:t>
            </w:r>
          </w:p>
        </w:tc>
        <w:tc>
          <w:tcPr>
            <w:tcW w:type="dxa" w:w="2805"/>
            <w:vAlign w:val="center"/>
            <w:tcMar>
              <w:top w:w="75" w:type="dxa"/>
              <w:bottom w:w="75" w:type="dxa"/>
              <w:left w:w="85" w:type="dxa"/>
              <w:right w:w="85" w:type="dxa"/>
            </w:tcMar>
            <w:shd w:fill="F8F1E9"/>
          </w:tcPr>
          <w:p>
            <w:pPr>
              <w:spacing w:after="0" w:line="250" w:lineRule="auto"/>
            </w:pPr>
            <w:r>
              <w:rPr>
                <w:sz w:val="18"/>
              </w:rPr>
              <w:t>Country law, affordability, payments, local foods, professional licensing and support.</w:t>
            </w:r>
          </w:p>
        </w:tc>
      </w:tr>
    </w:tbl>
    <w:p>
      <w:pPr>
        <w:spacing w:after="20" w:before="0" w:line="72" w:lineRule="auto"/>
      </w:pPr>
      <w:r>
        <w:rPr>
          <w:sz w:val="4"/>
        </w:rPr>
      </w:r>
    </w:p>
    <w:p>
      <w:r>
        <w:rPr>
          <w:b/>
        </w:rPr>
        <w:t>Australia:</w:t>
      </w:r>
      <w:r>
        <w:rPr/>
        <w:t xml:space="preserve"> examine the actual software functions and intended use before claiming a general-wellness exclusion. TGA guidance distinguishes consumer wellbeing/coaching from clinical and treatment-related uses; a broader healthcare distribution strategy must not be allowed to change intended purpose accidentally. Privacy obligations also need local review. R&amp;D tax support can be explored where the company and activities qualify; it is not a general grant for entering the Australian market. [W05, W06, W07]</w:t>
      </w:r>
    </w:p>
    <w:p>
      <w:r>
        <w:rPr>
          <w:b/>
        </w:rPr>
        <w:t>Singapore:</w:t>
      </w:r>
      <w:r>
        <w:rPr/>
        <w:t xml:space="preserve"> the founders report that Lucía holds Singapore permanent residency and already knows digital-sector firms there. These are founder-reported assets for discovery and introductions—not verified contracts, government endorsement or assured funding. The next step is a named relationship map and a small programme of conversations with prospective collaborators, buyers and accredited support organisations.</w:t>
      </w:r>
    </w:p>
    <w:p>
      <w:r>
        <w:rPr/>
        <w:t>Lucía's PR status may matter because some Enterprise Singapore schemes recognise qualifying Singapore citizen/PR ownership. For EDG, the published criteria include a Singapore-registered and operating entity, at least 30% qualifying ultimate individual ownership and financial readiness for the project. Her residency alone does not establish that the company qualifies. [W01]</w:t>
      </w:r>
    </w:p>
    <w:p>
      <w:r>
        <w:rPr/>
        <w:t>Startup SG Founder merits a screening conversation, not an assumed grant. MTI's August 2026 statement specifies two applicants, a first applicant who has not previously registered a private limited entity with ACRA, and an applicant company registered in Singapore for less than six months. Her role in the existing NutriSync business, the other applicant, ownership and the proposed entity must be assessed before claiming eligibility. [W02]</w:t>
      </w:r>
    </w:p>
    <w:p>
      <w:r>
        <w:rPr/>
        <w:t>Startup SG Tech may be relevant only if the project demonstrates eligible proprietary technology. Its official description distinguishes proprietary technology from integration of off-the-shelf components and notes a share-subscription component. An app using external AI services is not automatically an eligible deep-tech project, and not every public support instrument is purely non-dilutive. [W03]</w:t>
      </w:r>
    </w:p>
    <w:p>
      <w:r>
        <w:rPr/>
        <w:t>MRA is a possible later route for an eligible Singapore business expanding overseas, not a grant for a Spanish company simply entering Singapore. Enterprise Singapore's public pages currently describe the transition to EDGE in the second half of 2026 and continued access to the existing schemes until launch; the applicable route must be rechecked at submission. Do not assume ordinary advertising, legal overhead or already-started activity will qualify. [W01, W04]</w:t>
      </w:r>
    </w:p>
    <w:p>
      <w:r>
        <w:rPr/>
        <w:t>Any Singapore structure should have a genuine commercial purpose and appropriate substance. Do not reorganise the cap table, transfer intellectual property or create artificial eligibility merely to chase a speculative grant. Compare the benefit against incorporation, local operations, co-funding, reporting, tax, transfer pricing, shareholder rights and repayment/clawback exposure.</w:t>
      </w:r>
    </w:p>
    <w:p>
      <w:r>
        <w:rPr>
          <w:b/>
        </w:rPr>
        <w:t>Funding policy:</w:t>
      </w:r>
      <w:r>
        <w:rPr/>
        <w:t xml:space="preserve"> government support is upside until formally awarded; even an award is not the same as cash received. Keep grants, co-investment, tax relief, vouchers and loans separate. Model eligible expenditure, matching funds, payment timing and conditions. The bootstrap plan does not depend on them.</w:t>
      </w:r>
    </w:p>
    <w:p>
      <w:bookmarkStart w:id="14" w:name="section_14"/>
      <w:pPr>
        <w:pStyle w:val="Heading1"/>
      </w:pPr>
      <w:r>
        <w:rPr/>
        <w:t>14. Legal and compliance are expansion investments</w:t>
      </w:r>
      <w:bookmarkEnd w:id="14"/>
    </w:p>
    <w:p>
      <w:r>
        <w:rPr/>
        <w:t>A country launch is not a translation task. Each candidate requires a release dossier covering the accountable entity, personal/health-data purposes, local notices and consent, cross-border flows, product claims, applicable professional services, consumer subscriptions, marketing rules, tax, insurance and customer support.</w:t>
      </w:r>
    </w:p>
    <w:p>
      <w:r>
        <w:rPr/>
        <w:t>In the €2M plan, the €160K line proposes €55K for domestic corporate/product legal work, €40K for external privacy/security assurance, €30K for comparative international feasibility and €35K reserved for a selected country's readiness. In the €5M plan, the €350K line proposes €100K, €75K, €65K and €110K respectively. These are allocations, not law-firm quotations or promises that complete medical-device authorisation fits inside them.</w:t>
      </w:r>
    </w:p>
    <w:p>
      <w:r>
        <w:rPr/>
        <w:t>Clinical safety and evaluation remain a separate budget. Technical implementation of security controls remains in engineering/cloud lines. Content translation remains in content. A common work-breakdown structure prevents “international expansion” from concealing duplicated or omitted costs.</w:t>
      </w:r>
    </w:p>
    <w:p>
      <w:r>
        <w:rPr/>
        <w:t>For Spain/EU, document the relevant GDPR bases, health-data protections, DPIA/DPO assessments, vendor contracts and transfer safeguards; assess the actual intended purpose against medical-software guidance and applicable AI requirements. For Singapore, review PDPA accountability, protection and transfers and HSA's medical-purpose test. For Australia, assess TGA classification/exclusions and federal and applicable state privacy obligations. Counsel must assess applicability to the actual business rather than apply every healthcare rule indiscriminately. [W05, W06, W10, W11, W12, W13]</w:t>
      </w:r>
    </w:p>
    <w:p>
      <w:r>
        <w:rPr/>
        <w:t>No country becomes a committed launch solely because a grant or an introduction becomes available. Market attractiveness, compliance readiness and acceptable commercial economics are separate approvals.</w:t>
      </w:r>
    </w:p>
    <w:p>
      <w:bookmarkStart w:id="15" w:name="section_15"/>
      <w:pPr>
        <w:pStyle w:val="Heading1"/>
      </w:pPr>
      <w:r>
        <w:rPr/>
        <w:t>15. Pregnancy and postpartum: a governed extension</w:t>
      </w:r>
      <w:bookmarkEnd w:id="15"/>
    </w:p>
    <w:p>
      <w:r>
        <w:rPr/>
        <w:t>Pregnancy expands the scope of user need, but it is not an extra setting on the menstrual-phase recommendation system. The proposed mode supports practical food choices, reviewed exercise and movement, recovery routines, self-reported experience and preparation for professional conversations. It must respect the woman's care plan rather than generate a substitute.</w:t>
      </w:r>
    </w:p>
    <w:p>
      <w:r>
        <w:rPr/>
        <w:t>Create separate onboarding and explicit activation; a relevant expert panel; approved food-safety and movement content; pregnancy/postpartum-specific exclusions; meaningful uncertainty language; and supportive transitions when a user pauses or ends the mode. A user should not be classified as pregnant from age, purchase behaviour or a wearable signal.</w:t>
      </w:r>
    </w:p>
    <w:p>
      <w:r>
        <w:rPr/>
        <w:t>The initial scope excludes fetal monitoring, diagnosis, treatment, medication adjustment, automated weight-loss goals and reassurance that an algorithm can confirm maternal or fetal safety. Do not repurpose the Cycle Alignment or Stability Score as a maternal-health measurement. Higher-risk capabilities require separate evidence, intended-purpose assessment and financing.</w:t>
      </w:r>
    </w:p>
    <w:p>
      <w:r>
        <w:rPr/>
        <w:t>Under the smaller scenarios, focus on discovery and safety design. Under €2M, fund specialist co-design and a limited evaluated pilot; under €5M, broaden development and evaluation only after review of the core business and pilot. Pregnancy content remains optional in the product and must not become a new advertising audience based on sensitive data. [S01, S11, W05, W12, W13]</w:t>
      </w:r>
    </w:p>
    <w:p>
      <w:bookmarkStart w:id="16" w:name="section_16"/>
      <w:pPr>
        <w:pStyle w:val="Heading1"/>
      </w:pPr>
      <w:r>
        <w:rPr/>
        <w:t>16. Competition, innovation and a potential blue-ocean position</w:t>
      </w:r>
      <w:bookmarkEnd w:id="16"/>
    </w:p>
    <w:p>
      <w:r>
        <w:rPr/>
        <w:t>The existing competitor work already warns against treating AI, cycle content, exercise videos, wearables, community or privacy claims as unique. Wild.AI, Hormona, 28, Harmony, Flo Living, Flo, Clue and Natural Cycles remain named comparators from that research. Other nutrition, fitness and maternal apps compete for parts of the same user need. The annex preserves the original research; it is not represented as a complete September feature audit. [S04, S05]</w:t>
      </w:r>
    </w:p>
    <w:p>
      <w:r>
        <w:rPr/>
        <w:t>The defensible ambition is to combine practical action, individual feedback and trusted distribution in a convenient system. It must be demonstrated through usability, repeated benefit, retention and learning quality. Longitudinal associations do not automatically establish that a recommendation caused an improvement, and competitors must not be described as incapable of individual adaptation without evidence.</w:t>
      </w:r>
    </w:p>
    <w:p>
      <w:r>
        <w:rPr/>
        <w:t>Keeley/Doblin's Ten Types framework helps connect the business system rather than count features. The four core areas carried forward from the innovation deck are process, product performance, product system and customer engagement; profit model, network, structure, service, channel and brand support them. “Ten types” is a design framework, not a certification, a success probability or an investor-return formula. [S03, W14]</w:t>
      </w:r>
    </w:p>
    <w:tbl>
      <w:tblPr>
        <w:tblW w:type="auto" w:w="0"/>
        <w:jc w:val="center"/>
        <w:tblLayout w:type="fixed"/>
        <w:tblLook w:firstColumn="1" w:firstRow="1" w:lastColumn="0" w:lastRow="0" w:noHBand="0" w:noVBand="1" w:val="04A0"/>
      </w:tblPr>
      <w:tblGrid>
        <w:gridCol w:w="3629"/>
        <w:gridCol w:w="6318"/>
      </w:tblGrid>
      <w:tr>
        <w:trPr>
          <w:cantSplit/>
          <w:tblHeader/>
        </w:trPr>
        <w:tc>
          <w:tcPr>
            <w:tcW w:type="dxa" w:w="3629"/>
            <w:vAlign w:val="center"/>
            <w:tcMar>
              <w:top w:w="75" w:type="dxa"/>
              <w:bottom w:w="75" w:type="dxa"/>
              <w:left w:w="85" w:type="dxa"/>
              <w:right w:w="85" w:type="dxa"/>
            </w:tcMar>
            <w:shd w:fill="282220"/>
          </w:tcPr>
          <w:p>
            <w:pPr>
              <w:spacing w:after="0" w:line="250" w:lineRule="auto"/>
            </w:pPr>
            <w:r>
              <w:rPr>
                <w:b/>
                <w:color w:val="FFFFFF"/>
                <w:sz w:val="18"/>
              </w:rPr>
              <w:t>Blue-ocean action</w:t>
            </w:r>
          </w:p>
        </w:tc>
        <w:tc>
          <w:tcPr>
            <w:tcW w:type="dxa" w:w="6318"/>
            <w:vAlign w:val="center"/>
            <w:tcMar>
              <w:top w:w="75" w:type="dxa"/>
              <w:bottom w:w="75" w:type="dxa"/>
              <w:left w:w="85" w:type="dxa"/>
              <w:right w:w="85" w:type="dxa"/>
            </w:tcMar>
            <w:shd w:fill="282220"/>
          </w:tcPr>
          <w:p>
            <w:pPr>
              <w:spacing w:after="0" w:line="250" w:lineRule="auto"/>
            </w:pPr>
            <w:r>
              <w:rPr>
                <w:b/>
                <w:color w:val="FFFFFF"/>
                <w:sz w:val="18"/>
              </w:rPr>
              <w:t>NutriSync design choice</w:t>
            </w:r>
          </w:p>
        </w:tc>
      </w:tr>
      <w:tr>
        <w:trPr>
          <w:cantSplit/>
        </w:trPr>
        <w:tc>
          <w:tcPr>
            <w:tcW w:type="dxa" w:w="3629"/>
            <w:vAlign w:val="center"/>
            <w:tcMar>
              <w:top w:w="75" w:type="dxa"/>
              <w:bottom w:w="75" w:type="dxa"/>
              <w:left w:w="85" w:type="dxa"/>
              <w:right w:w="85" w:type="dxa"/>
            </w:tcMar>
            <w:shd w:fill="F8F1E9"/>
          </w:tcPr>
          <w:p>
            <w:pPr>
              <w:spacing w:after="0" w:line="250" w:lineRule="auto"/>
            </w:pPr>
            <w:r>
              <w:rPr>
                <w:sz w:val="18"/>
              </w:rPr>
              <w:t>Eliminate</w:t>
            </w:r>
          </w:p>
        </w:tc>
        <w:tc>
          <w:tcPr>
            <w:tcW w:type="dxa" w:w="6318"/>
            <w:vAlign w:val="center"/>
            <w:tcMar>
              <w:top w:w="75" w:type="dxa"/>
              <w:bottom w:w="75" w:type="dxa"/>
              <w:left w:w="85" w:type="dxa"/>
              <w:right w:w="85" w:type="dxa"/>
            </w:tcMar>
            <w:shd w:fill="F8F1E9"/>
          </w:tcPr>
          <w:p>
            <w:pPr>
              <w:spacing w:after="0" w:line="250" w:lineRule="auto"/>
            </w:pPr>
            <w:r>
              <w:rPr>
                <w:sz w:val="18"/>
              </w:rPr>
              <w:t>False hormonal certainty, paid influence on personal recommendations and the requirement to own a particular device.</w:t>
            </w:r>
          </w:p>
        </w:tc>
      </w:tr>
      <w:tr>
        <w:trPr>
          <w:cantSplit/>
        </w:trPr>
        <w:tc>
          <w:tcPr>
            <w:tcW w:type="dxa" w:w="3629"/>
            <w:vAlign w:val="center"/>
            <w:tcMar>
              <w:top w:w="75" w:type="dxa"/>
              <w:bottom w:w="75" w:type="dxa"/>
              <w:left w:w="85" w:type="dxa"/>
              <w:right w:w="85" w:type="dxa"/>
            </w:tcMar>
          </w:tcPr>
          <w:p>
            <w:pPr>
              <w:spacing w:after="0" w:line="250" w:lineRule="auto"/>
            </w:pPr>
            <w:r>
              <w:rPr>
                <w:sz w:val="18"/>
              </w:rPr>
              <w:t>Reduce</w:t>
            </w:r>
          </w:p>
        </w:tc>
        <w:tc>
          <w:tcPr>
            <w:tcW w:type="dxa" w:w="6318"/>
            <w:vAlign w:val="center"/>
            <w:tcMar>
              <w:top w:w="75" w:type="dxa"/>
              <w:bottom w:w="75" w:type="dxa"/>
              <w:left w:w="85" w:type="dxa"/>
              <w:right w:w="85" w:type="dxa"/>
            </w:tcMar>
          </w:tcPr>
          <w:p>
            <w:pPr>
              <w:spacing w:after="0" w:line="250" w:lineRule="auto"/>
            </w:pPr>
            <w:r>
              <w:rPr>
                <w:sz w:val="18"/>
              </w:rPr>
              <w:t>Logging burden, fragmented experiences, unnecessary bespoke hardware and premature multi-country complexity.</w:t>
            </w:r>
          </w:p>
        </w:tc>
      </w:tr>
      <w:tr>
        <w:trPr>
          <w:cantSplit/>
        </w:trPr>
        <w:tc>
          <w:tcPr>
            <w:tcW w:type="dxa" w:w="3629"/>
            <w:vAlign w:val="center"/>
            <w:tcMar>
              <w:top w:w="75" w:type="dxa"/>
              <w:bottom w:w="75" w:type="dxa"/>
              <w:left w:w="85" w:type="dxa"/>
              <w:right w:w="85" w:type="dxa"/>
            </w:tcMar>
            <w:shd w:fill="F8F1E9"/>
          </w:tcPr>
          <w:p>
            <w:pPr>
              <w:spacing w:after="0" w:line="250" w:lineRule="auto"/>
            </w:pPr>
            <w:r>
              <w:rPr>
                <w:sz w:val="18"/>
              </w:rPr>
              <w:t>Raise</w:t>
            </w:r>
          </w:p>
        </w:tc>
        <w:tc>
          <w:tcPr>
            <w:tcW w:type="dxa" w:w="6318"/>
            <w:vAlign w:val="center"/>
            <w:tcMar>
              <w:top w:w="75" w:type="dxa"/>
              <w:bottom w:w="75" w:type="dxa"/>
              <w:left w:w="85" w:type="dxa"/>
              <w:right w:w="85" w:type="dxa"/>
            </w:tcMar>
            <w:shd w:fill="F8F1E9"/>
          </w:tcPr>
          <w:p>
            <w:pPr>
              <w:spacing w:after="0" w:line="250" w:lineRule="auto"/>
            </w:pPr>
            <w:r>
              <w:rPr>
                <w:sz w:val="18"/>
              </w:rPr>
              <w:t>Usefulness of visual food/exercise programmes, transparency, professional review and accessible non-wearable use.</w:t>
            </w:r>
          </w:p>
        </w:tc>
      </w:tr>
      <w:tr>
        <w:trPr>
          <w:cantSplit/>
        </w:trPr>
        <w:tc>
          <w:tcPr>
            <w:tcW w:type="dxa" w:w="3629"/>
            <w:vAlign w:val="center"/>
            <w:tcMar>
              <w:top w:w="75" w:type="dxa"/>
              <w:bottom w:w="75" w:type="dxa"/>
              <w:left w:w="85" w:type="dxa"/>
              <w:right w:w="85" w:type="dxa"/>
            </w:tcMar>
          </w:tcPr>
          <w:p>
            <w:pPr>
              <w:spacing w:after="0" w:line="250" w:lineRule="auto"/>
            </w:pPr>
            <w:r>
              <w:rPr>
                <w:sz w:val="18"/>
              </w:rPr>
              <w:t>Create</w:t>
            </w:r>
          </w:p>
        </w:tc>
        <w:tc>
          <w:tcPr>
            <w:tcW w:type="dxa" w:w="6318"/>
            <w:vAlign w:val="center"/>
            <w:tcMar>
              <w:top w:w="75" w:type="dxa"/>
              <w:bottom w:w="75" w:type="dxa"/>
              <w:left w:w="85" w:type="dxa"/>
              <w:right w:w="85" w:type="dxa"/>
            </w:tcMar>
          </w:tcPr>
          <w:p>
            <w:pPr>
              <w:spacing w:after="0" w:line="250" w:lineRule="auto"/>
            </w:pPr>
            <w:r>
              <w:rPr>
                <w:sz w:val="18"/>
              </w:rPr>
              <w:t>A practical daily action-and-feedback experience distributed through people and organisations users already choose to trust.</w:t>
            </w:r>
          </w:p>
        </w:tc>
      </w:tr>
    </w:tbl>
    <w:p>
      <w:pPr>
        <w:spacing w:after="20" w:before="0" w:line="72" w:lineRule="auto"/>
      </w:pPr>
      <w:r>
        <w:rPr>
          <w:sz w:val="4"/>
        </w:rPr>
      </w:r>
    </w:p>
    <w:p>
      <w:r>
        <w:rPr/>
        <w:t>This applies the eliminate–reduce–raise–create approach to the proposition; it does not establish an uncontested market. Potential noncustomers include people who abandoned demanding trackers, prefer actionable guidance to dashboards, or do not own wearables. Research should test whether the combined experience is valuable enough to change behaviour and support payment. [W15]</w:t>
      </w:r>
    </w:p>
    <w:p>
      <w:bookmarkStart w:id="17" w:name="section_17"/>
      <w:pPr>
        <w:pStyle w:val="Heading1"/>
      </w:pPr>
      <w:r>
        <w:rPr/>
        <w:t>17. Trust: measured, estimated, reported and recommended</w:t>
      </w:r>
      <w:bookmarkEnd w:id="17"/>
    </w:p>
    <w:p>
      <w:r>
        <w:rPr/>
        <w:t>The Oura-related screenshot supplied in this conversation is retained as a design-risk input. The proposal does not rely on the screenshot as proof of the status or merits of litigation. Its relevant lesson is that a sensor record, a model estimate and a person's own experience are different things. [S12]</w:t>
      </w:r>
    </w:p>
    <w:p>
      <w:r>
        <w:rPr/>
        <w:t>Every important output should identify its source and nature. Device-derived sleep stages and readiness values can themselves be estimates. User-reported energy should remain her report. A NutriSync inference needs uncertainty and a rationale. A recommendation is a proposed action, not a measurement or evidence that something is medically wrong.</w:t>
      </w:r>
    </w:p>
    <w:p>
      <w:r>
        <w:rPr/>
        <w:t>Do not claim that reduced mood variability proves hormonal balance, that a photograph measures exact calories, or that three cycles reveal a unique hormonal signature. Scores require construct validation and component transparency. Logging frequency must not masquerade as physiological health.</w:t>
      </w:r>
    </w:p>
    <w:p>
      <w:r>
        <w:rPr/>
        <w:t>Source permissions also matter. Oura's agreement distinguishes permitted API and MCP uses and imposes restrictions on AI/model use; the integration must follow the actual agreement rather than assume OAuth consent allows everything. Provider-specific controls, reversibility and attribution remain central to the architecture. [S01, W16]</w:t>
      </w:r>
    </w:p>
    <w:p>
      <w:r>
        <w:rPr/>
        <w:t>The same trust standard applies to commercial partners. The user pays for useful guidance—or an organisation funds access—not for a disguised sales recommendation. Sensitive user records remain outside campaign targeting and sponsor access.</w:t>
      </w:r>
    </w:p>
    <w:p>
      <w:bookmarkStart w:id="18" w:name="section_18"/>
      <w:pPr>
        <w:pStyle w:val="Heading1"/>
      </w:pPr>
      <w:r>
        <w:rPr/>
        <w:t>18. Milestones, capital release and the next 90 days</w:t>
      </w:r>
      <w:bookmarkEnd w:id="18"/>
    </w:p>
    <w:tbl>
      <w:tblPr>
        <w:tblW w:type="auto" w:w="0"/>
        <w:jc w:val="center"/>
        <w:tblLayout w:type="fixed"/>
        <w:tblLook w:firstColumn="1" w:firstRow="1" w:lastColumn="0" w:lastRow="0" w:noHBand="0" w:noVBand="1" w:val="04A0"/>
      </w:tblPr>
      <w:tblGrid>
        <w:gridCol w:w="1656"/>
        <w:gridCol w:w="2693"/>
        <w:gridCol w:w="2794"/>
        <w:gridCol w:w="2805"/>
      </w:tblGrid>
      <w:tr>
        <w:trPr>
          <w:cantSplit/>
          <w:tblHeader/>
        </w:trPr>
        <w:tc>
          <w:tcPr>
            <w:tcW w:type="dxa" w:w="1656"/>
            <w:vAlign w:val="center"/>
            <w:tcMar>
              <w:top w:w="75" w:type="dxa"/>
              <w:bottom w:w="75" w:type="dxa"/>
              <w:left w:w="85" w:type="dxa"/>
              <w:right w:w="85" w:type="dxa"/>
            </w:tcMar>
            <w:shd w:fill="282220"/>
          </w:tcPr>
          <w:p>
            <w:pPr>
              <w:spacing w:after="0" w:line="250" w:lineRule="auto"/>
            </w:pPr>
            <w:r>
              <w:rPr>
                <w:b/>
                <w:color w:val="FFFFFF"/>
                <w:sz w:val="18"/>
              </w:rPr>
              <w:t>Period</w:t>
            </w:r>
          </w:p>
        </w:tc>
        <w:tc>
          <w:tcPr>
            <w:tcW w:type="dxa" w:w="2693"/>
            <w:vAlign w:val="center"/>
            <w:tcMar>
              <w:top w:w="75" w:type="dxa"/>
              <w:bottom w:w="75" w:type="dxa"/>
              <w:left w:w="85" w:type="dxa"/>
              <w:right w:w="85" w:type="dxa"/>
            </w:tcMar>
            <w:shd w:fill="282220"/>
          </w:tcPr>
          <w:p>
            <w:pPr>
              <w:spacing w:after="0" w:line="250" w:lineRule="auto"/>
            </w:pPr>
            <w:r>
              <w:rPr>
                <w:b/>
                <w:color w:val="FFFFFF"/>
                <w:sz w:val="18"/>
              </w:rPr>
              <w:t>Founder-led / bridge</w:t>
            </w:r>
          </w:p>
        </w:tc>
        <w:tc>
          <w:tcPr>
            <w:tcW w:type="dxa" w:w="2794"/>
            <w:vAlign w:val="center"/>
            <w:tcMar>
              <w:top w:w="75" w:type="dxa"/>
              <w:bottom w:w="75" w:type="dxa"/>
              <w:left w:w="85" w:type="dxa"/>
              <w:right w:w="85" w:type="dxa"/>
            </w:tcMar>
            <w:shd w:fill="282220"/>
          </w:tcPr>
          <w:p>
            <w:pPr>
              <w:spacing w:after="0" w:line="250" w:lineRule="auto"/>
              <w:jc w:val="right"/>
            </w:pPr>
            <w:r>
              <w:rPr>
                <w:b/>
                <w:color w:val="FFFFFF"/>
                <w:sz w:val="18"/>
              </w:rPr>
              <w:t>€250–350K</w:t>
            </w:r>
          </w:p>
        </w:tc>
        <w:tc>
          <w:tcPr>
            <w:tcW w:type="dxa" w:w="2805"/>
            <w:vAlign w:val="center"/>
            <w:tcMar>
              <w:top w:w="75" w:type="dxa"/>
              <w:bottom w:w="75" w:type="dxa"/>
              <w:left w:w="85" w:type="dxa"/>
              <w:right w:w="85" w:type="dxa"/>
            </w:tcMar>
            <w:shd w:fill="282220"/>
          </w:tcPr>
          <w:p>
            <w:pPr>
              <w:spacing w:after="0" w:line="250" w:lineRule="auto"/>
            </w:pPr>
            <w:r>
              <w:rPr>
                <w:b/>
                <w:color w:val="FFFFFF"/>
                <w:sz w:val="18"/>
              </w:rPr>
              <w:t>€2M / €5M acceleration</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Days 1–30</w:t>
            </w:r>
          </w:p>
        </w:tc>
        <w:tc>
          <w:tcPr>
            <w:tcW w:type="dxa" w:w="2693"/>
            <w:vAlign w:val="center"/>
            <w:tcMar>
              <w:top w:w="75" w:type="dxa"/>
              <w:bottom w:w="75" w:type="dxa"/>
              <w:left w:w="85" w:type="dxa"/>
              <w:right w:w="85" w:type="dxa"/>
            </w:tcMar>
            <w:shd w:fill="F8F1E9"/>
          </w:tcPr>
          <w:p>
            <w:pPr>
              <w:spacing w:after="0" w:line="250" w:lineRule="auto"/>
            </w:pPr>
            <w:r>
              <w:rPr>
                <w:sz w:val="18"/>
              </w:rPr>
              <w:t>Scope essential work, confirm contributions and cash, validate release controls and interview users.</w:t>
            </w:r>
          </w:p>
        </w:tc>
        <w:tc>
          <w:tcPr>
            <w:tcW w:type="dxa" w:w="2794"/>
            <w:vAlign w:val="center"/>
            <w:tcMar>
              <w:top w:w="75" w:type="dxa"/>
              <w:bottom w:w="75" w:type="dxa"/>
              <w:left w:w="85" w:type="dxa"/>
              <w:right w:w="85" w:type="dxa"/>
            </w:tcMar>
            <w:shd w:fill="F8F1E9"/>
          </w:tcPr>
          <w:p>
            <w:pPr>
              <w:spacing w:after="0" w:line="250" w:lineRule="auto"/>
            </w:pPr>
            <w:r>
              <w:rPr>
                <w:sz w:val="18"/>
              </w:rPr>
              <w:t>Set accountable delivery owners and a single price/funnel model.</w:t>
            </w:r>
          </w:p>
        </w:tc>
        <w:tc>
          <w:tcPr>
            <w:tcW w:type="dxa" w:w="2805"/>
            <w:vAlign w:val="center"/>
            <w:tcMar>
              <w:top w:w="75" w:type="dxa"/>
              <w:bottom w:w="75" w:type="dxa"/>
              <w:left w:w="85" w:type="dxa"/>
              <w:right w:w="85" w:type="dxa"/>
            </w:tcMar>
            <w:shd w:fill="F8F1E9"/>
          </w:tcPr>
          <w:p>
            <w:pPr>
              <w:spacing w:after="0" w:line="250" w:lineRule="auto"/>
            </w:pPr>
            <w:r>
              <w:rPr>
                <w:sz w:val="18"/>
              </w:rPr>
              <w:t>Finalise workstreams and hiring dates; do not front-load large campaigns.</w:t>
            </w:r>
          </w:p>
        </w:tc>
      </w:tr>
      <w:tr>
        <w:trPr>
          <w:cantSplit/>
        </w:trPr>
        <w:tc>
          <w:tcPr>
            <w:tcW w:type="dxa" w:w="1656"/>
            <w:vAlign w:val="center"/>
            <w:tcMar>
              <w:top w:w="75" w:type="dxa"/>
              <w:bottom w:w="75" w:type="dxa"/>
              <w:left w:w="85" w:type="dxa"/>
              <w:right w:w="85" w:type="dxa"/>
            </w:tcMar>
          </w:tcPr>
          <w:p>
            <w:pPr>
              <w:spacing w:after="0" w:line="250" w:lineRule="auto"/>
            </w:pPr>
            <w:r>
              <w:rPr>
                <w:sz w:val="18"/>
              </w:rPr>
              <w:t>Days 31–60</w:t>
            </w:r>
          </w:p>
        </w:tc>
        <w:tc>
          <w:tcPr>
            <w:tcW w:type="dxa" w:w="2693"/>
            <w:vAlign w:val="center"/>
            <w:tcMar>
              <w:top w:w="75" w:type="dxa"/>
              <w:bottom w:w="75" w:type="dxa"/>
              <w:left w:w="85" w:type="dxa"/>
              <w:right w:w="85" w:type="dxa"/>
            </w:tcMar>
          </w:tcPr>
          <w:p>
            <w:pPr>
              <w:spacing w:after="0" w:line="250" w:lineRule="auto"/>
            </w:pPr>
            <w:r>
              <w:rPr>
                <w:sz w:val="18"/>
              </w:rPr>
              <w:t>Test core actions and a starter food/exercise package.</w:t>
            </w:r>
          </w:p>
        </w:tc>
        <w:tc>
          <w:tcPr>
            <w:tcW w:type="dxa" w:w="2794"/>
            <w:vAlign w:val="center"/>
            <w:tcMar>
              <w:top w:w="75" w:type="dxa"/>
              <w:bottom w:w="75" w:type="dxa"/>
              <w:left w:w="85" w:type="dxa"/>
              <w:right w:w="85" w:type="dxa"/>
            </w:tcMar>
          </w:tcPr>
          <w:p>
            <w:pPr>
              <w:spacing w:after="0" w:line="250" w:lineRule="auto"/>
            </w:pPr>
            <w:r>
              <w:rPr>
                <w:sz w:val="18"/>
              </w:rPr>
              <w:t>Run small direct and partner pilots with measured activation.</w:t>
            </w:r>
          </w:p>
        </w:tc>
        <w:tc>
          <w:tcPr>
            <w:tcW w:type="dxa" w:w="2805"/>
            <w:vAlign w:val="center"/>
            <w:tcMar>
              <w:top w:w="75" w:type="dxa"/>
              <w:bottom w:w="75" w:type="dxa"/>
              <w:left w:w="85" w:type="dxa"/>
              <w:right w:w="85" w:type="dxa"/>
            </w:tcMar>
          </w:tcPr>
          <w:p>
            <w:pPr>
              <w:spacing w:after="0" w:line="250" w:lineRule="auto"/>
            </w:pPr>
            <w:r>
              <w:rPr>
                <w:sz w:val="18"/>
              </w:rPr>
              <w:t>Add content production and partner-onboarding capacity; begin bounded country discovery.</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Days 61–90</w:t>
            </w:r>
          </w:p>
        </w:tc>
        <w:tc>
          <w:tcPr>
            <w:tcW w:type="dxa" w:w="2693"/>
            <w:vAlign w:val="center"/>
            <w:tcMar>
              <w:top w:w="75" w:type="dxa"/>
              <w:bottom w:w="75" w:type="dxa"/>
              <w:left w:w="85" w:type="dxa"/>
              <w:right w:w="85" w:type="dxa"/>
            </w:tcMar>
            <w:shd w:fill="F8F1E9"/>
          </w:tcPr>
          <w:p>
            <w:pPr>
              <w:spacing w:after="0" w:line="250" w:lineRule="auto"/>
            </w:pPr>
            <w:r>
              <w:rPr>
                <w:sz w:val="18"/>
              </w:rPr>
              <w:t>Review retention, support effort and willingness to pay; decide the next affordable release.</w:t>
            </w:r>
          </w:p>
        </w:tc>
        <w:tc>
          <w:tcPr>
            <w:tcW w:type="dxa" w:w="2794"/>
            <w:vAlign w:val="center"/>
            <w:tcMar>
              <w:top w:w="75" w:type="dxa"/>
              <w:bottom w:w="75" w:type="dxa"/>
              <w:left w:w="85" w:type="dxa"/>
              <w:right w:w="85" w:type="dxa"/>
            </w:tcMar>
            <w:shd w:fill="F8F1E9"/>
          </w:tcPr>
          <w:p>
            <w:pPr>
              <w:spacing w:after="0" w:line="250" w:lineRule="auto"/>
            </w:pPr>
            <w:r>
              <w:rPr>
                <w:sz w:val="18"/>
              </w:rPr>
              <w:t>Compare cohorts and paid-test economics; renew or end pilots.</w:t>
            </w:r>
          </w:p>
        </w:tc>
        <w:tc>
          <w:tcPr>
            <w:tcW w:type="dxa" w:w="2805"/>
            <w:vAlign w:val="center"/>
            <w:tcMar>
              <w:top w:w="75" w:type="dxa"/>
              <w:bottom w:w="75" w:type="dxa"/>
              <w:left w:w="85" w:type="dxa"/>
              <w:right w:w="85" w:type="dxa"/>
            </w:tcMar>
            <w:shd w:fill="F8F1E9"/>
          </w:tcPr>
          <w:p>
            <w:pPr>
              <w:spacing w:after="0" w:line="250" w:lineRule="auto"/>
            </w:pPr>
            <w:r>
              <w:rPr>
                <w:sz w:val="18"/>
              </w:rPr>
              <w:t>Release the next spend tranche only against evidence; approve pregnancy/country work separately.</w:t>
            </w:r>
          </w:p>
        </w:tc>
      </w:tr>
      <w:tr>
        <w:trPr>
          <w:cantSplit/>
        </w:trPr>
        <w:tc>
          <w:tcPr>
            <w:tcW w:type="dxa" w:w="1656"/>
            <w:vAlign w:val="center"/>
            <w:tcMar>
              <w:top w:w="75" w:type="dxa"/>
              <w:bottom w:w="75" w:type="dxa"/>
              <w:left w:w="85" w:type="dxa"/>
              <w:right w:w="85" w:type="dxa"/>
            </w:tcMar>
          </w:tcPr>
          <w:p>
            <w:pPr>
              <w:spacing w:after="0" w:line="250" w:lineRule="auto"/>
            </w:pPr>
            <w:r>
              <w:rPr>
                <w:sz w:val="18"/>
              </w:rPr>
              <w:t>Months 4–12</w:t>
            </w:r>
          </w:p>
        </w:tc>
        <w:tc>
          <w:tcPr>
            <w:tcW w:type="dxa" w:w="2693"/>
            <w:vAlign w:val="center"/>
            <w:tcMar>
              <w:top w:w="75" w:type="dxa"/>
              <w:bottom w:w="75" w:type="dxa"/>
              <w:left w:w="85" w:type="dxa"/>
              <w:right w:w="85" w:type="dxa"/>
            </w:tcMar>
          </w:tcPr>
          <w:p>
            <w:pPr>
              <w:spacing w:after="0" w:line="250" w:lineRule="auto"/>
            </w:pPr>
            <w:r>
              <w:rPr>
                <w:sz w:val="18"/>
              </w:rPr>
              <w:t>Continue narrow scope as capacity and earned cash permit.</w:t>
            </w:r>
          </w:p>
        </w:tc>
        <w:tc>
          <w:tcPr>
            <w:tcW w:type="dxa" w:w="2794"/>
            <w:vAlign w:val="center"/>
            <w:tcMar>
              <w:top w:w="75" w:type="dxa"/>
              <w:bottom w:w="75" w:type="dxa"/>
              <w:left w:w="85" w:type="dxa"/>
              <w:right w:w="85" w:type="dxa"/>
            </w:tcMar>
          </w:tcPr>
          <w:p>
            <w:pPr>
              <w:spacing w:after="0" w:line="250" w:lineRule="auto"/>
            </w:pPr>
            <w:r>
              <w:rPr>
                <w:sz w:val="18"/>
              </w:rPr>
              <w:t>Demonstrate repeat use and a repeatable early commercial route.</w:t>
            </w:r>
          </w:p>
        </w:tc>
        <w:tc>
          <w:tcPr>
            <w:tcW w:type="dxa" w:w="2805"/>
            <w:vAlign w:val="center"/>
            <w:tcMar>
              <w:top w:w="75" w:type="dxa"/>
              <w:bottom w:w="75" w:type="dxa"/>
              <w:left w:w="85" w:type="dxa"/>
              <w:right w:w="85" w:type="dxa"/>
            </w:tcMar>
          </w:tcPr>
          <w:p>
            <w:pPr>
              <w:spacing w:after="0" w:line="250" w:lineRule="auto"/>
            </w:pPr>
            <w:r>
              <w:rPr>
                <w:sz w:val="18"/>
              </w:rPr>
              <w:t>Build Spain execution, formal quality/evaluation and a credible channel pipeline.</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Months 13–24</w:t>
            </w:r>
          </w:p>
        </w:tc>
        <w:tc>
          <w:tcPr>
            <w:tcW w:type="dxa" w:w="2693"/>
            <w:vAlign w:val="center"/>
            <w:tcMar>
              <w:top w:w="75" w:type="dxa"/>
              <w:bottom w:w="75" w:type="dxa"/>
              <w:left w:w="85" w:type="dxa"/>
              <w:right w:w="85" w:type="dxa"/>
            </w:tcMar>
            <w:shd w:fill="F8F1E9"/>
          </w:tcPr>
          <w:p>
            <w:pPr>
              <w:spacing w:after="0" w:line="250" w:lineRule="auto"/>
            </w:pPr>
            <w:r>
              <w:rPr>
                <w:sz w:val="18"/>
              </w:rPr>
              <w:t>No unsupported promise of this horizon without a cash plan.</w:t>
            </w:r>
          </w:p>
        </w:tc>
        <w:tc>
          <w:tcPr>
            <w:tcW w:type="dxa" w:w="2794"/>
            <w:vAlign w:val="center"/>
            <w:tcMar>
              <w:top w:w="75" w:type="dxa"/>
              <w:bottom w:w="75" w:type="dxa"/>
              <w:left w:w="85" w:type="dxa"/>
              <w:right w:w="85" w:type="dxa"/>
            </w:tcMar>
            <w:shd w:fill="F8F1E9"/>
          </w:tcPr>
          <w:p>
            <w:pPr>
              <w:spacing w:after="0" w:line="250" w:lineRule="auto"/>
            </w:pPr>
            <w:r>
              <w:rPr>
                <w:sz w:val="18"/>
              </w:rPr>
              <w:t>A new plan is required after the funded period.</w:t>
            </w:r>
          </w:p>
        </w:tc>
        <w:tc>
          <w:tcPr>
            <w:tcW w:type="dxa" w:w="2805"/>
            <w:vAlign w:val="center"/>
            <w:tcMar>
              <w:top w:w="75" w:type="dxa"/>
              <w:bottom w:w="75" w:type="dxa"/>
              <w:left w:w="85" w:type="dxa"/>
              <w:right w:w="85" w:type="dxa"/>
            </w:tcMar>
            <w:shd w:fill="F8F1E9"/>
          </w:tcPr>
          <w:p>
            <w:pPr>
              <w:spacing w:after="0" w:line="250" w:lineRule="auto"/>
            </w:pPr>
            <w:r>
              <w:rPr>
                <w:sz w:val="18"/>
              </w:rPr>
              <w:t>Replicate proven channels; consider a selected international pilot only after readiness approval.</w:t>
            </w:r>
          </w:p>
        </w:tc>
      </w:tr>
    </w:tbl>
    <w:p>
      <w:pPr>
        <w:spacing w:after="20" w:before="0" w:line="72" w:lineRule="auto"/>
      </w:pPr>
      <w:r>
        <w:rPr>
          <w:sz w:val="4"/>
        </w:rPr>
      </w:r>
    </w:p>
    <w:p>
      <w:r>
        <w:rPr/>
        <w:t>Capital-release decisions should review: release safety; first useful action; cohort retention; customer contribution; fully loaded acquisition cost; contract activation/renewal; support demand; and available cash. Proposed commercial thresholds are hypotheses, not external benchmarks. Stop rules must be as explicit as growth targets.</w:t>
      </w:r>
    </w:p>
    <w:p>
      <w:r>
        <w:rPr/>
        <w:t>The first 90 days should also produce a short Singapore opportunity file led through Lucía's introductions: named contacts and roles; five to ten exploratory meetings as a target; two or three potential pilot briefs where interest exists; and a written grant-eligibility assessment from the relevant programme/qualified adviser. Australia should receive a parallel, bounded discovery brief rather than an automatic incorporation or launch.</w:t>
      </w:r>
    </w:p>
    <w:p>
      <w:bookmarkStart w:id="19" w:name="section_19"/>
      <w:pPr>
        <w:pStyle w:val="Heading1"/>
      </w:pPr>
      <w:r>
        <w:rPr/>
        <w:t>19. Investor return, valuation and deal structure</w:t>
      </w:r>
      <w:bookmarkEnd w:id="19"/>
    </w:p>
    <w:p>
      <w:r>
        <w:rPr/>
        <w:t>The return case is value creation through retained recurring revenue, credible margins, repeatable distribution, useful proprietary assets and reduced operational risk. It is not a guaranteed return or the company's revenue divided by the investor's cheque.</w:t>
      </w:r>
    </w:p>
    <w:p>
      <w:r>
        <w:rPr/>
        <w:t>Investor cash proceeds depend on entry valuation, fully diluted ownership, later financing, option pools, preferences, transaction costs, debt and the distribution waterfall. An exit multiple is an assumption, not a result. The existing files contain inconsistent financial versions, so no historic ROI is adopted without reconciliation. [S02, S07, S08]</w:t>
      </w:r>
    </w:p>
    <w:p>
      <w:r>
        <w:rPr/>
        <w:t>For illustration only, a €2M investment at a hypothetical €10M post-money valuation buys 20%. If subsequent dilution reduces that ownership by 25%, the holding is 15%. At €20M of equity proceeds distributable pro rata, it receives €3M: 1.5× invested capital, or approximately 8.4% annually over five years. At €50M it receives €7.5M: 3.75×, or about 30.3% annually. At €5M it receives €0.75M, a loss; at zero, the investment is lost. This excludes preference effects and is neither a proposed valuation nor an expected outcome.</w:t>
      </w:r>
    </w:p>
    <w:p>
      <w:r>
        <w:rPr/>
        <w:t>The team should compare priced equity with a locally appropriate convertible instrument after choosing the funded scope. Examine conversion, cap/discount, maturity and interest where relevant, investor rights, option-pool treatment and net proceeds. Do not import a US SAFE template without jurisdiction-specific advice. Do not rely on a broad “Europe allows ROI promises, the US does not” statement.</w:t>
      </w:r>
    </w:p>
    <w:p>
      <w:r>
        <w:rPr/>
        <w:t>Tony's feedback is treated as constructive investor input, not a funding commitment. His reported network and investment record remain unverified and should not be used as endorsement in the proposal. Any advisory mandate, fee, exclusivity or investment role should be explicit and separate. A financing partner should improve execution or access, not merely increase the headline raise. [S11]</w:t>
      </w:r>
    </w:p>
    <w:p>
      <w:bookmarkStart w:id="20" w:name="section_20"/>
      <w:pPr>
        <w:pStyle w:val="Heading1"/>
      </w:pPr>
      <w:r>
        <w:rPr/>
        <w:t>20. Proposed meeting position</w:t>
      </w:r>
      <w:bookmarkEnd w:id="20"/>
    </w:p>
    <w:p>
      <w:pPr>
        <w:spacing w:before="100" w:after="160"/>
        <w:ind w:left="187" w:right="187"/>
        <w:shd w:fill="F8F1E9"/>
      </w:pPr>
      <w:r>
        <w:rPr/>
        <w:t>NutriSync is a founder-led, cloud-delivered business. We intend to move ahead with our own capabilities and a controlled operating plan. The €15–25K level covers narrowly scoped near-term work; €250–350K supports launch and early validation. A €2M plan would build repeatable execution in Spain, while €5M would allow more parallel product, expert-content, distribution and marketing work, plus selected international readiness and pilots. We are exploring Australia and Singapore as well as European opportunities. We will not count grants, partnerships or investment until the relevant commitments are real. The next decision is which scope can be justified by evidence, capacity and acceptable terms—not simply how much capital is available.</w:t>
      </w:r>
    </w:p>
    <w:p>
      <w:bookmarkStart w:id="21" w:name="section_21"/>
      <w:pPr>
        <w:pStyle w:val="Heading1"/>
        <w:pageBreakBefore/>
      </w:pPr>
      <w:r>
        <w:rPr/>
        <w:t>Annex A. Source register and document relationships</w:t>
      </w:r>
      <w:bookmarkEnd w:id="21"/>
    </w:p>
    <w:p>
      <w:r>
        <w:rPr/>
        <w:t xml:space="preserve">This proposal uses the documents below as a connected evidence base. </w:t>
      </w:r>
      <w:r>
        <w:rPr>
          <w:b/>
        </w:rPr>
        <w:t>Full original</w:t>
      </w:r>
      <w:r>
        <w:rPr/>
        <w:t xml:space="preserve"> means a retrieved file is included unchanged in the accompanying source bundle. </w:t>
      </w:r>
      <w:r>
        <w:rPr>
          <w:b/>
        </w:rPr>
        <w:t>Reference/extract</w:t>
      </w:r>
      <w:r>
        <w:rPr/>
        <w:t xml:space="preserve"> means the content was accessible through the File Library or conversation, but the original binary was not available in the working download set; the annex provides a source brief rather than pretending to attach the full file. Historical files retain their own dates and are not automatically current approvals.</w:t>
      </w:r>
    </w:p>
    <w:tbl>
      <w:tblPr>
        <w:tblW w:type="auto" w:w="0"/>
        <w:jc w:val="center"/>
        <w:tblLayout w:type="fixed"/>
        <w:tblLook w:firstColumn="1" w:firstRow="1" w:lastColumn="0" w:lastRow="0" w:noHBand="0" w:noVBand="1" w:val="04A0"/>
      </w:tblPr>
      <w:tblGrid>
        <w:gridCol w:w="605"/>
        <w:gridCol w:w="3600"/>
        <w:gridCol w:w="2491"/>
        <w:gridCol w:w="3251"/>
      </w:tblGrid>
      <w:tr>
        <w:trPr>
          <w:cantSplit/>
          <w:tblHeader/>
        </w:trPr>
        <w:tc>
          <w:tcPr>
            <w:tcW w:type="dxa" w:w="605"/>
            <w:vAlign w:val="center"/>
            <w:tcMar>
              <w:top w:w="75" w:type="dxa"/>
              <w:bottom w:w="75" w:type="dxa"/>
              <w:left w:w="85" w:type="dxa"/>
              <w:right w:w="85" w:type="dxa"/>
            </w:tcMar>
            <w:shd w:fill="282220"/>
          </w:tcPr>
          <w:p>
            <w:pPr>
              <w:spacing w:after="0" w:line="250" w:lineRule="auto"/>
            </w:pPr>
            <w:r>
              <w:rPr>
                <w:b/>
                <w:color w:val="FFFFFF"/>
                <w:sz w:val="18"/>
              </w:rPr>
              <w:t>Ref.</w:t>
            </w:r>
          </w:p>
        </w:tc>
        <w:tc>
          <w:tcPr>
            <w:tcW w:type="dxa" w:w="3600"/>
            <w:vAlign w:val="center"/>
            <w:tcMar>
              <w:top w:w="75" w:type="dxa"/>
              <w:bottom w:w="75" w:type="dxa"/>
              <w:left w:w="85" w:type="dxa"/>
              <w:right w:w="85" w:type="dxa"/>
            </w:tcMar>
            <w:shd w:fill="282220"/>
          </w:tcPr>
          <w:p>
            <w:pPr>
              <w:spacing w:after="0" w:line="250" w:lineRule="auto"/>
            </w:pPr>
            <w:r>
              <w:rPr>
                <w:b/>
                <w:color w:val="FFFFFF"/>
                <w:sz w:val="18"/>
              </w:rPr>
              <w:t>Document / record</w:t>
            </w:r>
          </w:p>
        </w:tc>
        <w:tc>
          <w:tcPr>
            <w:tcW w:type="dxa" w:w="2491"/>
            <w:vAlign w:val="center"/>
            <w:tcMar>
              <w:top w:w="75" w:type="dxa"/>
              <w:bottom w:w="75" w:type="dxa"/>
              <w:left w:w="85" w:type="dxa"/>
              <w:right w:w="85" w:type="dxa"/>
            </w:tcMar>
            <w:shd w:fill="282220"/>
          </w:tcPr>
          <w:p>
            <w:pPr>
              <w:spacing w:after="0" w:line="250" w:lineRule="auto"/>
            </w:pPr>
            <w:r>
              <w:rPr>
                <w:b/>
                <w:color w:val="FFFFFF"/>
                <w:sz w:val="18"/>
              </w:rPr>
              <w:t>Version and treatment</w:t>
            </w:r>
          </w:p>
        </w:tc>
        <w:tc>
          <w:tcPr>
            <w:tcW w:type="dxa" w:w="3251"/>
            <w:vAlign w:val="center"/>
            <w:tcMar>
              <w:top w:w="75" w:type="dxa"/>
              <w:bottom w:w="75" w:type="dxa"/>
              <w:left w:w="85" w:type="dxa"/>
              <w:right w:w="85" w:type="dxa"/>
            </w:tcMar>
            <w:shd w:fill="282220"/>
          </w:tcPr>
          <w:p>
            <w:pPr>
              <w:spacing w:after="0" w:line="250" w:lineRule="auto"/>
            </w:pPr>
            <w:r>
              <w:rPr>
                <w:b/>
                <w:color w:val="FFFFFF"/>
                <w:sz w:val="18"/>
              </w:rPr>
              <w:t>How used</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S01</w:t>
            </w:r>
          </w:p>
        </w:tc>
        <w:tc>
          <w:tcPr>
            <w:tcW w:type="dxa" w:w="3600"/>
            <w:vAlign w:val="center"/>
            <w:tcMar>
              <w:top w:w="75" w:type="dxa"/>
              <w:bottom w:w="75" w:type="dxa"/>
              <w:left w:w="85" w:type="dxa"/>
              <w:right w:w="85" w:type="dxa"/>
            </w:tcMar>
            <w:shd w:fill="F8F1E9"/>
          </w:tcPr>
          <w:p>
            <w:pPr>
              <w:spacing w:after="0" w:line="250" w:lineRule="auto"/>
            </w:pPr>
            <w:r>
              <w:rPr>
                <w:sz w:val="18"/>
              </w:rPr>
              <w:t>NutriSync_​Proposal_​32_​v8_​Consolidated_​Spain_​Market_​and_​Wearable_​Strategy.docx</w:t>
            </w:r>
          </w:p>
        </w:tc>
        <w:tc>
          <w:tcPr>
            <w:tcW w:type="dxa" w:w="2491"/>
            <w:vAlign w:val="center"/>
            <w:tcMar>
              <w:top w:w="75" w:type="dxa"/>
              <w:bottom w:w="75" w:type="dxa"/>
              <w:left w:w="85" w:type="dxa"/>
              <w:right w:w="85" w:type="dxa"/>
            </w:tcMar>
            <w:shd w:fill="F8F1E9"/>
          </w:tcPr>
          <w:p>
            <w:pPr>
              <w:spacing w:after="0" w:line="250" w:lineRule="auto"/>
            </w:pPr>
            <w:r>
              <w:rPr>
                <w:sz w:val="18"/>
              </w:rPr>
              <w:t>12 Aug 2026; full original.</w:t>
            </w:r>
          </w:p>
        </w:tc>
        <w:tc>
          <w:tcPr>
            <w:tcW w:type="dxa" w:w="3251"/>
            <w:vAlign w:val="center"/>
            <w:tcMar>
              <w:top w:w="75" w:type="dxa"/>
              <w:bottom w:w="75" w:type="dxa"/>
              <w:left w:w="85" w:type="dxa"/>
              <w:right w:w="85" w:type="dxa"/>
            </w:tcMar>
            <w:shd w:fill="F8F1E9"/>
          </w:tcPr>
          <w:p>
            <w:pPr>
              <w:spacing w:after="0" w:line="250" w:lineRule="auto"/>
            </w:pPr>
            <w:r>
              <w:rPr>
                <w:sz w:val="18"/>
              </w:rPr>
              <w:t>Product, Spain market discipline, exercise, cloud, consent and integration architecture.</w:t>
            </w:r>
          </w:p>
        </w:tc>
      </w:tr>
      <w:tr>
        <w:trPr>
          <w:cantSplit/>
        </w:trPr>
        <w:tc>
          <w:tcPr>
            <w:tcW w:type="dxa" w:w="605"/>
            <w:vAlign w:val="center"/>
            <w:tcMar>
              <w:top w:w="75" w:type="dxa"/>
              <w:bottom w:w="75" w:type="dxa"/>
              <w:left w:w="85" w:type="dxa"/>
              <w:right w:w="85" w:type="dxa"/>
            </w:tcMar>
          </w:tcPr>
          <w:p>
            <w:pPr>
              <w:spacing w:after="0" w:line="250" w:lineRule="auto"/>
            </w:pPr>
            <w:r>
              <w:rPr>
                <w:sz w:val="18"/>
              </w:rPr>
              <w:t>S01a</w:t>
            </w:r>
          </w:p>
        </w:tc>
        <w:tc>
          <w:tcPr>
            <w:tcW w:type="dxa" w:w="3600"/>
            <w:vAlign w:val="center"/>
            <w:tcMar>
              <w:top w:w="75" w:type="dxa"/>
              <w:bottom w:w="75" w:type="dxa"/>
              <w:left w:w="85" w:type="dxa"/>
              <w:right w:w="85" w:type="dxa"/>
            </w:tcMar>
          </w:tcPr>
          <w:p>
            <w:pPr>
              <w:spacing w:after="0" w:line="250" w:lineRule="auto"/>
            </w:pPr>
            <w:r>
              <w:rPr>
                <w:sz w:val="18"/>
              </w:rPr>
              <w:t>NutriSync_​Proposal_​32_​v4_​Daily_​Intelligence_​Spain_​First.html</w:t>
            </w:r>
          </w:p>
        </w:tc>
        <w:tc>
          <w:tcPr>
            <w:tcW w:type="dxa" w:w="2491"/>
            <w:vAlign w:val="center"/>
            <w:tcMar>
              <w:top w:w="75" w:type="dxa"/>
              <w:bottom w:w="75" w:type="dxa"/>
              <w:left w:w="85" w:type="dxa"/>
              <w:right w:w="85" w:type="dxa"/>
            </w:tcMar>
          </w:tcPr>
          <w:p>
            <w:pPr>
              <w:spacing w:after="0" w:line="250" w:lineRule="auto"/>
            </w:pPr>
            <w:r>
              <w:rPr>
                <w:sz w:val="18"/>
              </w:rPr>
              <w:t>v4 baseline; full original, historical.</w:t>
            </w:r>
          </w:p>
        </w:tc>
        <w:tc>
          <w:tcPr>
            <w:tcW w:type="dxa" w:w="3251"/>
            <w:vAlign w:val="center"/>
            <w:tcMar>
              <w:top w:w="75" w:type="dxa"/>
              <w:bottom w:w="75" w:type="dxa"/>
              <w:left w:w="85" w:type="dxa"/>
              <w:right w:w="85" w:type="dxa"/>
            </w:tcMar>
          </w:tcPr>
          <w:p>
            <w:pPr>
              <w:spacing w:after="0" w:line="250" w:lineRule="auto"/>
            </w:pPr>
            <w:r>
              <w:rPr>
                <w:sz w:val="18"/>
              </w:rPr>
              <w:t>Earlier product/trust foundation; v8 is the consolidated reference.</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S02</w:t>
            </w:r>
          </w:p>
        </w:tc>
        <w:tc>
          <w:tcPr>
            <w:tcW w:type="dxa" w:w="3600"/>
            <w:vAlign w:val="center"/>
            <w:tcMar>
              <w:top w:w="75" w:type="dxa"/>
              <w:bottom w:w="75" w:type="dxa"/>
              <w:left w:w="85" w:type="dxa"/>
              <w:right w:w="85" w:type="dxa"/>
            </w:tcMar>
            <w:shd w:fill="F8F1E9"/>
          </w:tcPr>
          <w:p>
            <w:pPr>
              <w:spacing w:after="0" w:line="250" w:lineRule="auto"/>
            </w:pPr>
            <w:r>
              <w:rPr>
                <w:sz w:val="18"/>
              </w:rPr>
              <w:t>NutriSync PPT Aug 2026.pptx</w:t>
            </w:r>
          </w:p>
        </w:tc>
        <w:tc>
          <w:tcPr>
            <w:tcW w:type="dxa" w:w="2491"/>
            <w:vAlign w:val="center"/>
            <w:tcMar>
              <w:top w:w="75" w:type="dxa"/>
              <w:bottom w:w="75" w:type="dxa"/>
              <w:left w:w="85" w:type="dxa"/>
              <w:right w:w="85" w:type="dxa"/>
            </w:tcMar>
            <w:shd w:fill="F8F1E9"/>
          </w:tcPr>
          <w:p>
            <w:pPr>
              <w:spacing w:after="0" w:line="250" w:lineRule="auto"/>
            </w:pPr>
            <w:r>
              <w:rPr>
                <w:sz w:val="18"/>
              </w:rPr>
              <w:t>Latest retrieved Library upload: 7 Sep 2026, 19:58:42 UTC; reference/extract.</w:t>
            </w:r>
          </w:p>
        </w:tc>
        <w:tc>
          <w:tcPr>
            <w:tcW w:type="dxa" w:w="3251"/>
            <w:vAlign w:val="center"/>
            <w:tcMar>
              <w:top w:w="75" w:type="dxa"/>
              <w:bottom w:w="75" w:type="dxa"/>
              <w:left w:w="85" w:type="dxa"/>
              <w:right w:w="85" w:type="dxa"/>
            </w:tcMar>
            <w:shd w:fill="F8F1E9"/>
          </w:tcPr>
          <w:p>
            <w:pPr>
              <w:spacing w:after="0" w:line="250" w:lineRule="auto"/>
            </w:pPr>
            <w:r>
              <w:rPr>
                <w:sz w:val="18"/>
              </w:rPr>
              <w:t>Investor positioning, price hypotheses, roadmap and funding reconciliation.</w:t>
            </w:r>
          </w:p>
        </w:tc>
      </w:tr>
      <w:tr>
        <w:trPr>
          <w:cantSplit/>
        </w:trPr>
        <w:tc>
          <w:tcPr>
            <w:tcW w:type="dxa" w:w="605"/>
            <w:vAlign w:val="center"/>
            <w:tcMar>
              <w:top w:w="75" w:type="dxa"/>
              <w:bottom w:w="75" w:type="dxa"/>
              <w:left w:w="85" w:type="dxa"/>
              <w:right w:w="85" w:type="dxa"/>
            </w:tcMar>
          </w:tcPr>
          <w:p>
            <w:pPr>
              <w:spacing w:after="0" w:line="250" w:lineRule="auto"/>
            </w:pPr>
            <w:r>
              <w:rPr>
                <w:sz w:val="18"/>
              </w:rPr>
              <w:t>S02a</w:t>
            </w:r>
          </w:p>
        </w:tc>
        <w:tc>
          <w:tcPr>
            <w:tcW w:type="dxa" w:w="3600"/>
            <w:vAlign w:val="center"/>
            <w:tcMar>
              <w:top w:w="75" w:type="dxa"/>
              <w:bottom w:w="75" w:type="dxa"/>
              <w:left w:w="85" w:type="dxa"/>
              <w:right w:w="85" w:type="dxa"/>
            </w:tcMar>
          </w:tcPr>
          <w:p>
            <w:pPr>
              <w:spacing w:after="0" w:line="250" w:lineRule="auto"/>
            </w:pPr>
            <w:r>
              <w:rPr>
                <w:sz w:val="18"/>
              </w:rPr>
              <w:t>NutriSync PPT August 2026 (3).pdf</w:t>
            </w:r>
          </w:p>
        </w:tc>
        <w:tc>
          <w:tcPr>
            <w:tcW w:type="dxa" w:w="2491"/>
            <w:vAlign w:val="center"/>
            <w:tcMar>
              <w:top w:w="75" w:type="dxa"/>
              <w:bottom w:w="75" w:type="dxa"/>
              <w:left w:w="85" w:type="dxa"/>
              <w:right w:w="85" w:type="dxa"/>
            </w:tcMar>
          </w:tcPr>
          <w:p>
            <w:pPr>
              <w:spacing w:after="0" w:line="250" w:lineRule="auto"/>
            </w:pPr>
            <w:r>
              <w:rPr>
                <w:sz w:val="18"/>
              </w:rPr>
              <w:t>6 Aug 2026 Library copy; reference/extract, historical.</w:t>
            </w:r>
          </w:p>
        </w:tc>
        <w:tc>
          <w:tcPr>
            <w:tcW w:type="dxa" w:w="3251"/>
            <w:vAlign w:val="center"/>
            <w:tcMar>
              <w:top w:w="75" w:type="dxa"/>
              <w:bottom w:w="75" w:type="dxa"/>
              <w:left w:w="85" w:type="dxa"/>
              <w:right w:w="85" w:type="dxa"/>
            </w:tcMar>
          </w:tcPr>
          <w:p>
            <w:pPr>
              <w:spacing w:after="0" w:line="250" w:lineRule="auto"/>
            </w:pPr>
            <w:r>
              <w:rPr>
                <w:sz w:val="18"/>
              </w:rPr>
              <w:t>Earlier deck comparison; not the latest forecast.</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S03</w:t>
            </w:r>
          </w:p>
        </w:tc>
        <w:tc>
          <w:tcPr>
            <w:tcW w:type="dxa" w:w="3600"/>
            <w:vAlign w:val="center"/>
            <w:tcMar>
              <w:top w:w="75" w:type="dxa"/>
              <w:bottom w:w="75" w:type="dxa"/>
              <w:left w:w="85" w:type="dxa"/>
              <w:right w:w="85" w:type="dxa"/>
            </w:tcMar>
            <w:shd w:fill="F8F1E9"/>
          </w:tcPr>
          <w:p>
            <w:pPr>
              <w:spacing w:after="0" w:line="250" w:lineRule="auto"/>
            </w:pPr>
            <w:r>
              <w:rPr>
                <w:sz w:val="18"/>
              </w:rPr>
              <w:t>NutriSync_​10_​Types_​Innovation_​Proposal.pptx and .pdf</w:t>
            </w:r>
          </w:p>
        </w:tc>
        <w:tc>
          <w:tcPr>
            <w:tcW w:type="dxa" w:w="2491"/>
            <w:vAlign w:val="center"/>
            <w:tcMar>
              <w:top w:w="75" w:type="dxa"/>
              <w:bottom w:w="75" w:type="dxa"/>
              <w:left w:w="85" w:type="dxa"/>
              <w:right w:w="85" w:type="dxa"/>
            </w:tcMar>
            <w:shd w:fill="F8F1E9"/>
          </w:tcPr>
          <w:p>
            <w:pPr>
              <w:spacing w:after="0" w:line="250" w:lineRule="auto"/>
            </w:pPr>
            <w:r>
              <w:rPr>
                <w:sz w:val="18"/>
              </w:rPr>
              <w:t>6 Aug 2026; reference/extract.</w:t>
            </w:r>
          </w:p>
        </w:tc>
        <w:tc>
          <w:tcPr>
            <w:tcW w:type="dxa" w:w="3251"/>
            <w:vAlign w:val="center"/>
            <w:tcMar>
              <w:top w:w="75" w:type="dxa"/>
              <w:bottom w:w="75" w:type="dxa"/>
              <w:left w:w="85" w:type="dxa"/>
              <w:right w:w="85" w:type="dxa"/>
            </w:tcMar>
            <w:shd w:fill="F8F1E9"/>
          </w:tcPr>
          <w:p>
            <w:pPr>
              <w:spacing w:after="0" w:line="250" w:lineRule="auto"/>
            </w:pPr>
            <w:r>
              <w:rPr>
                <w:sz w:val="18"/>
              </w:rPr>
              <w:t>Ten Types and segment-of-one system thesis.</w:t>
            </w:r>
          </w:p>
        </w:tc>
      </w:tr>
      <w:tr>
        <w:trPr>
          <w:cantSplit/>
        </w:trPr>
        <w:tc>
          <w:tcPr>
            <w:tcW w:type="dxa" w:w="605"/>
            <w:vAlign w:val="center"/>
            <w:tcMar>
              <w:top w:w="75" w:type="dxa"/>
              <w:bottom w:w="75" w:type="dxa"/>
              <w:left w:w="85" w:type="dxa"/>
              <w:right w:w="85" w:type="dxa"/>
            </w:tcMar>
          </w:tcPr>
          <w:p>
            <w:pPr>
              <w:spacing w:after="0" w:line="250" w:lineRule="auto"/>
            </w:pPr>
            <w:r>
              <w:rPr>
                <w:sz w:val="18"/>
              </w:rPr>
              <w:t>S03a</w:t>
            </w:r>
          </w:p>
        </w:tc>
        <w:tc>
          <w:tcPr>
            <w:tcW w:type="dxa" w:w="3600"/>
            <w:vAlign w:val="center"/>
            <w:tcMar>
              <w:top w:w="75" w:type="dxa"/>
              <w:bottom w:w="75" w:type="dxa"/>
              <w:left w:w="85" w:type="dxa"/>
              <w:right w:w="85" w:type="dxa"/>
            </w:tcMar>
          </w:tcPr>
          <w:p>
            <w:pPr>
              <w:spacing w:after="0" w:line="250" w:lineRule="auto"/>
            </w:pPr>
            <w:r>
              <w:rPr>
                <w:sz w:val="18"/>
              </w:rPr>
              <w:t>NutriSync_​10_​Types_​Introduction_​and_​Overlay.pptx; NutriSync_​10_​Types_​Overlay_​One_​Slide.pptx</w:t>
            </w:r>
          </w:p>
        </w:tc>
        <w:tc>
          <w:tcPr>
            <w:tcW w:type="dxa" w:w="2491"/>
            <w:vAlign w:val="center"/>
            <w:tcMar>
              <w:top w:w="75" w:type="dxa"/>
              <w:bottom w:w="75" w:type="dxa"/>
              <w:left w:w="85" w:type="dxa"/>
              <w:right w:w="85" w:type="dxa"/>
            </w:tcMar>
          </w:tcPr>
          <w:p>
            <w:pPr>
              <w:spacing w:after="0" w:line="250" w:lineRule="auto"/>
            </w:pPr>
            <w:r>
              <w:rPr>
                <w:sz w:val="18"/>
              </w:rPr>
              <w:t>6 Aug 2026; reference/extract.</w:t>
            </w:r>
          </w:p>
        </w:tc>
        <w:tc>
          <w:tcPr>
            <w:tcW w:type="dxa" w:w="3251"/>
            <w:vAlign w:val="center"/>
            <w:tcMar>
              <w:top w:w="75" w:type="dxa"/>
              <w:bottom w:w="75" w:type="dxa"/>
              <w:left w:w="85" w:type="dxa"/>
              <w:right w:w="85" w:type="dxa"/>
            </w:tcMar>
          </w:tcPr>
          <w:p>
            <w:pPr>
              <w:spacing w:after="0" w:line="250" w:lineRule="auto"/>
            </w:pPr>
            <w:r>
              <w:rPr>
                <w:sz w:val="18"/>
              </w:rPr>
              <w:t>Configuration, Offering and Experience overlay.</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S04</w:t>
            </w:r>
          </w:p>
        </w:tc>
        <w:tc>
          <w:tcPr>
            <w:tcW w:type="dxa" w:w="3600"/>
            <w:vAlign w:val="center"/>
            <w:tcMar>
              <w:top w:w="75" w:type="dxa"/>
              <w:bottom w:w="75" w:type="dxa"/>
              <w:left w:w="85" w:type="dxa"/>
              <w:right w:w="85" w:type="dxa"/>
            </w:tcMar>
            <w:shd w:fill="F8F1E9"/>
          </w:tcPr>
          <w:p>
            <w:pPr>
              <w:spacing w:after="0" w:line="250" w:lineRule="auto"/>
            </w:pPr>
            <w:r>
              <w:rPr>
                <w:sz w:val="18"/>
              </w:rPr>
              <w:t>NutriSync_​Competitor_​Capability_​Research.md</w:t>
            </w:r>
          </w:p>
        </w:tc>
        <w:tc>
          <w:tcPr>
            <w:tcW w:type="dxa" w:w="2491"/>
            <w:vAlign w:val="center"/>
            <w:tcMar>
              <w:top w:w="75" w:type="dxa"/>
              <w:bottom w:w="75" w:type="dxa"/>
              <w:left w:w="85" w:type="dxa"/>
              <w:right w:w="85" w:type="dxa"/>
            </w:tcMar>
            <w:shd w:fill="F8F1E9"/>
          </w:tcPr>
          <w:p>
            <w:pPr>
              <w:spacing w:after="0" w:line="250" w:lineRule="auto"/>
            </w:pPr>
            <w:r>
              <w:rPr>
                <w:sz w:val="18"/>
              </w:rPr>
              <w:t>20 Aug 2026; full original.</w:t>
            </w:r>
          </w:p>
        </w:tc>
        <w:tc>
          <w:tcPr>
            <w:tcW w:type="dxa" w:w="3251"/>
            <w:vAlign w:val="center"/>
            <w:tcMar>
              <w:top w:w="75" w:type="dxa"/>
              <w:bottom w:w="75" w:type="dxa"/>
              <w:left w:w="85" w:type="dxa"/>
              <w:right w:w="85" w:type="dxa"/>
            </w:tcMar>
            <w:shd w:fill="F8F1E9"/>
          </w:tcPr>
          <w:p>
            <w:pPr>
              <w:spacing w:after="0" w:line="250" w:lineRule="auto"/>
            </w:pPr>
            <w:r>
              <w:rPr>
                <w:sz w:val="18"/>
              </w:rPr>
              <w:t>Named competitor context; not a fresh exhaustive audit.</w:t>
            </w:r>
          </w:p>
        </w:tc>
      </w:tr>
      <w:tr>
        <w:trPr>
          <w:cantSplit/>
        </w:trPr>
        <w:tc>
          <w:tcPr>
            <w:tcW w:type="dxa" w:w="605"/>
            <w:vAlign w:val="center"/>
            <w:tcMar>
              <w:top w:w="75" w:type="dxa"/>
              <w:bottom w:w="75" w:type="dxa"/>
              <w:left w:w="85" w:type="dxa"/>
              <w:right w:w="85" w:type="dxa"/>
            </w:tcMar>
          </w:tcPr>
          <w:p>
            <w:pPr>
              <w:spacing w:after="0" w:line="250" w:lineRule="auto"/>
            </w:pPr>
            <w:r>
              <w:rPr>
                <w:sz w:val="18"/>
              </w:rPr>
              <w:t>S05</w:t>
            </w:r>
          </w:p>
        </w:tc>
        <w:tc>
          <w:tcPr>
            <w:tcW w:type="dxa" w:w="3600"/>
            <w:vAlign w:val="center"/>
            <w:tcMar>
              <w:top w:w="75" w:type="dxa"/>
              <w:bottom w:w="75" w:type="dxa"/>
              <w:left w:w="85" w:type="dxa"/>
              <w:right w:w="85" w:type="dxa"/>
            </w:tcMar>
          </w:tcPr>
          <w:p>
            <w:pPr>
              <w:spacing w:after="0" w:line="250" w:lineRule="auto"/>
            </w:pPr>
            <w:r>
              <w:rPr>
                <w:sz w:val="18"/>
              </w:rPr>
              <w:t>NutriSync_​Commercial_​Partner_​Radar_​v1_​0_​Aug2026.docx</w:t>
            </w:r>
          </w:p>
        </w:tc>
        <w:tc>
          <w:tcPr>
            <w:tcW w:type="dxa" w:w="2491"/>
            <w:vAlign w:val="center"/>
            <w:tcMar>
              <w:top w:w="75" w:type="dxa"/>
              <w:bottom w:w="75" w:type="dxa"/>
              <w:left w:w="85" w:type="dxa"/>
              <w:right w:w="85" w:type="dxa"/>
            </w:tcMar>
          </w:tcPr>
          <w:p>
            <w:pPr>
              <w:spacing w:after="0" w:line="250" w:lineRule="auto"/>
            </w:pPr>
            <w:r>
              <w:rPr>
                <w:sz w:val="18"/>
              </w:rPr>
              <w:t>Dated 13 Aug 2026; full original.</w:t>
            </w:r>
          </w:p>
        </w:tc>
        <w:tc>
          <w:tcPr>
            <w:tcW w:type="dxa" w:w="3251"/>
            <w:vAlign w:val="center"/>
            <w:tcMar>
              <w:top w:w="75" w:type="dxa"/>
              <w:bottom w:w="75" w:type="dxa"/>
              <w:left w:w="85" w:type="dxa"/>
              <w:right w:w="85" w:type="dxa"/>
            </w:tcMar>
          </w:tcPr>
          <w:p>
            <w:pPr>
              <w:spacing w:after="0" w:line="250" w:lineRule="auto"/>
            </w:pPr>
            <w:r>
              <w:rPr>
                <w:sz w:val="18"/>
              </w:rPr>
              <w:t>Company write-up, partner packages, advertising boundaries and prospect sequencing.</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S06</w:t>
            </w:r>
          </w:p>
        </w:tc>
        <w:tc>
          <w:tcPr>
            <w:tcW w:type="dxa" w:w="3600"/>
            <w:vAlign w:val="center"/>
            <w:tcMar>
              <w:top w:w="75" w:type="dxa"/>
              <w:bottom w:w="75" w:type="dxa"/>
              <w:left w:w="85" w:type="dxa"/>
              <w:right w:w="85" w:type="dxa"/>
            </w:tcMar>
            <w:shd w:fill="F8F1E9"/>
          </w:tcPr>
          <w:p>
            <w:pPr>
              <w:spacing w:after="0" w:line="250" w:lineRule="auto"/>
            </w:pPr>
            <w:r>
              <w:rPr>
                <w:sz w:val="18"/>
              </w:rPr>
              <w:t>NutriSync_​Vision_​Mission_​Strategy.docx</w:t>
            </w:r>
          </w:p>
        </w:tc>
        <w:tc>
          <w:tcPr>
            <w:tcW w:type="dxa" w:w="2491"/>
            <w:vAlign w:val="center"/>
            <w:tcMar>
              <w:top w:w="75" w:type="dxa"/>
              <w:bottom w:w="75" w:type="dxa"/>
              <w:left w:w="85" w:type="dxa"/>
              <w:right w:w="85" w:type="dxa"/>
            </w:tcMar>
            <w:shd w:fill="F8F1E9"/>
          </w:tcPr>
          <w:p>
            <w:pPr>
              <w:spacing w:after="0" w:line="250" w:lineRule="auto"/>
            </w:pPr>
            <w:r>
              <w:rPr>
                <w:sz w:val="18"/>
              </w:rPr>
              <w:t>Updated Aug 2026; full original.</w:t>
            </w:r>
          </w:p>
        </w:tc>
        <w:tc>
          <w:tcPr>
            <w:tcW w:type="dxa" w:w="3251"/>
            <w:vAlign w:val="center"/>
            <w:tcMar>
              <w:top w:w="75" w:type="dxa"/>
              <w:bottom w:w="75" w:type="dxa"/>
              <w:left w:w="85" w:type="dxa"/>
              <w:right w:w="85" w:type="dxa"/>
            </w:tcMar>
            <w:shd w:fill="F8F1E9"/>
          </w:tcPr>
          <w:p>
            <w:pPr>
              <w:spacing w:after="0" w:line="250" w:lineRule="auto"/>
            </w:pPr>
            <w:r>
              <w:rPr>
                <w:sz w:val="18"/>
              </w:rPr>
              <w:t>Strategic continuity; historic price/roadmap hypotheses require reconciliation.</w:t>
            </w:r>
          </w:p>
        </w:tc>
      </w:tr>
      <w:tr>
        <w:trPr>
          <w:cantSplit/>
        </w:trPr>
        <w:tc>
          <w:tcPr>
            <w:tcW w:type="dxa" w:w="605"/>
            <w:vAlign w:val="center"/>
            <w:tcMar>
              <w:top w:w="75" w:type="dxa"/>
              <w:bottom w:w="75" w:type="dxa"/>
              <w:left w:w="85" w:type="dxa"/>
              <w:right w:w="85" w:type="dxa"/>
            </w:tcMar>
          </w:tcPr>
          <w:p>
            <w:pPr>
              <w:spacing w:after="0" w:line="250" w:lineRule="auto"/>
            </w:pPr>
            <w:r>
              <w:rPr>
                <w:sz w:val="18"/>
              </w:rPr>
              <w:t>S07</w:t>
            </w:r>
          </w:p>
        </w:tc>
        <w:tc>
          <w:tcPr>
            <w:tcW w:type="dxa" w:w="3600"/>
            <w:vAlign w:val="center"/>
            <w:tcMar>
              <w:top w:w="75" w:type="dxa"/>
              <w:bottom w:w="75" w:type="dxa"/>
              <w:left w:w="85" w:type="dxa"/>
              <w:right w:w="85" w:type="dxa"/>
            </w:tcMar>
          </w:tcPr>
          <w:p>
            <w:pPr>
              <w:spacing w:after="0" w:line="250" w:lineRule="auto"/>
            </w:pPr>
            <w:r>
              <w:rPr>
                <w:sz w:val="18"/>
              </w:rPr>
              <w:t>New Pitch Deck and Financial Model Review-Feedback.pdf</w:t>
            </w:r>
          </w:p>
        </w:tc>
        <w:tc>
          <w:tcPr>
            <w:tcW w:type="dxa" w:w="2491"/>
            <w:vAlign w:val="center"/>
            <w:tcMar>
              <w:top w:w="75" w:type="dxa"/>
              <w:bottom w:w="75" w:type="dxa"/>
              <w:left w:w="85" w:type="dxa"/>
              <w:right w:w="85" w:type="dxa"/>
            </w:tcMar>
          </w:tcPr>
          <w:p>
            <w:pPr>
              <w:spacing w:after="0" w:line="250" w:lineRule="auto"/>
            </w:pPr>
            <w:r>
              <w:rPr>
                <w:sz w:val="18"/>
              </w:rPr>
              <w:t>Retrieved Aug 2026 review; full original.</w:t>
            </w:r>
          </w:p>
        </w:tc>
        <w:tc>
          <w:tcPr>
            <w:tcW w:type="dxa" w:w="3251"/>
            <w:vAlign w:val="center"/>
            <w:tcMar>
              <w:top w:w="75" w:type="dxa"/>
              <w:bottom w:w="75" w:type="dxa"/>
              <w:left w:w="85" w:type="dxa"/>
              <w:right w:w="85" w:type="dxa"/>
            </w:tcMar>
          </w:tcPr>
          <w:p>
            <w:pPr>
              <w:spacing w:after="0" w:line="250" w:lineRule="auto"/>
            </w:pPr>
            <w:r>
              <w:rPr>
                <w:sz w:val="18"/>
              </w:rPr>
              <w:t>Innovation, claims, deck structure and financial-control recommendations.</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S08</w:t>
            </w:r>
          </w:p>
        </w:tc>
        <w:tc>
          <w:tcPr>
            <w:tcW w:type="dxa" w:w="3600"/>
            <w:vAlign w:val="center"/>
            <w:tcMar>
              <w:top w:w="75" w:type="dxa"/>
              <w:bottom w:w="75" w:type="dxa"/>
              <w:left w:w="85" w:type="dxa"/>
              <w:right w:w="85" w:type="dxa"/>
            </w:tcMar>
            <w:shd w:fill="F8F1E9"/>
          </w:tcPr>
          <w:p>
            <w:pPr>
              <w:spacing w:after="0" w:line="250" w:lineRule="auto"/>
            </w:pPr>
            <w:r>
              <w:rPr>
                <w:sz w:val="18"/>
              </w:rPr>
              <w:t>NUTRISYNC_​financial_​model_​rebuilt.xlsx</w:t>
            </w:r>
          </w:p>
        </w:tc>
        <w:tc>
          <w:tcPr>
            <w:tcW w:type="dxa" w:w="2491"/>
            <w:vAlign w:val="center"/>
            <w:tcMar>
              <w:top w:w="75" w:type="dxa"/>
              <w:bottom w:w="75" w:type="dxa"/>
              <w:left w:w="85" w:type="dxa"/>
              <w:right w:w="85" w:type="dxa"/>
            </w:tcMar>
            <w:shd w:fill="F8F1E9"/>
          </w:tcPr>
          <w:p>
            <w:pPr>
              <w:spacing w:after="0" w:line="250" w:lineRule="auto"/>
            </w:pPr>
            <w:r>
              <w:rPr>
                <w:sz w:val="18"/>
              </w:rPr>
              <w:t>Library workbook; reference/extract. Metadata predates some content; document substance governs.</w:t>
            </w:r>
          </w:p>
        </w:tc>
        <w:tc>
          <w:tcPr>
            <w:tcW w:type="dxa" w:w="3251"/>
            <w:vAlign w:val="center"/>
            <w:tcMar>
              <w:top w:w="75" w:type="dxa"/>
              <w:bottom w:w="75" w:type="dxa"/>
              <w:left w:w="85" w:type="dxa"/>
              <w:right w:w="85" w:type="dxa"/>
            </w:tcMar>
            <w:shd w:fill="F8F1E9"/>
          </w:tcPr>
          <w:p>
            <w:pPr>
              <w:spacing w:after="0" w:line="250" w:lineRule="auto"/>
            </w:pPr>
            <w:r>
              <w:rPr>
                <w:sz w:val="18"/>
              </w:rPr>
              <w:t>Formula/funnel principles and explicit later-financing dependence; not re-audited.</w:t>
            </w:r>
          </w:p>
        </w:tc>
      </w:tr>
      <w:tr>
        <w:trPr>
          <w:cantSplit/>
        </w:trPr>
        <w:tc>
          <w:tcPr>
            <w:tcW w:type="dxa" w:w="605"/>
            <w:vAlign w:val="center"/>
            <w:tcMar>
              <w:top w:w="75" w:type="dxa"/>
              <w:bottom w:w="75" w:type="dxa"/>
              <w:left w:w="85" w:type="dxa"/>
              <w:right w:w="85" w:type="dxa"/>
            </w:tcMar>
          </w:tcPr>
          <w:p>
            <w:pPr>
              <w:spacing w:after="0" w:line="250" w:lineRule="auto"/>
            </w:pPr>
            <w:r>
              <w:rPr>
                <w:sz w:val="18"/>
              </w:rPr>
              <w:t>S08a</w:t>
            </w:r>
          </w:p>
        </w:tc>
        <w:tc>
          <w:tcPr>
            <w:tcW w:type="dxa" w:w="3600"/>
            <w:vAlign w:val="center"/>
            <w:tcMar>
              <w:top w:w="75" w:type="dxa"/>
              <w:bottom w:w="75" w:type="dxa"/>
              <w:left w:w="85" w:type="dxa"/>
              <w:right w:w="85" w:type="dxa"/>
            </w:tcMar>
          </w:tcPr>
          <w:p>
            <w:pPr>
              <w:spacing w:after="0" w:line="250" w:lineRule="auto"/>
            </w:pPr>
            <w:r>
              <w:rPr>
                <w:sz w:val="18"/>
              </w:rPr>
              <w:t>NutriSync Finance</w:t>
            </w:r>
          </w:p>
        </w:tc>
        <w:tc>
          <w:tcPr>
            <w:tcW w:type="dxa" w:w="2491"/>
            <w:vAlign w:val="center"/>
            <w:tcMar>
              <w:top w:w="75" w:type="dxa"/>
              <w:bottom w:w="75" w:type="dxa"/>
              <w:left w:w="85" w:type="dxa"/>
              <w:right w:w="85" w:type="dxa"/>
            </w:tcMar>
          </w:tcPr>
          <w:p>
            <w:pPr>
              <w:spacing w:after="0" w:line="250" w:lineRule="auto"/>
            </w:pPr>
            <w:r>
              <w:rPr>
                <w:sz w:val="18"/>
              </w:rPr>
              <w:t>Google Sheets snapshot exported to XLSX; full original export.</w:t>
            </w:r>
          </w:p>
        </w:tc>
        <w:tc>
          <w:tcPr>
            <w:tcW w:type="dxa" w:w="3251"/>
            <w:vAlign w:val="center"/>
            <w:tcMar>
              <w:top w:w="75" w:type="dxa"/>
              <w:bottom w:w="75" w:type="dxa"/>
              <w:left w:w="85" w:type="dxa"/>
              <w:right w:w="85" w:type="dxa"/>
            </w:tcMar>
          </w:tcPr>
          <w:p>
            <w:pPr>
              <w:spacing w:after="0" w:line="250" w:lineRule="auto"/>
            </w:pPr>
            <w:r>
              <w:rPr>
                <w:sz w:val="18"/>
              </w:rPr>
              <w:t>Earlier financial assumptions; not assumed to be the rebuilt workbook.</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S09</w:t>
            </w:r>
          </w:p>
        </w:tc>
        <w:tc>
          <w:tcPr>
            <w:tcW w:type="dxa" w:w="3600"/>
            <w:vAlign w:val="center"/>
            <w:tcMar>
              <w:top w:w="75" w:type="dxa"/>
              <w:bottom w:w="75" w:type="dxa"/>
              <w:left w:w="85" w:type="dxa"/>
              <w:right w:w="85" w:type="dxa"/>
            </w:tcMar>
            <w:shd w:fill="F8F1E9"/>
          </w:tcPr>
          <w:p>
            <w:pPr>
              <w:spacing w:after="0" w:line="250" w:lineRule="auto"/>
            </w:pPr>
            <w:r>
              <w:rPr>
                <w:sz w:val="18"/>
              </w:rPr>
              <w:t>NutriSync_​Project_​Record_​Chat_​Summary_​and_​Amendment_​Log.docx; NutriSync_​Project_​Index_​README.md</w:t>
            </w:r>
          </w:p>
        </w:tc>
        <w:tc>
          <w:tcPr>
            <w:tcW w:type="dxa" w:w="2491"/>
            <w:vAlign w:val="center"/>
            <w:tcMar>
              <w:top w:w="75" w:type="dxa"/>
              <w:bottom w:w="75" w:type="dxa"/>
              <w:left w:w="85" w:type="dxa"/>
              <w:right w:w="85" w:type="dxa"/>
            </w:tcMar>
            <w:shd w:fill="F8F1E9"/>
          </w:tcPr>
          <w:p>
            <w:pPr>
              <w:spacing w:after="0" w:line="250" w:lineRule="auto"/>
            </w:pPr>
            <w:r>
              <w:rPr>
                <w:sz w:val="18"/>
              </w:rPr>
              <w:t>4 Aug 2026; reference/extract.</w:t>
            </w:r>
          </w:p>
        </w:tc>
        <w:tc>
          <w:tcPr>
            <w:tcW w:type="dxa" w:w="3251"/>
            <w:vAlign w:val="center"/>
            <w:tcMar>
              <w:top w:w="75" w:type="dxa"/>
              <w:bottom w:w="75" w:type="dxa"/>
              <w:left w:w="85" w:type="dxa"/>
              <w:right w:w="85" w:type="dxa"/>
            </w:tcMar>
            <w:shd w:fill="F8F1E9"/>
          </w:tcPr>
          <w:p>
            <w:pPr>
              <w:spacing w:after="0" w:line="250" w:lineRule="auto"/>
            </w:pPr>
            <w:r>
              <w:rPr>
                <w:sz w:val="18"/>
              </w:rPr>
              <w:t>Legal document register, controller, retention and cloud/transfer controls.</w:t>
            </w:r>
          </w:p>
        </w:tc>
      </w:tr>
      <w:tr>
        <w:trPr>
          <w:cantSplit/>
        </w:trPr>
        <w:tc>
          <w:tcPr>
            <w:tcW w:type="dxa" w:w="605"/>
            <w:vAlign w:val="center"/>
            <w:tcMar>
              <w:top w:w="75" w:type="dxa"/>
              <w:bottom w:w="75" w:type="dxa"/>
              <w:left w:w="85" w:type="dxa"/>
              <w:right w:w="85" w:type="dxa"/>
            </w:tcMar>
          </w:tcPr>
          <w:p>
            <w:pPr>
              <w:spacing w:after="0" w:line="250" w:lineRule="auto"/>
            </w:pPr>
            <w:r>
              <w:rPr>
                <w:sz w:val="18"/>
              </w:rPr>
              <w:t>S09a</w:t>
            </w:r>
          </w:p>
        </w:tc>
        <w:tc>
          <w:tcPr>
            <w:tcW w:type="dxa" w:w="3600"/>
            <w:vAlign w:val="center"/>
            <w:tcMar>
              <w:top w:w="75" w:type="dxa"/>
              <w:bottom w:w="75" w:type="dxa"/>
              <w:left w:w="85" w:type="dxa"/>
              <w:right w:w="85" w:type="dxa"/>
            </w:tcMar>
          </w:tcPr>
          <w:p>
            <w:pPr>
              <w:spacing w:after="0" w:line="250" w:lineRule="auto"/>
            </w:pPr>
            <w:r>
              <w:rPr>
                <w:sz w:val="18"/>
              </w:rPr>
              <w:t>NutriSync_​Counsel_​Review_​Brief_​Controller_​Cookies_​Transfers.docx and bilingual final counsel-review set</w:t>
            </w:r>
          </w:p>
        </w:tc>
        <w:tc>
          <w:tcPr>
            <w:tcW w:type="dxa" w:w="2491"/>
            <w:vAlign w:val="center"/>
            <w:tcMar>
              <w:top w:w="75" w:type="dxa"/>
              <w:bottom w:w="75" w:type="dxa"/>
              <w:left w:w="85" w:type="dxa"/>
              <w:right w:w="85" w:type="dxa"/>
            </w:tcMar>
          </w:tcPr>
          <w:p>
            <w:pPr>
              <w:spacing w:after="0" w:line="250" w:lineRule="auto"/>
            </w:pPr>
            <w:r>
              <w:rPr>
                <w:sz w:val="18"/>
              </w:rPr>
              <w:t>4 Aug 2026; reference/extract, not legal sign-off.</w:t>
            </w:r>
          </w:p>
        </w:tc>
        <w:tc>
          <w:tcPr>
            <w:tcW w:type="dxa" w:w="3251"/>
            <w:vAlign w:val="center"/>
            <w:tcMar>
              <w:top w:w="75" w:type="dxa"/>
              <w:bottom w:w="75" w:type="dxa"/>
              <w:left w:w="85" w:type="dxa"/>
              <w:right w:w="85" w:type="dxa"/>
            </w:tcMar>
          </w:tcPr>
          <w:p>
            <w:pPr>
              <w:spacing w:after="0" w:line="250" w:lineRule="auto"/>
            </w:pPr>
            <w:r>
              <w:rPr>
                <w:sz w:val="18"/>
              </w:rPr>
              <w:t>Consent, privacy, cookie/SDK and release-readiness dependencies.</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S09b</w:t>
            </w:r>
          </w:p>
        </w:tc>
        <w:tc>
          <w:tcPr>
            <w:tcW w:type="dxa" w:w="3600"/>
            <w:vAlign w:val="center"/>
            <w:tcMar>
              <w:top w:w="75" w:type="dxa"/>
              <w:bottom w:w="75" w:type="dxa"/>
              <w:left w:w="85" w:type="dxa"/>
              <w:right w:w="85" w:type="dxa"/>
            </w:tcMar>
            <w:shd w:fill="F8F1E9"/>
          </w:tcPr>
          <w:p>
            <w:pPr>
              <w:spacing w:after="0" w:line="250" w:lineRule="auto"/>
            </w:pPr>
            <w:r>
              <w:rPr>
                <w:sz w:val="18"/>
              </w:rPr>
              <w:t>NutriSync_​Collective_​Guia_​CB_​vs_​SL_​Madrid_​ES.docx</w:t>
            </w:r>
          </w:p>
        </w:tc>
        <w:tc>
          <w:tcPr>
            <w:tcW w:type="dxa" w:w="2491"/>
            <w:vAlign w:val="center"/>
            <w:tcMar>
              <w:top w:w="75" w:type="dxa"/>
              <w:bottom w:w="75" w:type="dxa"/>
              <w:left w:w="85" w:type="dxa"/>
              <w:right w:w="85" w:type="dxa"/>
            </w:tcMar>
            <w:shd w:fill="F8F1E9"/>
          </w:tcPr>
          <w:p>
            <w:pPr>
              <w:spacing w:after="0" w:line="250" w:lineRule="auto"/>
            </w:pPr>
            <w:r>
              <w:rPr>
                <w:sz w:val="18"/>
              </w:rPr>
              <w:t>13 Aug 2026; reference/extract.</w:t>
            </w:r>
          </w:p>
        </w:tc>
        <w:tc>
          <w:tcPr>
            <w:tcW w:type="dxa" w:w="3251"/>
            <w:vAlign w:val="center"/>
            <w:tcMar>
              <w:top w:w="75" w:type="dxa"/>
              <w:bottom w:w="75" w:type="dxa"/>
              <w:left w:w="85" w:type="dxa"/>
              <w:right w:w="85" w:type="dxa"/>
            </w:tcMar>
            <w:shd w:fill="F8F1E9"/>
          </w:tcPr>
          <w:p>
            <w:pPr>
              <w:spacing w:after="0" w:line="250" w:lineRule="auto"/>
            </w:pPr>
            <w:r>
              <w:rPr>
                <w:sz w:val="18"/>
              </w:rPr>
              <w:t>Corporate/IP questions; no incorporation action taken here.</w:t>
            </w:r>
          </w:p>
        </w:tc>
      </w:tr>
      <w:tr>
        <w:trPr>
          <w:cantSplit/>
        </w:trPr>
        <w:tc>
          <w:tcPr>
            <w:tcW w:type="dxa" w:w="605"/>
            <w:vAlign w:val="center"/>
            <w:tcMar>
              <w:top w:w="75" w:type="dxa"/>
              <w:bottom w:w="75" w:type="dxa"/>
              <w:left w:w="85" w:type="dxa"/>
              <w:right w:w="85" w:type="dxa"/>
            </w:tcMar>
          </w:tcPr>
          <w:p>
            <w:pPr>
              <w:spacing w:after="0" w:line="250" w:lineRule="auto"/>
            </w:pPr>
            <w:r>
              <w:rPr>
                <w:sz w:val="18"/>
              </w:rPr>
              <w:t>S10</w:t>
            </w:r>
          </w:p>
        </w:tc>
        <w:tc>
          <w:tcPr>
            <w:tcW w:type="dxa" w:w="3600"/>
            <w:vAlign w:val="center"/>
            <w:tcMar>
              <w:top w:w="75" w:type="dxa"/>
              <w:bottom w:w="75" w:type="dxa"/>
              <w:left w:w="85" w:type="dxa"/>
              <w:right w:w="85" w:type="dxa"/>
            </w:tcMar>
          </w:tcPr>
          <w:p>
            <w:pPr>
              <w:spacing w:after="0" w:line="250" w:lineRule="auto"/>
            </w:pPr>
            <w:r>
              <w:rPr>
                <w:sz w:val="18"/>
              </w:rPr>
              <w:t>Draft-Plan-Lanzamiento-8Oct-v2 (1).html</w:t>
            </w:r>
          </w:p>
        </w:tc>
        <w:tc>
          <w:tcPr>
            <w:tcW w:type="dxa" w:w="2491"/>
            <w:vAlign w:val="center"/>
            <w:tcMar>
              <w:top w:w="75" w:type="dxa"/>
              <w:bottom w:w="75" w:type="dxa"/>
              <w:left w:w="85" w:type="dxa"/>
              <w:right w:w="85" w:type="dxa"/>
            </w:tcMar>
          </w:tcPr>
          <w:p>
            <w:pPr>
              <w:spacing w:after="0" w:line="250" w:lineRule="auto"/>
            </w:pPr>
            <w:r>
              <w:rPr>
                <w:sz w:val="18"/>
              </w:rPr>
              <w:t>August draft; full original.</w:t>
            </w:r>
          </w:p>
        </w:tc>
        <w:tc>
          <w:tcPr>
            <w:tcW w:type="dxa" w:w="3251"/>
            <w:vAlign w:val="center"/>
            <w:tcMar>
              <w:top w:w="75" w:type="dxa"/>
              <w:bottom w:w="75" w:type="dxa"/>
              <w:left w:w="85" w:type="dxa"/>
              <w:right w:w="85" w:type="dxa"/>
            </w:tcMar>
          </w:tcPr>
          <w:p>
            <w:pPr>
              <w:spacing w:after="0" w:line="250" w:lineRule="auto"/>
            </w:pPr>
            <w:r>
              <w:rPr>
                <w:sz w:val="18"/>
              </w:rPr>
              <w:t>Historical launch work; dates must be confirmed rather than assumed.</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S11</w:t>
            </w:r>
          </w:p>
        </w:tc>
        <w:tc>
          <w:tcPr>
            <w:tcW w:type="dxa" w:w="3600"/>
            <w:vAlign w:val="center"/>
            <w:tcMar>
              <w:top w:w="75" w:type="dxa"/>
              <w:bottom w:w="75" w:type="dxa"/>
              <w:left w:w="85" w:type="dxa"/>
              <w:right w:w="85" w:type="dxa"/>
            </w:tcMar>
            <w:shd w:fill="F8F1E9"/>
          </w:tcPr>
          <w:p>
            <w:pPr>
              <w:spacing w:after="0" w:line="250" w:lineRule="auto"/>
            </w:pPr>
            <w:r>
              <w:rPr>
                <w:sz w:val="18"/>
              </w:rPr>
              <w:t>Meeting 1 notes with Tony and the founder instructions in this conversation</w:t>
            </w:r>
          </w:p>
        </w:tc>
        <w:tc>
          <w:tcPr>
            <w:tcW w:type="dxa" w:w="2491"/>
            <w:vAlign w:val="center"/>
            <w:tcMar>
              <w:top w:w="75" w:type="dxa"/>
              <w:bottom w:w="75" w:type="dxa"/>
              <w:left w:w="85" w:type="dxa"/>
              <w:right w:w="85" w:type="dxa"/>
            </w:tcMar>
            <w:shd w:fill="F8F1E9"/>
          </w:tcPr>
          <w:p>
            <w:pPr>
              <w:spacing w:after="0" w:line="250" w:lineRule="auto"/>
            </w:pPr>
            <w:r>
              <w:rPr>
                <w:sz w:val="18"/>
              </w:rPr>
              <w:t>User supplied; summarised in Annex F.</w:t>
            </w:r>
          </w:p>
        </w:tc>
        <w:tc>
          <w:tcPr>
            <w:tcW w:type="dxa" w:w="3251"/>
            <w:vAlign w:val="center"/>
            <w:tcMar>
              <w:top w:w="75" w:type="dxa"/>
              <w:bottom w:w="75" w:type="dxa"/>
              <w:left w:w="85" w:type="dxa"/>
              <w:right w:w="85" w:type="dxa"/>
            </w:tcMar>
            <w:shd w:fill="F8F1E9"/>
          </w:tcPr>
          <w:p>
            <w:pPr>
              <w:spacing w:after="0" w:line="250" w:lineRule="auto"/>
            </w:pPr>
            <w:r>
              <w:rPr>
                <w:sz w:val="18"/>
              </w:rPr>
              <w:t>Questions, funding levels, own-capacity position and expansion options.</w:t>
            </w:r>
          </w:p>
        </w:tc>
      </w:tr>
      <w:tr>
        <w:trPr>
          <w:cantSplit/>
        </w:trPr>
        <w:tc>
          <w:tcPr>
            <w:tcW w:type="dxa" w:w="605"/>
            <w:vAlign w:val="center"/>
            <w:tcMar>
              <w:top w:w="75" w:type="dxa"/>
              <w:bottom w:w="75" w:type="dxa"/>
              <w:left w:w="85" w:type="dxa"/>
              <w:right w:w="85" w:type="dxa"/>
            </w:tcMar>
          </w:tcPr>
          <w:p>
            <w:pPr>
              <w:spacing w:after="0" w:line="250" w:lineRule="auto"/>
            </w:pPr>
            <w:r>
              <w:rPr>
                <w:sz w:val="18"/>
              </w:rPr>
              <w:t>S12</w:t>
            </w:r>
          </w:p>
        </w:tc>
        <w:tc>
          <w:tcPr>
            <w:tcW w:type="dxa" w:w="3600"/>
            <w:vAlign w:val="center"/>
            <w:tcMar>
              <w:top w:w="75" w:type="dxa"/>
              <w:bottom w:w="75" w:type="dxa"/>
              <w:left w:w="85" w:type="dxa"/>
              <w:right w:w="85" w:type="dxa"/>
            </w:tcMar>
          </w:tcPr>
          <w:p>
            <w:pPr>
              <w:spacing w:after="0" w:line="250" w:lineRule="auto"/>
            </w:pPr>
            <w:r>
              <w:rPr>
                <w:sz w:val="18"/>
              </w:rPr>
              <w:t>User-supplied Oura-related screenshot</w:t>
            </w:r>
          </w:p>
        </w:tc>
        <w:tc>
          <w:tcPr>
            <w:tcW w:type="dxa" w:w="2491"/>
            <w:vAlign w:val="center"/>
            <w:tcMar>
              <w:top w:w="75" w:type="dxa"/>
              <w:bottom w:w="75" w:type="dxa"/>
              <w:left w:w="85" w:type="dxa"/>
              <w:right w:w="85" w:type="dxa"/>
            </w:tcMar>
          </w:tcPr>
          <w:p>
            <w:pPr>
              <w:spacing w:after="0" w:line="250" w:lineRule="auto"/>
            </w:pPr>
            <w:r>
              <w:rPr>
                <w:sz w:val="18"/>
              </w:rPr>
              <w:t>Conversation image; included in the source bundle and discussed in Annex G.</w:t>
            </w:r>
          </w:p>
        </w:tc>
        <w:tc>
          <w:tcPr>
            <w:tcW w:type="dxa" w:w="3251"/>
            <w:vAlign w:val="center"/>
            <w:tcMar>
              <w:top w:w="75" w:type="dxa"/>
              <w:bottom w:w="75" w:type="dxa"/>
              <w:left w:w="85" w:type="dxa"/>
              <w:right w:w="85" w:type="dxa"/>
            </w:tcMar>
          </w:tcPr>
          <w:p>
            <w:pPr>
              <w:spacing w:after="0" w:line="250" w:lineRule="auto"/>
            </w:pPr>
            <w:r>
              <w:rPr>
                <w:sz w:val="18"/>
              </w:rPr>
              <w:t>Output transparency and claims risk; not a verified litigation record.</w:t>
            </w:r>
          </w:p>
        </w:tc>
      </w:tr>
    </w:tbl>
    <w:p>
      <w:pPr>
        <w:spacing w:after="20" w:before="0" w:line="72" w:lineRule="auto"/>
      </w:pPr>
      <w:r>
        <w:rPr>
          <w:sz w:val="4"/>
        </w:rPr>
      </w:r>
    </w:p>
    <w:p>
      <w:r>
        <w:rPr/>
        <w:t xml:space="preserve">The earlier conversation titles </w:t>
      </w:r>
      <w:r>
        <w:rPr>
          <w:b/>
        </w:rPr>
        <w:t>“Company Write-Up Request”</w:t>
      </w:r>
      <w:r>
        <w:rPr/>
        <w:t xml:space="preserve"> and </w:t>
      </w:r>
      <w:r>
        <w:rPr>
          <w:b/>
        </w:rPr>
        <w:t>“Competitor Analysis Overview”</w:t>
      </w:r>
      <w:r>
        <w:rPr/>
        <w:t xml:space="preserve"> are carried forward through S05 and S04/S07 respectively. They are not additional independent market studies. The earlier healthcare-led ATL/BTL discussion is reflected in the distribution and campaign design; no missing original transcript is represented as an attached file.</w:t>
      </w:r>
    </w:p>
    <w:p>
      <w:bookmarkStart w:id="22" w:name="section_22"/>
      <w:pPr>
        <w:pStyle w:val="Heading1"/>
      </w:pPr>
      <w:r>
        <w:rPr/>
        <w:t>Annex B. Product and innovation source brief</w:t>
      </w:r>
      <w:bookmarkEnd w:id="22"/>
    </w:p>
    <w:p>
      <w:r>
        <w:rPr>
          <w:b/>
        </w:rPr>
        <w:t>Proposal 32 continuity.</w:t>
      </w:r>
      <w:r>
        <w:rPr/>
        <w:t xml:space="preserve"> Preserve submitted-photo logging with an editable draft; activity capture at home, outdoors or in a gym; optional wearable signals; self-reported mood/energy; source provenance; within-person observations; and a complete manual/non-wearable route. Its market tables are planning bases, not automatically paying customers. Candidate AI outputs remain different from confirmed user records. [S01, S01a]</w:t>
      </w:r>
    </w:p>
    <w:p>
      <w:r>
        <w:rPr>
          <w:b/>
        </w:rPr>
        <w:t>Ten Types application.</w:t>
      </w:r>
      <w:r>
        <w:rPr/>
        <w:t xml:space="preserve"> The framework is retained without the claim that ticking ten boxes establishes commercial success. Original maturity labels are historical statements requiring current verification. [S03, S03a]</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Type</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Application in this proposal</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Evidence of progress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Profit model</w:t>
            </w:r>
          </w:p>
        </w:tc>
        <w:tc>
          <w:tcPr>
            <w:tcW w:type="dxa" w:w="3773"/>
            <w:vAlign w:val="center"/>
            <w:tcMar>
              <w:top w:w="75" w:type="dxa"/>
              <w:bottom w:w="75" w:type="dxa"/>
              <w:left w:w="85" w:type="dxa"/>
              <w:right w:w="85" w:type="dxa"/>
            </w:tcMar>
            <w:shd w:fill="F8F1E9"/>
          </w:tcPr>
          <w:p>
            <w:pPr>
              <w:spacing w:after="0" w:line="250" w:lineRule="auto"/>
            </w:pPr>
            <w:r>
              <w:rPr>
                <w:sz w:val="18"/>
              </w:rPr>
              <w:t>B2C subscriptions, B2B licences and separately reported services/partners.</w:t>
            </w:r>
          </w:p>
        </w:tc>
        <w:tc>
          <w:tcPr>
            <w:tcW w:type="dxa" w:w="3755"/>
            <w:vAlign w:val="center"/>
            <w:tcMar>
              <w:top w:w="75" w:type="dxa"/>
              <w:bottom w:w="75" w:type="dxa"/>
              <w:left w:w="85" w:type="dxa"/>
              <w:right w:w="85" w:type="dxa"/>
            </w:tcMar>
            <w:shd w:fill="F8F1E9"/>
          </w:tcPr>
          <w:p>
            <w:pPr>
              <w:spacing w:after="0" w:line="250" w:lineRule="auto"/>
            </w:pPr>
            <w:r>
              <w:rPr>
                <w:sz w:val="18"/>
              </w:rPr>
              <w:t>Recurring contribution and renewal.</w:t>
            </w:r>
          </w:p>
        </w:tc>
      </w:tr>
      <w:tr>
        <w:trPr>
          <w:cantSplit/>
        </w:trPr>
        <w:tc>
          <w:tcPr>
            <w:tcW w:type="dxa" w:w="2419"/>
            <w:vAlign w:val="center"/>
            <w:tcMar>
              <w:top w:w="75" w:type="dxa"/>
              <w:bottom w:w="75" w:type="dxa"/>
              <w:left w:w="85" w:type="dxa"/>
              <w:right w:w="85" w:type="dxa"/>
            </w:tcMar>
          </w:tcPr>
          <w:p>
            <w:pPr>
              <w:spacing w:after="0" w:line="250" w:lineRule="auto"/>
            </w:pPr>
            <w:r>
              <w:rPr>
                <w:sz w:val="18"/>
              </w:rPr>
              <w:t>Network</w:t>
            </w:r>
          </w:p>
        </w:tc>
        <w:tc>
          <w:tcPr>
            <w:tcW w:type="dxa" w:w="3773"/>
            <w:vAlign w:val="center"/>
            <w:tcMar>
              <w:top w:w="75" w:type="dxa"/>
              <w:bottom w:w="75" w:type="dxa"/>
              <w:left w:w="85" w:type="dxa"/>
              <w:right w:w="85" w:type="dxa"/>
            </w:tcMar>
          </w:tcPr>
          <w:p>
            <w:pPr>
              <w:spacing w:after="0" w:line="250" w:lineRule="auto"/>
            </w:pPr>
            <w:r>
              <w:rPr>
                <w:sz w:val="18"/>
              </w:rPr>
              <w:t>Experts, gyms, professional institutions, employers and approved wearable routes.</w:t>
            </w:r>
          </w:p>
        </w:tc>
        <w:tc>
          <w:tcPr>
            <w:tcW w:type="dxa" w:w="3755"/>
            <w:vAlign w:val="center"/>
            <w:tcMar>
              <w:top w:w="75" w:type="dxa"/>
              <w:bottom w:w="75" w:type="dxa"/>
              <w:left w:w="85" w:type="dxa"/>
              <w:right w:w="85" w:type="dxa"/>
            </w:tcMar>
          </w:tcPr>
          <w:p>
            <w:pPr>
              <w:spacing w:after="0" w:line="250" w:lineRule="auto"/>
            </w:pPr>
            <w:r>
              <w:rPr>
                <w:sz w:val="18"/>
              </w:rPr>
              <w:t>Productive relationships, not logos.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Structure</w:t>
            </w:r>
          </w:p>
        </w:tc>
        <w:tc>
          <w:tcPr>
            <w:tcW w:type="dxa" w:w="3773"/>
            <w:vAlign w:val="center"/>
            <w:tcMar>
              <w:top w:w="75" w:type="dxa"/>
              <w:bottom w:w="75" w:type="dxa"/>
              <w:left w:w="85" w:type="dxa"/>
              <w:right w:w="85" w:type="dxa"/>
            </w:tcMar>
            <w:shd w:fill="F8F1E9"/>
          </w:tcPr>
          <w:p>
            <w:pPr>
              <w:spacing w:after="0" w:line="250" w:lineRule="auto"/>
            </w:pPr>
            <w:r>
              <w:rPr>
                <w:sz w:val="18"/>
              </w:rPr>
              <w:t>Accountable founders, functional owners and independent safety/privacy review.</w:t>
            </w:r>
          </w:p>
        </w:tc>
        <w:tc>
          <w:tcPr>
            <w:tcW w:type="dxa" w:w="3755"/>
            <w:vAlign w:val="center"/>
            <w:tcMar>
              <w:top w:w="75" w:type="dxa"/>
              <w:bottom w:w="75" w:type="dxa"/>
              <w:left w:w="85" w:type="dxa"/>
              <w:right w:w="85" w:type="dxa"/>
            </w:tcMar>
            <w:shd w:fill="F8F1E9"/>
          </w:tcPr>
          <w:p>
            <w:pPr>
              <w:spacing w:after="0" w:line="250" w:lineRule="auto"/>
            </w:pPr>
            <w:r>
              <w:rPr>
                <w:sz w:val="18"/>
              </w:rPr>
              <w:t>Named responsibility and documented decisions.</w:t>
            </w:r>
          </w:p>
        </w:tc>
      </w:tr>
      <w:tr>
        <w:trPr>
          <w:cantSplit/>
        </w:trPr>
        <w:tc>
          <w:tcPr>
            <w:tcW w:type="dxa" w:w="2419"/>
            <w:vAlign w:val="center"/>
            <w:tcMar>
              <w:top w:w="75" w:type="dxa"/>
              <w:bottom w:w="75" w:type="dxa"/>
              <w:left w:w="85" w:type="dxa"/>
              <w:right w:w="85" w:type="dxa"/>
            </w:tcMar>
          </w:tcPr>
          <w:p>
            <w:pPr>
              <w:spacing w:after="0" w:line="250" w:lineRule="auto"/>
            </w:pPr>
            <w:r>
              <w:rPr>
                <w:sz w:val="18"/>
              </w:rPr>
              <w:t>Process</w:t>
            </w:r>
          </w:p>
        </w:tc>
        <w:tc>
          <w:tcPr>
            <w:tcW w:type="dxa" w:w="3773"/>
            <w:vAlign w:val="center"/>
            <w:tcMar>
              <w:top w:w="75" w:type="dxa"/>
              <w:bottom w:w="75" w:type="dxa"/>
              <w:left w:w="85" w:type="dxa"/>
              <w:right w:w="85" w:type="dxa"/>
            </w:tcMar>
          </w:tcPr>
          <w:p>
            <w:pPr>
              <w:spacing w:after="0" w:line="250" w:lineRule="auto"/>
            </w:pPr>
            <w:r>
              <w:rPr>
                <w:sz w:val="18"/>
              </w:rPr>
              <w:t>Recommendation, action, adherence and response captured with uncertainty.</w:t>
            </w:r>
          </w:p>
        </w:tc>
        <w:tc>
          <w:tcPr>
            <w:tcW w:type="dxa" w:w="3755"/>
            <w:vAlign w:val="center"/>
            <w:tcMar>
              <w:top w:w="75" w:type="dxa"/>
              <w:bottom w:w="75" w:type="dxa"/>
              <w:left w:w="85" w:type="dxa"/>
              <w:right w:w="85" w:type="dxa"/>
            </w:tcMar>
          </w:tcPr>
          <w:p>
            <w:pPr>
              <w:spacing w:after="0" w:line="250" w:lineRule="auto"/>
            </w:pPr>
            <w:r>
              <w:rPr>
                <w:sz w:val="18"/>
              </w:rPr>
              <w:t>Calibration and appropriate evaluation.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Product performance</w:t>
            </w:r>
          </w:p>
        </w:tc>
        <w:tc>
          <w:tcPr>
            <w:tcW w:type="dxa" w:w="3773"/>
            <w:vAlign w:val="center"/>
            <w:tcMar>
              <w:top w:w="75" w:type="dxa"/>
              <w:bottom w:w="75" w:type="dxa"/>
              <w:left w:w="85" w:type="dxa"/>
              <w:right w:w="85" w:type="dxa"/>
            </w:tcMar>
            <w:shd w:fill="F8F1E9"/>
          </w:tcPr>
          <w:p>
            <w:pPr>
              <w:spacing w:after="0" w:line="250" w:lineRule="auto"/>
            </w:pPr>
            <w:r>
              <w:rPr>
                <w:sz w:val="18"/>
              </w:rPr>
              <w:t>Practical food, exercise and recovery guidance.</w:t>
            </w:r>
          </w:p>
        </w:tc>
        <w:tc>
          <w:tcPr>
            <w:tcW w:type="dxa" w:w="3755"/>
            <w:vAlign w:val="center"/>
            <w:tcMar>
              <w:top w:w="75" w:type="dxa"/>
              <w:bottom w:w="75" w:type="dxa"/>
              <w:left w:w="85" w:type="dxa"/>
              <w:right w:w="85" w:type="dxa"/>
            </w:tcMar>
            <w:shd w:fill="F8F1E9"/>
          </w:tcPr>
          <w:p>
            <w:pPr>
              <w:spacing w:after="0" w:line="250" w:lineRule="auto"/>
            </w:pPr>
            <w:r>
              <w:rPr>
                <w:sz w:val="18"/>
              </w:rPr>
              <w:t>Usefulness, completion and safe operation.</w:t>
            </w:r>
          </w:p>
        </w:tc>
      </w:tr>
      <w:tr>
        <w:trPr>
          <w:cantSplit/>
        </w:trPr>
        <w:tc>
          <w:tcPr>
            <w:tcW w:type="dxa" w:w="2419"/>
            <w:vAlign w:val="center"/>
            <w:tcMar>
              <w:top w:w="75" w:type="dxa"/>
              <w:bottom w:w="75" w:type="dxa"/>
              <w:left w:w="85" w:type="dxa"/>
              <w:right w:w="85" w:type="dxa"/>
            </w:tcMar>
          </w:tcPr>
          <w:p>
            <w:pPr>
              <w:spacing w:after="0" w:line="250" w:lineRule="auto"/>
            </w:pPr>
            <w:r>
              <w:rPr>
                <w:sz w:val="18"/>
              </w:rPr>
              <w:t>Product system</w:t>
            </w:r>
          </w:p>
        </w:tc>
        <w:tc>
          <w:tcPr>
            <w:tcW w:type="dxa" w:w="3773"/>
            <w:vAlign w:val="center"/>
            <w:tcMar>
              <w:top w:w="75" w:type="dxa"/>
              <w:bottom w:w="75" w:type="dxa"/>
              <w:left w:w="85" w:type="dxa"/>
              <w:right w:w="85" w:type="dxa"/>
            </w:tcMar>
          </w:tcPr>
          <w:p>
            <w:pPr>
              <w:spacing w:after="0" w:line="250" w:lineRule="auto"/>
            </w:pPr>
            <w:r>
              <w:rPr>
                <w:sz w:val="18"/>
              </w:rPr>
              <w:t>Shared app, content, logs, optional connections and support.</w:t>
            </w:r>
          </w:p>
        </w:tc>
        <w:tc>
          <w:tcPr>
            <w:tcW w:type="dxa" w:w="3755"/>
            <w:vAlign w:val="center"/>
            <w:tcMar>
              <w:top w:w="75" w:type="dxa"/>
              <w:bottom w:w="75" w:type="dxa"/>
              <w:left w:w="85" w:type="dxa"/>
              <w:right w:w="85" w:type="dxa"/>
            </w:tcMar>
          </w:tcPr>
          <w:p>
            <w:pPr>
              <w:spacing w:after="0" w:line="250" w:lineRule="auto"/>
            </w:pPr>
            <w:r>
              <w:rPr>
                <w:sz w:val="18"/>
              </w:rPr>
              <w:t>End-to-end journeys without mandatory hardware.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Service</w:t>
            </w:r>
          </w:p>
        </w:tc>
        <w:tc>
          <w:tcPr>
            <w:tcW w:type="dxa" w:w="3773"/>
            <w:vAlign w:val="center"/>
            <w:tcMar>
              <w:top w:w="75" w:type="dxa"/>
              <w:bottom w:w="75" w:type="dxa"/>
              <w:left w:w="85" w:type="dxa"/>
              <w:right w:w="85" w:type="dxa"/>
            </w:tcMar>
            <w:shd w:fill="F8F1E9"/>
          </w:tcPr>
          <w:p>
            <w:pPr>
              <w:spacing w:after="0" w:line="250" w:lineRule="auto"/>
            </w:pPr>
            <w:r>
              <w:rPr>
                <w:sz w:val="18"/>
              </w:rPr>
              <w:t>Onboarding, explanations, support and appropriate escalation.</w:t>
            </w:r>
          </w:p>
        </w:tc>
        <w:tc>
          <w:tcPr>
            <w:tcW w:type="dxa" w:w="3755"/>
            <w:vAlign w:val="center"/>
            <w:tcMar>
              <w:top w:w="75" w:type="dxa"/>
              <w:bottom w:w="75" w:type="dxa"/>
              <w:left w:w="85" w:type="dxa"/>
              <w:right w:w="85" w:type="dxa"/>
            </w:tcMar>
            <w:shd w:fill="F8F1E9"/>
          </w:tcPr>
          <w:p>
            <w:pPr>
              <w:spacing w:after="0" w:line="250" w:lineRule="auto"/>
            </w:pPr>
            <w:r>
              <w:rPr>
                <w:sz w:val="18"/>
              </w:rPr>
              <w:t>Resolution time and cost to serve.</w:t>
            </w:r>
          </w:p>
        </w:tc>
      </w:tr>
      <w:tr>
        <w:trPr>
          <w:cantSplit/>
        </w:trPr>
        <w:tc>
          <w:tcPr>
            <w:tcW w:type="dxa" w:w="2419"/>
            <w:vAlign w:val="center"/>
            <w:tcMar>
              <w:top w:w="75" w:type="dxa"/>
              <w:bottom w:w="75" w:type="dxa"/>
              <w:left w:w="85" w:type="dxa"/>
              <w:right w:w="85" w:type="dxa"/>
            </w:tcMar>
          </w:tcPr>
          <w:p>
            <w:pPr>
              <w:spacing w:after="0" w:line="250" w:lineRule="auto"/>
            </w:pPr>
            <w:r>
              <w:rPr>
                <w:sz w:val="18"/>
              </w:rPr>
              <w:t>Channel</w:t>
            </w:r>
          </w:p>
        </w:tc>
        <w:tc>
          <w:tcPr>
            <w:tcW w:type="dxa" w:w="3773"/>
            <w:vAlign w:val="center"/>
            <w:tcMar>
              <w:top w:w="75" w:type="dxa"/>
              <w:bottom w:w="75" w:type="dxa"/>
              <w:left w:w="85" w:type="dxa"/>
              <w:right w:w="85" w:type="dxa"/>
            </w:tcMar>
          </w:tcPr>
          <w:p>
            <w:pPr>
              <w:spacing w:after="0" w:line="250" w:lineRule="auto"/>
            </w:pPr>
            <w:r>
              <w:rPr>
                <w:sz w:val="18"/>
              </w:rPr>
              <w:t>Direct, professional, organisation and community routes.</w:t>
            </w:r>
          </w:p>
        </w:tc>
        <w:tc>
          <w:tcPr>
            <w:tcW w:type="dxa" w:w="3755"/>
            <w:vAlign w:val="center"/>
            <w:tcMar>
              <w:top w:w="75" w:type="dxa"/>
              <w:bottom w:w="75" w:type="dxa"/>
              <w:left w:w="85" w:type="dxa"/>
              <w:right w:w="85" w:type="dxa"/>
            </w:tcMar>
          </w:tcPr>
          <w:p>
            <w:pPr>
              <w:spacing w:after="0" w:line="250" w:lineRule="auto"/>
            </w:pPr>
            <w:r>
              <w:rPr>
                <w:sz w:val="18"/>
              </w:rPr>
              <w:t>Incremental paying users and contract value.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Brand</w:t>
            </w:r>
          </w:p>
        </w:tc>
        <w:tc>
          <w:tcPr>
            <w:tcW w:type="dxa" w:w="3773"/>
            <w:vAlign w:val="center"/>
            <w:tcMar>
              <w:top w:w="75" w:type="dxa"/>
              <w:bottom w:w="75" w:type="dxa"/>
              <w:left w:w="85" w:type="dxa"/>
              <w:right w:w="85" w:type="dxa"/>
            </w:tcMar>
            <w:shd w:fill="F8F1E9"/>
          </w:tcPr>
          <w:p>
            <w:pPr>
              <w:spacing w:after="0" w:line="250" w:lineRule="auto"/>
            </w:pPr>
            <w:r>
              <w:rPr>
                <w:sz w:val="18"/>
              </w:rPr>
              <w:t>Useful, accessible and transparent wellbeing.</w:t>
            </w:r>
          </w:p>
        </w:tc>
        <w:tc>
          <w:tcPr>
            <w:tcW w:type="dxa" w:w="3755"/>
            <w:vAlign w:val="center"/>
            <w:tcMar>
              <w:top w:w="75" w:type="dxa"/>
              <w:bottom w:w="75" w:type="dxa"/>
              <w:left w:w="85" w:type="dxa"/>
              <w:right w:w="85" w:type="dxa"/>
            </w:tcMar>
            <w:shd w:fill="F8F1E9"/>
          </w:tcPr>
          <w:p>
            <w:pPr>
              <w:spacing w:after="0" w:line="250" w:lineRule="auto"/>
            </w:pPr>
            <w:r>
              <w:rPr>
                <w:sz w:val="18"/>
              </w:rPr>
              <w:t>Trust and clear understanding of limitations.</w:t>
            </w:r>
          </w:p>
        </w:tc>
      </w:tr>
      <w:tr>
        <w:trPr>
          <w:cantSplit/>
        </w:trPr>
        <w:tc>
          <w:tcPr>
            <w:tcW w:type="dxa" w:w="2419"/>
            <w:vAlign w:val="center"/>
            <w:tcMar>
              <w:top w:w="75" w:type="dxa"/>
              <w:bottom w:w="75" w:type="dxa"/>
              <w:left w:w="85" w:type="dxa"/>
              <w:right w:w="85" w:type="dxa"/>
            </w:tcMar>
          </w:tcPr>
          <w:p>
            <w:pPr>
              <w:spacing w:after="0" w:line="250" w:lineRule="auto"/>
            </w:pPr>
            <w:r>
              <w:rPr>
                <w:sz w:val="18"/>
              </w:rPr>
              <w:t>Customer engagement</w:t>
            </w:r>
          </w:p>
        </w:tc>
        <w:tc>
          <w:tcPr>
            <w:tcW w:type="dxa" w:w="3773"/>
            <w:vAlign w:val="center"/>
            <w:tcMar>
              <w:top w:w="75" w:type="dxa"/>
              <w:bottom w:w="75" w:type="dxa"/>
              <w:left w:w="85" w:type="dxa"/>
              <w:right w:w="85" w:type="dxa"/>
            </w:tcMar>
          </w:tcPr>
          <w:p>
            <w:pPr>
              <w:spacing w:after="0" w:line="250" w:lineRule="auto"/>
            </w:pPr>
            <w:r>
              <w:rPr>
                <w:sz w:val="18"/>
              </w:rPr>
              <w:t>Voluntary action and reflection rather than punitive tracking.</w:t>
            </w:r>
          </w:p>
        </w:tc>
        <w:tc>
          <w:tcPr>
            <w:tcW w:type="dxa" w:w="3755"/>
            <w:vAlign w:val="center"/>
            <w:tcMar>
              <w:top w:w="75" w:type="dxa"/>
              <w:bottom w:w="75" w:type="dxa"/>
              <w:left w:w="85" w:type="dxa"/>
              <w:right w:w="85" w:type="dxa"/>
            </w:tcMar>
          </w:tcPr>
          <w:p>
            <w:pPr>
              <w:spacing w:after="0" w:line="250" w:lineRule="auto"/>
            </w:pPr>
            <w:r>
              <w:rPr>
                <w:sz w:val="18"/>
              </w:rPr>
              <w:t>Repeat use and retained payment.</w:t>
            </w:r>
          </w:p>
        </w:tc>
      </w:tr>
    </w:tbl>
    <w:p>
      <w:pPr>
        <w:spacing w:after="20" w:before="0" w:line="72" w:lineRule="auto"/>
      </w:pPr>
      <w:r>
        <w:rPr>
          <w:sz w:val="4"/>
        </w:rPr>
      </w:r>
    </w:p>
    <w:p>
      <w:r>
        <w:rPr/>
        <w:t>The report adopts the segment-of-one ambition while replacing blanket competitor claims with a testable NutriSync proposition. It does not claim that observed correlations prove the causal effectiveness of personal recommendations.</w:t>
      </w:r>
    </w:p>
    <w:p>
      <w:bookmarkStart w:id="23" w:name="section_23"/>
      <w:pPr>
        <w:pStyle w:val="Heading1"/>
      </w:pPr>
      <w:r>
        <w:rPr/>
        <w:t>Annex C. Company write-up: commercial applications</w:t>
      </w:r>
      <w:bookmarkEnd w:id="23"/>
    </w:p>
    <w:p>
      <w:r>
        <w:rPr/>
        <w:t xml:space="preserve">All names below are </w:t>
      </w:r>
      <w:r>
        <w:rPr>
          <w:b/>
        </w:rPr>
        <w:t>prospects carried forward from the commercial radar</w:t>
      </w:r>
      <w:r>
        <w:rPr/>
        <w:t>, not confirmed partners, approved campaigns or commitments. Brand ownership, local availability, product suitability and relevant decision-makers must be checked immediately before outreach. This annex summarises proposed NutriSync offers; the complete original company write-up is supplied as S05.</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Prospect</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Proposed conversation</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Safeguard / first proof</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Essity</w:t>
            </w:r>
          </w:p>
        </w:tc>
        <w:tc>
          <w:tcPr>
            <w:tcW w:type="dxa" w:w="3773"/>
            <w:vAlign w:val="center"/>
            <w:tcMar>
              <w:top w:w="75" w:type="dxa"/>
              <w:bottom w:w="75" w:type="dxa"/>
              <w:left w:w="85" w:type="dxa"/>
              <w:right w:w="85" w:type="dxa"/>
            </w:tcMar>
            <w:shd w:fill="F8F1E9"/>
          </w:tcPr>
          <w:p>
            <w:pPr>
              <w:spacing w:after="0" w:line="250" w:lineRule="auto"/>
            </w:pPr>
            <w:r>
              <w:rPr>
                <w:sz w:val="18"/>
              </w:rPr>
              <w:t>Menstrual-wellbeing education and contextually sponsored programmes.</w:t>
            </w:r>
          </w:p>
        </w:tc>
        <w:tc>
          <w:tcPr>
            <w:tcW w:type="dxa" w:w="3755"/>
            <w:vAlign w:val="center"/>
            <w:tcMar>
              <w:top w:w="75" w:type="dxa"/>
              <w:bottom w:w="75" w:type="dxa"/>
              <w:left w:w="85" w:type="dxa"/>
              <w:right w:w="85" w:type="dxa"/>
            </w:tcMar>
            <w:shd w:fill="F8F1E9"/>
          </w:tcPr>
          <w:p>
            <w:pPr>
              <w:spacing w:after="0" w:line="250" w:lineRule="auto"/>
            </w:pPr>
            <w:r>
              <w:rPr>
                <w:sz w:val="18"/>
              </w:rPr>
              <w:t>No symptom or cycle-phase targeting; test user acceptance.</w:t>
            </w:r>
          </w:p>
        </w:tc>
      </w:tr>
      <w:tr>
        <w:trPr>
          <w:cantSplit/>
        </w:trPr>
        <w:tc>
          <w:tcPr>
            <w:tcW w:type="dxa" w:w="2419"/>
            <w:vAlign w:val="center"/>
            <w:tcMar>
              <w:top w:w="75" w:type="dxa"/>
              <w:bottom w:w="75" w:type="dxa"/>
              <w:left w:w="85" w:type="dxa"/>
              <w:right w:w="85" w:type="dxa"/>
            </w:tcMar>
          </w:tcPr>
          <w:p>
            <w:pPr>
              <w:spacing w:after="0" w:line="250" w:lineRule="auto"/>
            </w:pPr>
            <w:r>
              <w:rPr>
                <w:sz w:val="18"/>
              </w:rPr>
              <w:t>Procter &amp; Gamble</w:t>
            </w:r>
          </w:p>
        </w:tc>
        <w:tc>
          <w:tcPr>
            <w:tcW w:type="dxa" w:w="3773"/>
            <w:vAlign w:val="center"/>
            <w:tcMar>
              <w:top w:w="75" w:type="dxa"/>
              <w:bottom w:w="75" w:type="dxa"/>
              <w:left w:w="85" w:type="dxa"/>
              <w:right w:w="85" w:type="dxa"/>
            </w:tcMar>
          </w:tcPr>
          <w:p>
            <w:pPr>
              <w:spacing w:after="0" w:line="250" w:lineRule="auto"/>
            </w:pPr>
            <w:r>
              <w:rPr>
                <w:sz w:val="18"/>
              </w:rPr>
              <w:t>Everyday-care education and distribution through appropriate brands.</w:t>
            </w:r>
          </w:p>
        </w:tc>
        <w:tc>
          <w:tcPr>
            <w:tcW w:type="dxa" w:w="3755"/>
            <w:vAlign w:val="center"/>
            <w:tcMar>
              <w:top w:w="75" w:type="dxa"/>
              <w:bottom w:w="75" w:type="dxa"/>
              <w:left w:w="85" w:type="dxa"/>
              <w:right w:w="85" w:type="dxa"/>
            </w:tcMar>
          </w:tcPr>
          <w:p>
            <w:pPr>
              <w:spacing w:after="0" w:line="250" w:lineRule="auto"/>
            </w:pPr>
            <w:r>
              <w:rPr>
                <w:sz w:val="18"/>
              </w:rPr>
              <w:t>Verify the local brand/team and keep sponsor content separate.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Danone</w:t>
            </w:r>
          </w:p>
        </w:tc>
        <w:tc>
          <w:tcPr>
            <w:tcW w:type="dxa" w:w="3773"/>
            <w:vAlign w:val="center"/>
            <w:tcMar>
              <w:top w:w="75" w:type="dxa"/>
              <w:bottom w:w="75" w:type="dxa"/>
              <w:left w:w="85" w:type="dxa"/>
              <w:right w:w="85" w:type="dxa"/>
            </w:tcMar>
            <w:shd w:fill="F8F1E9"/>
          </w:tcPr>
          <w:p>
            <w:pPr>
              <w:spacing w:after="0" w:line="250" w:lineRule="auto"/>
            </w:pPr>
            <w:r>
              <w:rPr>
                <w:sz w:val="18"/>
              </w:rPr>
              <w:t>Practical food education, recipe workshops and voluntary product discovery.</w:t>
            </w:r>
          </w:p>
        </w:tc>
        <w:tc>
          <w:tcPr>
            <w:tcW w:type="dxa" w:w="3755"/>
            <w:vAlign w:val="center"/>
            <w:tcMar>
              <w:top w:w="75" w:type="dxa"/>
              <w:bottom w:w="75" w:type="dxa"/>
              <w:left w:w="85" w:type="dxa"/>
              <w:right w:w="85" w:type="dxa"/>
            </w:tcMar>
            <w:shd w:fill="F8F1E9"/>
          </w:tcPr>
          <w:p>
            <w:pPr>
              <w:spacing w:after="0" w:line="250" w:lineRule="auto"/>
            </w:pPr>
            <w:r>
              <w:rPr>
                <w:sz w:val="18"/>
              </w:rPr>
              <w:t>Independent nutrition review; no paid recommendation ranking.</w:t>
            </w:r>
          </w:p>
        </w:tc>
      </w:tr>
      <w:tr>
        <w:trPr>
          <w:cantSplit/>
        </w:trPr>
        <w:tc>
          <w:tcPr>
            <w:tcW w:type="dxa" w:w="2419"/>
            <w:vAlign w:val="center"/>
            <w:tcMar>
              <w:top w:w="75" w:type="dxa"/>
              <w:bottom w:w="75" w:type="dxa"/>
              <w:left w:w="85" w:type="dxa"/>
              <w:right w:w="85" w:type="dxa"/>
            </w:tcMar>
          </w:tcPr>
          <w:p>
            <w:pPr>
              <w:spacing w:after="0" w:line="250" w:lineRule="auto"/>
            </w:pPr>
            <w:r>
              <w:rPr>
                <w:sz w:val="18"/>
              </w:rPr>
              <w:t>Myprotein</w:t>
            </w:r>
          </w:p>
        </w:tc>
        <w:tc>
          <w:tcPr>
            <w:tcW w:type="dxa" w:w="3773"/>
            <w:vAlign w:val="center"/>
            <w:tcMar>
              <w:top w:w="75" w:type="dxa"/>
              <w:bottom w:w="75" w:type="dxa"/>
              <w:left w:w="85" w:type="dxa"/>
              <w:right w:w="85" w:type="dxa"/>
            </w:tcMar>
          </w:tcPr>
          <w:p>
            <w:pPr>
              <w:spacing w:after="0" w:line="250" w:lineRule="auto"/>
            </w:pPr>
            <w:r>
              <w:rPr>
                <w:sz w:val="18"/>
              </w:rPr>
              <w:t>Appropriately reviewed sports-nutrition education and voluntary offers.</w:t>
            </w:r>
          </w:p>
        </w:tc>
        <w:tc>
          <w:tcPr>
            <w:tcW w:type="dxa" w:w="3755"/>
            <w:vAlign w:val="center"/>
            <w:tcMar>
              <w:top w:w="75" w:type="dxa"/>
              <w:bottom w:w="75" w:type="dxa"/>
              <w:left w:w="85" w:type="dxa"/>
              <w:right w:w="85" w:type="dxa"/>
            </w:tcMar>
          </w:tcPr>
          <w:p>
            <w:pPr>
              <w:spacing w:after="0" w:line="250" w:lineRule="auto"/>
            </w:pPr>
            <w:r>
              <w:rPr>
                <w:sz w:val="18"/>
              </w:rPr>
              <w:t>Product/claims review; no pregnancy or hormone-balancing campaign by default.</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HelloFresh</w:t>
            </w:r>
          </w:p>
        </w:tc>
        <w:tc>
          <w:tcPr>
            <w:tcW w:type="dxa" w:w="3773"/>
            <w:vAlign w:val="center"/>
            <w:tcMar>
              <w:top w:w="75" w:type="dxa"/>
              <w:bottom w:w="75" w:type="dxa"/>
              <w:left w:w="85" w:type="dxa"/>
              <w:right w:w="85" w:type="dxa"/>
            </w:tcMar>
            <w:shd w:fill="F8F1E9"/>
          </w:tcPr>
          <w:p>
            <w:pPr>
              <w:spacing w:after="0" w:line="250" w:lineRule="auto"/>
            </w:pPr>
            <w:r>
              <w:rPr>
                <w:sz w:val="18"/>
              </w:rPr>
              <w:t>Future-market cooking and meal-planning collaboration.</w:t>
            </w:r>
          </w:p>
        </w:tc>
        <w:tc>
          <w:tcPr>
            <w:tcW w:type="dxa" w:w="3755"/>
            <w:vAlign w:val="center"/>
            <w:tcMar>
              <w:top w:w="75" w:type="dxa"/>
              <w:bottom w:w="75" w:type="dxa"/>
              <w:left w:w="85" w:type="dxa"/>
              <w:right w:w="85" w:type="dxa"/>
            </w:tcMar>
            <w:shd w:fill="F8F1E9"/>
          </w:tcPr>
          <w:p>
            <w:pPr>
              <w:spacing w:after="0" w:line="250" w:lineRule="auto"/>
            </w:pPr>
            <w:r>
              <w:rPr>
                <w:sz w:val="18"/>
              </w:rPr>
              <w:t>Conditional on current market service and campaign fulfilment.</w:t>
            </w:r>
          </w:p>
        </w:tc>
      </w:tr>
      <w:tr>
        <w:trPr>
          <w:cantSplit/>
        </w:trPr>
        <w:tc>
          <w:tcPr>
            <w:tcW w:type="dxa" w:w="2419"/>
            <w:vAlign w:val="center"/>
            <w:tcMar>
              <w:top w:w="75" w:type="dxa"/>
              <w:bottom w:w="75" w:type="dxa"/>
              <w:left w:w="85" w:type="dxa"/>
              <w:right w:w="85" w:type="dxa"/>
            </w:tcMar>
          </w:tcPr>
          <w:p>
            <w:pPr>
              <w:spacing w:after="0" w:line="250" w:lineRule="auto"/>
            </w:pPr>
            <w:r>
              <w:rPr>
                <w:sz w:val="18"/>
              </w:rPr>
              <w:t>Oura</w:t>
            </w:r>
          </w:p>
        </w:tc>
        <w:tc>
          <w:tcPr>
            <w:tcW w:type="dxa" w:w="3773"/>
            <w:vAlign w:val="center"/>
            <w:tcMar>
              <w:top w:w="75" w:type="dxa"/>
              <w:bottom w:w="75" w:type="dxa"/>
              <w:left w:w="85" w:type="dxa"/>
              <w:right w:w="85" w:type="dxa"/>
            </w:tcMar>
          </w:tcPr>
          <w:p>
            <w:pPr>
              <w:spacing w:after="0" w:line="250" w:lineRule="auto"/>
            </w:pPr>
            <w:r>
              <w:rPr>
                <w:sz w:val="18"/>
              </w:rPr>
              <w:t>Authorised signal integration and possible ecosystem cooperation.</w:t>
            </w:r>
          </w:p>
        </w:tc>
        <w:tc>
          <w:tcPr>
            <w:tcW w:type="dxa" w:w="3755"/>
            <w:vAlign w:val="center"/>
            <w:tcMar>
              <w:top w:w="75" w:type="dxa"/>
              <w:bottom w:w="75" w:type="dxa"/>
              <w:left w:w="85" w:type="dxa"/>
              <w:right w:w="85" w:type="dxa"/>
            </w:tcMar>
          </w:tcPr>
          <w:p>
            <w:pPr>
              <w:spacing w:after="0" w:line="250" w:lineRule="auto"/>
            </w:pPr>
            <w:r>
              <w:rPr>
                <w:sz w:val="18"/>
              </w:rPr>
              <w:t>API/AI terms, attribution and permissions; no assumed co-marketing.</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Garmin</w:t>
            </w:r>
          </w:p>
        </w:tc>
        <w:tc>
          <w:tcPr>
            <w:tcW w:type="dxa" w:w="3773"/>
            <w:vAlign w:val="center"/>
            <w:tcMar>
              <w:top w:w="75" w:type="dxa"/>
              <w:bottom w:w="75" w:type="dxa"/>
              <w:left w:w="85" w:type="dxa"/>
              <w:right w:w="85" w:type="dxa"/>
            </w:tcMar>
            <w:shd w:fill="F8F1E9"/>
          </w:tcPr>
          <w:p>
            <w:pPr>
              <w:spacing w:after="0" w:line="250" w:lineRule="auto"/>
            </w:pPr>
            <w:r>
              <w:rPr>
                <w:sz w:val="18"/>
              </w:rPr>
              <w:t>Activity/recovery context and movement-community programmes.</w:t>
            </w:r>
          </w:p>
        </w:tc>
        <w:tc>
          <w:tcPr>
            <w:tcW w:type="dxa" w:w="3755"/>
            <w:vAlign w:val="center"/>
            <w:tcMar>
              <w:top w:w="75" w:type="dxa"/>
              <w:bottom w:w="75" w:type="dxa"/>
              <w:left w:w="85" w:type="dxa"/>
              <w:right w:w="85" w:type="dxa"/>
            </w:tcMar>
            <w:shd w:fill="F8F1E9"/>
          </w:tcPr>
          <w:p>
            <w:pPr>
              <w:spacing w:after="0" w:line="250" w:lineRule="auto"/>
            </w:pPr>
            <w:r>
              <w:rPr>
                <w:sz w:val="18"/>
              </w:rPr>
              <w:t>Programme approval and commercial terms; no assumed free access.</w:t>
            </w:r>
          </w:p>
        </w:tc>
      </w:tr>
      <w:tr>
        <w:trPr>
          <w:cantSplit/>
        </w:trPr>
        <w:tc>
          <w:tcPr>
            <w:tcW w:type="dxa" w:w="2419"/>
            <w:vAlign w:val="center"/>
            <w:tcMar>
              <w:top w:w="75" w:type="dxa"/>
              <w:bottom w:w="75" w:type="dxa"/>
              <w:left w:w="85" w:type="dxa"/>
              <w:right w:w="85" w:type="dxa"/>
            </w:tcMar>
          </w:tcPr>
          <w:p>
            <w:pPr>
              <w:spacing w:after="0" w:line="250" w:lineRule="auto"/>
            </w:pPr>
            <w:r>
              <w:rPr>
                <w:sz w:val="18"/>
              </w:rPr>
              <w:t>WHOOP</w:t>
            </w:r>
          </w:p>
        </w:tc>
        <w:tc>
          <w:tcPr>
            <w:tcW w:type="dxa" w:w="3773"/>
            <w:vAlign w:val="center"/>
            <w:tcMar>
              <w:top w:w="75" w:type="dxa"/>
              <w:bottom w:w="75" w:type="dxa"/>
              <w:left w:w="85" w:type="dxa"/>
              <w:right w:w="85" w:type="dxa"/>
            </w:tcMar>
          </w:tcPr>
          <w:p>
            <w:pPr>
              <w:spacing w:after="0" w:line="250" w:lineRule="auto"/>
            </w:pPr>
            <w:r>
              <w:rPr>
                <w:sz w:val="18"/>
              </w:rPr>
              <w:t>Recovery literacy, activity programmes and potential ecosystem cooperation.</w:t>
            </w:r>
          </w:p>
        </w:tc>
        <w:tc>
          <w:tcPr>
            <w:tcW w:type="dxa" w:w="3755"/>
            <w:vAlign w:val="center"/>
            <w:tcMar>
              <w:top w:w="75" w:type="dxa"/>
              <w:bottom w:w="75" w:type="dxa"/>
              <w:left w:w="85" w:type="dxa"/>
              <w:right w:w="85" w:type="dxa"/>
            </w:tcMar>
          </w:tcPr>
          <w:p>
            <w:pPr>
              <w:spacing w:after="0" w:line="250" w:lineRule="auto"/>
            </w:pPr>
            <w:r>
              <w:rPr>
                <w:sz w:val="18"/>
              </w:rPr>
              <w:t>Distinguish provider estimates from medical measurements.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Bayer</w:t>
            </w:r>
          </w:p>
        </w:tc>
        <w:tc>
          <w:tcPr>
            <w:tcW w:type="dxa" w:w="3773"/>
            <w:vAlign w:val="center"/>
            <w:tcMar>
              <w:top w:w="75" w:type="dxa"/>
              <w:bottom w:w="75" w:type="dxa"/>
              <w:left w:w="85" w:type="dxa"/>
              <w:right w:w="85" w:type="dxa"/>
            </w:tcMar>
            <w:shd w:fill="F8F1E9"/>
          </w:tcPr>
          <w:p>
            <w:pPr>
              <w:spacing w:after="0" w:line="250" w:lineRule="auto"/>
            </w:pPr>
            <w:r>
              <w:rPr>
                <w:sz w:val="18"/>
              </w:rPr>
              <w:t>Reviewed non-promotional education or suitable consumer-health programmes.</w:t>
            </w:r>
          </w:p>
        </w:tc>
        <w:tc>
          <w:tcPr>
            <w:tcW w:type="dxa" w:w="3755"/>
            <w:vAlign w:val="center"/>
            <w:tcMar>
              <w:top w:w="75" w:type="dxa"/>
              <w:bottom w:w="75" w:type="dxa"/>
              <w:left w:w="85" w:type="dxa"/>
              <w:right w:w="85" w:type="dxa"/>
            </w:tcMar>
            <w:shd w:fill="F8F1E9"/>
          </w:tcPr>
          <w:p>
            <w:pPr>
              <w:spacing w:after="0" w:line="250" w:lineRule="auto"/>
            </w:pPr>
            <w:r>
              <w:rPr>
                <w:sz w:val="18"/>
              </w:rPr>
              <w:t>Specific entity/product review; no prescription promotion.</w:t>
            </w:r>
          </w:p>
        </w:tc>
      </w:tr>
      <w:tr>
        <w:trPr>
          <w:cantSplit/>
        </w:trPr>
        <w:tc>
          <w:tcPr>
            <w:tcW w:type="dxa" w:w="2419"/>
            <w:vAlign w:val="center"/>
            <w:tcMar>
              <w:top w:w="75" w:type="dxa"/>
              <w:bottom w:w="75" w:type="dxa"/>
              <w:left w:w="85" w:type="dxa"/>
              <w:right w:w="85" w:type="dxa"/>
            </w:tcMar>
          </w:tcPr>
          <w:p>
            <w:pPr>
              <w:spacing w:after="0" w:line="250" w:lineRule="auto"/>
            </w:pPr>
            <w:r>
              <w:rPr>
                <w:sz w:val="18"/>
              </w:rPr>
              <w:t>Haleon</w:t>
            </w:r>
          </w:p>
        </w:tc>
        <w:tc>
          <w:tcPr>
            <w:tcW w:type="dxa" w:w="3773"/>
            <w:vAlign w:val="center"/>
            <w:tcMar>
              <w:top w:w="75" w:type="dxa"/>
              <w:bottom w:w="75" w:type="dxa"/>
              <w:left w:w="85" w:type="dxa"/>
              <w:right w:w="85" w:type="dxa"/>
            </w:tcMar>
          </w:tcPr>
          <w:p>
            <w:pPr>
              <w:spacing w:after="0" w:line="250" w:lineRule="auto"/>
            </w:pPr>
            <w:r>
              <w:rPr>
                <w:sz w:val="18"/>
              </w:rPr>
              <w:t>General wellbeing education with an appropriate category team.</w:t>
            </w:r>
          </w:p>
        </w:tc>
        <w:tc>
          <w:tcPr>
            <w:tcW w:type="dxa" w:w="3755"/>
            <w:vAlign w:val="center"/>
            <w:tcMar>
              <w:top w:w="75" w:type="dxa"/>
              <w:bottom w:w="75" w:type="dxa"/>
              <w:left w:w="85" w:type="dxa"/>
              <w:right w:w="85" w:type="dxa"/>
            </w:tcMar>
          </w:tcPr>
          <w:p>
            <w:pPr>
              <w:spacing w:after="0" w:line="250" w:lineRule="auto"/>
            </w:pPr>
            <w:r>
              <w:rPr>
                <w:sz w:val="18"/>
              </w:rPr>
              <w:t>Claims, labelling and sensitive-data separation.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lululemon</w:t>
            </w:r>
          </w:p>
        </w:tc>
        <w:tc>
          <w:tcPr>
            <w:tcW w:type="dxa" w:w="3773"/>
            <w:vAlign w:val="center"/>
            <w:tcMar>
              <w:top w:w="75" w:type="dxa"/>
              <w:bottom w:w="75" w:type="dxa"/>
              <w:left w:w="85" w:type="dxa"/>
              <w:right w:w="85" w:type="dxa"/>
            </w:tcMar>
            <w:shd w:fill="F8F1E9"/>
          </w:tcPr>
          <w:p>
            <w:pPr>
              <w:spacing w:after="0" w:line="250" w:lineRule="auto"/>
            </w:pPr>
            <w:r>
              <w:rPr>
                <w:sz w:val="18"/>
              </w:rPr>
              <w:t>Movement sessions, community activity and recovery content.</w:t>
            </w:r>
          </w:p>
        </w:tc>
        <w:tc>
          <w:tcPr>
            <w:tcW w:type="dxa" w:w="3755"/>
            <w:vAlign w:val="center"/>
            <w:tcMar>
              <w:top w:w="75" w:type="dxa"/>
              <w:bottom w:w="75" w:type="dxa"/>
              <w:left w:w="85" w:type="dxa"/>
              <w:right w:w="85" w:type="dxa"/>
            </w:tcMar>
            <w:shd w:fill="F8F1E9"/>
          </w:tcPr>
          <w:p>
            <w:pPr>
              <w:spacing w:after="0" w:line="250" w:lineRule="auto"/>
            </w:pPr>
            <w:r>
              <w:rPr>
                <w:sz w:val="18"/>
              </w:rPr>
              <w:t>Body-neutral messaging; evaluate actual activation.</w:t>
            </w:r>
          </w:p>
        </w:tc>
      </w:tr>
      <w:tr>
        <w:trPr>
          <w:cantSplit/>
        </w:trPr>
        <w:tc>
          <w:tcPr>
            <w:tcW w:type="dxa" w:w="2419"/>
            <w:vAlign w:val="center"/>
            <w:tcMar>
              <w:top w:w="75" w:type="dxa"/>
              <w:bottom w:w="75" w:type="dxa"/>
              <w:left w:w="85" w:type="dxa"/>
              <w:right w:w="85" w:type="dxa"/>
            </w:tcMar>
          </w:tcPr>
          <w:p>
            <w:pPr>
              <w:spacing w:after="0" w:line="250" w:lineRule="auto"/>
            </w:pPr>
            <w:r>
              <w:rPr>
                <w:sz w:val="18"/>
              </w:rPr>
              <w:t>Decathlon</w:t>
            </w:r>
          </w:p>
        </w:tc>
        <w:tc>
          <w:tcPr>
            <w:tcW w:type="dxa" w:w="3773"/>
            <w:vAlign w:val="center"/>
            <w:tcMar>
              <w:top w:w="75" w:type="dxa"/>
              <w:bottom w:w="75" w:type="dxa"/>
              <w:left w:w="85" w:type="dxa"/>
              <w:right w:w="85" w:type="dxa"/>
            </w:tcMar>
          </w:tcPr>
          <w:p>
            <w:pPr>
              <w:spacing w:after="0" w:line="250" w:lineRule="auto"/>
            </w:pPr>
            <w:r>
              <w:rPr>
                <w:sz w:val="18"/>
              </w:rPr>
              <w:t>Accessible movement, store/community activities and beginner programmes.</w:t>
            </w:r>
          </w:p>
        </w:tc>
        <w:tc>
          <w:tcPr>
            <w:tcW w:type="dxa" w:w="3755"/>
            <w:vAlign w:val="center"/>
            <w:tcMar>
              <w:top w:w="75" w:type="dxa"/>
              <w:bottom w:w="75" w:type="dxa"/>
              <w:left w:w="85" w:type="dxa"/>
              <w:right w:w="85" w:type="dxa"/>
            </w:tcMar>
          </w:tcPr>
          <w:p>
            <w:pPr>
              <w:spacing w:after="0" w:line="250" w:lineRule="auto"/>
            </w:pPr>
            <w:r>
              <w:rPr>
                <w:sz w:val="18"/>
              </w:rPr>
              <w:t>Low-risk pilot with clear event-to-app conversion.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Kenvue</w:t>
            </w:r>
          </w:p>
        </w:tc>
        <w:tc>
          <w:tcPr>
            <w:tcW w:type="dxa" w:w="3773"/>
            <w:vAlign w:val="center"/>
            <w:tcMar>
              <w:top w:w="75" w:type="dxa"/>
              <w:bottom w:w="75" w:type="dxa"/>
              <w:left w:w="85" w:type="dxa"/>
              <w:right w:w="85" w:type="dxa"/>
            </w:tcMar>
            <w:shd w:fill="F8F1E9"/>
          </w:tcPr>
          <w:p>
            <w:pPr>
              <w:spacing w:after="0" w:line="250" w:lineRule="auto"/>
            </w:pPr>
            <w:r>
              <w:rPr>
                <w:sz w:val="18"/>
              </w:rPr>
              <w:t>Appropriate everyday-care education and contextual consumer activity.</w:t>
            </w:r>
          </w:p>
        </w:tc>
        <w:tc>
          <w:tcPr>
            <w:tcW w:type="dxa" w:w="3755"/>
            <w:vAlign w:val="center"/>
            <w:tcMar>
              <w:top w:w="75" w:type="dxa"/>
              <w:bottom w:w="75" w:type="dxa"/>
              <w:left w:w="85" w:type="dxa"/>
              <w:right w:w="85" w:type="dxa"/>
            </w:tcMar>
            <w:shd w:fill="F8F1E9"/>
          </w:tcPr>
          <w:p>
            <w:pPr>
              <w:spacing w:after="0" w:line="250" w:lineRule="auto"/>
            </w:pPr>
            <w:r>
              <w:rPr>
                <w:sz w:val="18"/>
              </w:rPr>
              <w:t>Verify current brand/entity; keep it distinct from the J&amp;J proposition.</w:t>
            </w:r>
          </w:p>
        </w:tc>
      </w:tr>
      <w:tr>
        <w:trPr>
          <w:cantSplit/>
        </w:trPr>
        <w:tc>
          <w:tcPr>
            <w:tcW w:type="dxa" w:w="2419"/>
            <w:vAlign w:val="center"/>
            <w:tcMar>
              <w:top w:w="75" w:type="dxa"/>
              <w:bottom w:w="75" w:type="dxa"/>
              <w:left w:w="85" w:type="dxa"/>
              <w:right w:w="85" w:type="dxa"/>
            </w:tcMar>
          </w:tcPr>
          <w:p>
            <w:pPr>
              <w:spacing w:after="0" w:line="250" w:lineRule="auto"/>
            </w:pPr>
            <w:r>
              <w:rPr>
                <w:sz w:val="18"/>
              </w:rPr>
              <w:t>Johnson &amp; Johnson</w:t>
            </w:r>
          </w:p>
        </w:tc>
        <w:tc>
          <w:tcPr>
            <w:tcW w:type="dxa" w:w="3773"/>
            <w:vAlign w:val="center"/>
            <w:tcMar>
              <w:top w:w="75" w:type="dxa"/>
              <w:bottom w:w="75" w:type="dxa"/>
              <w:left w:w="85" w:type="dxa"/>
              <w:right w:w="85" w:type="dxa"/>
            </w:tcMar>
          </w:tcPr>
          <w:p>
            <w:pPr>
              <w:spacing w:after="0" w:line="250" w:lineRule="auto"/>
            </w:pPr>
            <w:r>
              <w:rPr>
                <w:sz w:val="18"/>
              </w:rPr>
              <w:t>Institutional innovation, research or health-equity discussion.</w:t>
            </w:r>
          </w:p>
        </w:tc>
        <w:tc>
          <w:tcPr>
            <w:tcW w:type="dxa" w:w="3755"/>
            <w:vAlign w:val="center"/>
            <w:tcMar>
              <w:top w:w="75" w:type="dxa"/>
              <w:bottom w:w="75" w:type="dxa"/>
              <w:left w:w="85" w:type="dxa"/>
              <w:right w:w="85" w:type="dxa"/>
            </w:tcMar>
          </w:tcPr>
          <w:p>
            <w:pPr>
              <w:spacing w:after="0" w:line="250" w:lineRule="auto"/>
            </w:pPr>
            <w:r>
              <w:rPr>
                <w:sz w:val="18"/>
              </w:rPr>
              <w:t>Research/education governance; no assumption of a consumer-advertising deal.</w:t>
            </w:r>
          </w:p>
        </w:tc>
      </w:tr>
    </w:tbl>
    <w:p>
      <w:pPr>
        <w:spacing w:after="20" w:before="0" w:line="72" w:lineRule="auto"/>
      </w:pPr>
      <w:r>
        <w:rPr>
          <w:sz w:val="4"/>
        </w:rPr>
      </w:r>
    </w:p>
    <w:p>
      <w:r>
        <w:rPr/>
        <w:t>Additional prospect pools should include Spanish and international gym/studio groups, maternity and lifestyle retailers, employers, universities, professional colleges, pharmacy networks and digital agencies. Lucía's Singapore digital-sector contacts should enter the same register with company, relationship, relevance, contact permission, proposed meeting and evidence of interest. A known firm is not automatically a customer or investment source.</w:t>
      </w:r>
    </w:p>
    <w:p>
      <w:bookmarkStart w:id="24" w:name="section_24"/>
      <w:pPr>
        <w:pStyle w:val="Heading1"/>
      </w:pPr>
      <w:r>
        <w:rPr/>
        <w:t>Annex D. Competitor analysis overview</w:t>
      </w:r>
      <w:bookmarkEnd w:id="24"/>
    </w:p>
    <w:p>
      <w:r>
        <w:rPr/>
        <w:t>The August competitor research provides a useful map but includes binary labels and exclusivity language that should not be repeated uncritically. Keep named competitors and date-stamped evidence. Absence of a public description is not evidence that a capability does not exist. Privacy and AI are necessary capabilities, not automatically a moat. [S04, S07]</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Comparison group</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Names retained from the source work</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NutriSync test</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Integrated cycle, movement and nutrition</w:t>
            </w:r>
          </w:p>
        </w:tc>
        <w:tc>
          <w:tcPr>
            <w:tcW w:type="dxa" w:w="3773"/>
            <w:vAlign w:val="center"/>
            <w:tcMar>
              <w:top w:w="75" w:type="dxa"/>
              <w:bottom w:w="75" w:type="dxa"/>
              <w:left w:w="85" w:type="dxa"/>
              <w:right w:w="85" w:type="dxa"/>
            </w:tcMar>
            <w:shd w:fill="F8F1E9"/>
          </w:tcPr>
          <w:p>
            <w:pPr>
              <w:spacing w:after="0" w:line="250" w:lineRule="auto"/>
            </w:pPr>
            <w:r>
              <w:rPr>
                <w:sz w:val="18"/>
              </w:rPr>
              <w:t>Wild.AI, Hormona, 28, Harmony and Flo Living.</w:t>
            </w:r>
          </w:p>
        </w:tc>
        <w:tc>
          <w:tcPr>
            <w:tcW w:type="dxa" w:w="3755"/>
            <w:vAlign w:val="center"/>
            <w:tcMar>
              <w:top w:w="75" w:type="dxa"/>
              <w:bottom w:w="75" w:type="dxa"/>
              <w:left w:w="85" w:type="dxa"/>
              <w:right w:w="85" w:type="dxa"/>
            </w:tcMar>
            <w:shd w:fill="F8F1E9"/>
          </w:tcPr>
          <w:p>
            <w:pPr>
              <w:spacing w:after="0" w:line="250" w:lineRule="auto"/>
            </w:pPr>
            <w:r>
              <w:rPr>
                <w:sz w:val="18"/>
              </w:rPr>
              <w:t>Is the daily food/exercise/recovery experience more useful and easier to sustain for the selected users?</w:t>
            </w:r>
          </w:p>
        </w:tc>
      </w:tr>
      <w:tr>
        <w:trPr>
          <w:cantSplit/>
        </w:trPr>
        <w:tc>
          <w:tcPr>
            <w:tcW w:type="dxa" w:w="2419"/>
            <w:vAlign w:val="center"/>
            <w:tcMar>
              <w:top w:w="75" w:type="dxa"/>
              <w:bottom w:w="75" w:type="dxa"/>
              <w:left w:w="85" w:type="dxa"/>
              <w:right w:w="85" w:type="dxa"/>
            </w:tcMar>
          </w:tcPr>
          <w:p>
            <w:pPr>
              <w:spacing w:after="0" w:line="250" w:lineRule="auto"/>
            </w:pPr>
            <w:r>
              <w:rPr>
                <w:sz w:val="18"/>
              </w:rPr>
              <w:t>Cycle tracking, education and broader women's-health experience</w:t>
            </w:r>
          </w:p>
        </w:tc>
        <w:tc>
          <w:tcPr>
            <w:tcW w:type="dxa" w:w="3773"/>
            <w:vAlign w:val="center"/>
            <w:tcMar>
              <w:top w:w="75" w:type="dxa"/>
              <w:bottom w:w="75" w:type="dxa"/>
              <w:left w:w="85" w:type="dxa"/>
              <w:right w:w="85" w:type="dxa"/>
            </w:tcMar>
          </w:tcPr>
          <w:p>
            <w:pPr>
              <w:spacing w:after="0" w:line="250" w:lineRule="auto"/>
            </w:pPr>
            <w:r>
              <w:rPr>
                <w:sz w:val="18"/>
              </w:rPr>
              <w:t>Flo and Clue.</w:t>
            </w:r>
          </w:p>
        </w:tc>
        <w:tc>
          <w:tcPr>
            <w:tcW w:type="dxa" w:w="3755"/>
            <w:vAlign w:val="center"/>
            <w:tcMar>
              <w:top w:w="75" w:type="dxa"/>
              <w:bottom w:w="75" w:type="dxa"/>
              <w:left w:w="85" w:type="dxa"/>
              <w:right w:w="85" w:type="dxa"/>
            </w:tcMar>
          </w:tcPr>
          <w:p>
            <w:pPr>
              <w:spacing w:after="0" w:line="250" w:lineRule="auto"/>
            </w:pPr>
            <w:r>
              <w:rPr>
                <w:sz w:val="18"/>
              </w:rPr>
              <w:t>Can NutriSync justify another app through practical action and individual feedback rather than tracking alone?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Fertility-focused and regulated uses</w:t>
            </w:r>
          </w:p>
        </w:tc>
        <w:tc>
          <w:tcPr>
            <w:tcW w:type="dxa" w:w="3773"/>
            <w:vAlign w:val="center"/>
            <w:tcMar>
              <w:top w:w="75" w:type="dxa"/>
              <w:bottom w:w="75" w:type="dxa"/>
              <w:left w:w="85" w:type="dxa"/>
              <w:right w:w="85" w:type="dxa"/>
            </w:tcMar>
            <w:shd w:fill="F8F1E9"/>
          </w:tcPr>
          <w:p>
            <w:pPr>
              <w:spacing w:after="0" w:line="250" w:lineRule="auto"/>
            </w:pPr>
            <w:r>
              <w:rPr>
                <w:sz w:val="18"/>
              </w:rPr>
              <w:t>Natural Cycles.</w:t>
            </w:r>
          </w:p>
        </w:tc>
        <w:tc>
          <w:tcPr>
            <w:tcW w:type="dxa" w:w="3755"/>
            <w:vAlign w:val="center"/>
            <w:tcMar>
              <w:top w:w="75" w:type="dxa"/>
              <w:bottom w:w="75" w:type="dxa"/>
              <w:left w:w="85" w:type="dxa"/>
              <w:right w:w="85" w:type="dxa"/>
            </w:tcMar>
            <w:shd w:fill="F8F1E9"/>
          </w:tcPr>
          <w:p>
            <w:pPr>
              <w:spacing w:after="0" w:line="250" w:lineRule="auto"/>
            </w:pPr>
            <w:r>
              <w:rPr>
                <w:sz w:val="18"/>
              </w:rPr>
              <w:t>Avoid suggesting equivalent medical purpose or regulatory status; keep the intended use distinct.</w:t>
            </w:r>
          </w:p>
        </w:tc>
      </w:tr>
      <w:tr>
        <w:trPr>
          <w:cantSplit/>
        </w:trPr>
        <w:tc>
          <w:tcPr>
            <w:tcW w:type="dxa" w:w="2419"/>
            <w:vAlign w:val="center"/>
            <w:tcMar>
              <w:top w:w="75" w:type="dxa"/>
              <w:bottom w:w="75" w:type="dxa"/>
              <w:left w:w="85" w:type="dxa"/>
              <w:right w:w="85" w:type="dxa"/>
            </w:tcMar>
          </w:tcPr>
          <w:p>
            <w:pPr>
              <w:spacing w:after="0" w:line="250" w:lineRule="auto"/>
            </w:pPr>
            <w:r>
              <w:rPr>
                <w:sz w:val="18"/>
              </w:rPr>
              <w:t>Adjacent nutrition, training and wearable experiences</w:t>
            </w:r>
          </w:p>
        </w:tc>
        <w:tc>
          <w:tcPr>
            <w:tcW w:type="dxa" w:w="3773"/>
            <w:vAlign w:val="center"/>
            <w:tcMar>
              <w:top w:w="75" w:type="dxa"/>
              <w:bottom w:w="75" w:type="dxa"/>
              <w:left w:w="85" w:type="dxa"/>
              <w:right w:w="85" w:type="dxa"/>
            </w:tcMar>
          </w:tcPr>
          <w:p>
            <w:pPr>
              <w:spacing w:after="0" w:line="250" w:lineRule="auto"/>
            </w:pPr>
            <w:r>
              <w:rPr>
                <w:sz w:val="18"/>
              </w:rPr>
              <w:t>To be maintained as a separate product-use comparison set.</w:t>
            </w:r>
          </w:p>
        </w:tc>
        <w:tc>
          <w:tcPr>
            <w:tcW w:type="dxa" w:w="3755"/>
            <w:vAlign w:val="center"/>
            <w:tcMar>
              <w:top w:w="75" w:type="dxa"/>
              <w:bottom w:w="75" w:type="dxa"/>
              <w:left w:w="85" w:type="dxa"/>
              <w:right w:w="85" w:type="dxa"/>
            </w:tcMar>
          </w:tcPr>
          <w:p>
            <w:pPr>
              <w:spacing w:after="0" w:line="250" w:lineRule="auto"/>
            </w:pPr>
            <w:r>
              <w:rPr>
                <w:sz w:val="18"/>
              </w:rPr>
              <w:t>Test replacement, complementarity, switching cost and willingness to pay.</w:t>
            </w:r>
          </w:p>
        </w:tc>
      </w:tr>
    </w:tbl>
    <w:p>
      <w:pPr>
        <w:spacing w:after="20" w:before="0" w:line="72" w:lineRule="auto"/>
      </w:pPr>
      <w:r>
        <w:rPr>
          <w:sz w:val="4"/>
        </w:rPr>
      </w:r>
    </w:p>
    <w:p>
      <w:r>
        <w:rPr/>
        <w:t>For each competitive claim, the evidence register should show the public source, observation date, market, product version and whether the claim describes a live feature, a marketing statement or a roadmap. NutriSync's own column must use the same standard. No assertion that rivals need a fixed number of years to copy the product is retained.</w:t>
      </w:r>
    </w:p>
    <w:p>
      <w:bookmarkStart w:id="25" w:name="section_25"/>
      <w:pPr>
        <w:pStyle w:val="Heading1"/>
      </w:pPr>
      <w:r>
        <w:rPr/>
        <w:t>Annex E. Deck and financial reconciliation</w:t>
      </w:r>
      <w:bookmarkEnd w:id="25"/>
    </w:p>
    <w:p>
      <w:r>
        <w:rPr/>
        <w:t xml:space="preserve">The latest retrieved deck is the 7 September upload of </w:t>
      </w:r>
      <w:r>
        <w:rPr>
          <w:b/>
        </w:rPr>
        <w:t>NutriSync PPT Aug 2026.pptx</w:t>
      </w:r>
      <w:r>
        <w:rPr/>
        <w:t>, not the older August PDF. Its funding slide shows €350K while presentation notes retain €250K. Those amounts can now be explained as endpoints of one scoped validation level, but the selected investor-facing ask must still be consistent on the slide, notes and model. [S02]</w:t>
      </w:r>
    </w:p>
    <w:p>
      <w:r>
        <w:rPr/>
        <w:t>The latest deck also mixes a main growth narrative with historical appendix scenarios, and treats several wearable and acquisition assumptions too confidently. Remove or requalify “50% churn reduction,” automatic patient/employee conversion, free API assumptions, hormonal-signature language and a current audience that is actually a future target. Preserve the source files unchanged; make corrections in a separately approved investor version. [S02, S07]</w:t>
      </w:r>
    </w:p>
    <w:p>
      <w:r>
        <w:rPr/>
        <w:t xml:space="preserve">The rebuilt financial workbook's retrieved assumptions explicitly include starting financing of €350K, seed funding in month 13 and, in some scenarios, a further round in month 25. Those inflows are not operating revenue and do not prove a no-investment runway. The Drive file </w:t>
      </w:r>
      <w:r>
        <w:rPr>
          <w:b/>
        </w:rPr>
        <w:t>NutriSync Finance</w:t>
      </w:r>
      <w:r>
        <w:rPr/>
        <w:t xml:space="preserve"> is a different, earlier workbook and must not be relabelled as the rebuilt model. [S08, S08a]</w:t>
      </w:r>
    </w:p>
    <w:p>
      <w:r>
        <w:rPr/>
        <w:t>Before adopting an investor forecast, reconcile opening cash, founder contributions, pricing/taxes, monthly registrations, conversion lag, retention, B2B active contracts, billable seats, support/AI/cloud costs, financing dates and net proceeds. Keep annual earned revenue separate from the year-end annualised run rate. The companion planning workbook in this package supplies transparent budget and funnel assumptions; no claim is made that every formula in the historical models has been audited or repaired.</w:t>
      </w:r>
    </w:p>
    <w:p>
      <w:bookmarkStart w:id="26" w:name="section_26"/>
      <w:pPr>
        <w:pStyle w:val="Heading1"/>
      </w:pPr>
      <w:r>
        <w:rPr/>
        <w:t>Annex F. Tony's questions and source-note treatment</w:t>
      </w:r>
      <w:bookmarkEnd w:id="26"/>
    </w:p>
    <w:p>
      <w:r>
        <w:rPr/>
        <w:t>The source notes attribute two principal requests to Tony: show a practical route to market and explain what materially larger capital would buy. They also raise investor returns and future discussion of valuation/instruments. This proposal answers all four while explaining the smaller cash levels and the founders' independent execution plan. [S11]</w:t>
      </w:r>
    </w:p>
    <w:p>
      <w:r>
        <w:rPr/>
        <w:t>His reported sector background and investment success figures remain unverified. They are not reproduced as third-party validation. The notes contain no confirmed personal cheque size, signed term sheet or investment commitment. His stated diligence period is not used as a cash-receipt date.</w:t>
      </w:r>
    </w:p>
    <w:p>
      <w:r>
        <w:rPr/>
        <w:t>The separate one-page Q&amp;A is the meeting handout. It is intentionally much shorter than the investment and operational detail here. Founder approval is required before it is circulated as the company's formal position.</w:t>
      </w:r>
    </w:p>
    <w:p>
      <w:bookmarkStart w:id="27" w:name="section_27"/>
      <w:pPr>
        <w:pStyle w:val="Heading1"/>
      </w:pPr>
      <w:r>
        <w:rPr/>
        <w:t>Annex G. Source screenshot and product-risk response</w:t>
      </w:r>
      <w:bookmarkEnd w:id="27"/>
    </w:p>
    <w:p>
      <w:r>
        <w:rPr/>
        <w:t>The supplied screenshot draws attention to the distinction between measurement, inference and lived experience. It is included in the source bundle as the exact user-supplied image. It is not treated as evidence of a court finding or as a competitor-disparagement claim. [S12]</w:t>
      </w:r>
    </w:p>
    <w:p>
      <w:r>
        <w:rPr/>
        <w:t>The proposed response is a product control: label source observations, algorithmic estimates, user reports and recommendations differently; retain timestamps and provenance; expose uncertainty; and provide correction, decline and disconnection paths. This applies equally to meal estimates, activity interpretation, cycle context, recovery metrics and pregnancy content.</w:t>
      </w:r>
    </w:p>
    <w:p>
      <w:bookmarkStart w:id="28" w:name="section_28"/>
      <w:pPr>
        <w:pStyle w:val="Heading1"/>
      </w:pPr>
      <w:r>
        <w:rPr/>
        <w:t>Annex H. International support and readiness reference notes</w:t>
      </w:r>
      <w:bookmarkEnd w:id="28"/>
    </w:p>
    <w:p>
      <w:r>
        <w:rPr/>
        <w:t xml:space="preserve">Singapore government support is an </w:t>
      </w:r>
      <w:r>
        <w:rPr>
          <w:b/>
        </w:rPr>
        <w:t>eligibility-dependent option</w:t>
      </w:r>
      <w:r>
        <w:rPr/>
        <w:t>, not a personal entitlement arising from PR status. Lucía's network provides an initial route to discovery; a suitable company, project, ownership structure and operational commitment must still exist. Grant conditions can affect hiring, location of activity, intellectual property, expenditure timing, co-funding and reporting. No award or eligibility has been established for NutriSync. [W01–W04]</w:t>
      </w:r>
    </w:p>
    <w:p>
      <w:r>
        <w:rPr/>
        <w:t>Australia is likewise an exploration candidate, not a pre-approved destination. Assess consumers, partner appetite, regulatory status and full costs before opening a local operation. R&amp;D tax support concerns eligible entities and qualifying activities, not all software development, marketing or international expansion. [W05–W07]</w:t>
      </w:r>
    </w:p>
    <w:p>
      <w:r>
        <w:rPr/>
        <w:t>The international decision file should end with one of four outcomes: continue discovery; authorise a bounded pilot; approve a launch budget; or defer. Every approval has an owner, spending cap and review date. A grant application alone is not a go-to-market strategy.</w:t>
      </w:r>
    </w:p>
    <w:p>
      <w:bookmarkStart w:id="29" w:name="section_29"/>
      <w:pPr>
        <w:pStyle w:val="Heading1"/>
      </w:pPr>
      <w:r>
        <w:rPr/>
        <w:t>Annex I. Public references</w:t>
      </w:r>
      <w:bookmarkEnd w:id="29"/>
    </w:p>
    <w:p>
      <w:r>
        <w:rPr/>
        <w:t xml:space="preserve">Public sources were reviewed on </w:t>
      </w:r>
      <w:r>
        <w:rPr>
          <w:b/>
        </w:rPr>
        <w:t>7 September 2026</w:t>
      </w:r>
      <w:r>
        <w:rPr/>
        <w:t xml:space="preserve"> for the specific propositions used here. The legal/eligibility notes are an initial screen, not professional sign-off. Source pages and scheme conditions must be rechecked before submission or launch.</w:t>
      </w:r>
    </w:p>
    <w:p>
      <w:pPr>
        <w:pStyle w:val="ListBullet"/>
        <w:spacing w:after="100"/>
      </w:pPr>
      <w:r>
        <w:rPr>
          <w:b/>
        </w:rPr>
        <w:t>W01 — Enterprise Singapore, Enterprise Development Grant.</w:t>
      </w:r>
      <w:r>
        <w:rPr/>
        <w:t xml:space="preserve"> Singapore operation, qualifying ultimate citizen/PR ownership, project readiness and the published EDGE transition notice. </w:t>
      </w:r>
      <w:hyperlink r:id="rId11">
        <w:r>
          <w:rPr>
            <w:color w:val="BF5037"/>
          </w:rPr>
          <w:t>https://www.enterprisesg.gov.sg/financial-support/enterprise-development-grant</w:t>
        </w:r>
      </w:hyperlink>
    </w:p>
    <w:p>
      <w:pPr>
        <w:pStyle w:val="ListBullet"/>
        <w:spacing w:after="100"/>
      </w:pPr>
      <w:r>
        <w:rPr>
          <w:b/>
        </w:rPr>
        <w:t>W02 — Singapore MTI, written parliamentary reply, 5 August 2026.</w:t>
      </w:r>
      <w:r>
        <w:rPr/>
        <w:t xml:space="preserve"> Startup SG Founder applicant and company-age conditions. </w:t>
      </w:r>
      <w:hyperlink r:id="rId12">
        <w:r>
          <w:rPr>
            <w:color w:val="BF5037"/>
          </w:rPr>
          <w:t>https://www.mti.gov.sg/newsroom/written-reply-to-pq-on-reviewing-requirement-in-startup-sg-founder-programme-for-at-least-one-first-time-founder-that-has-no-prior-registered-private-limited-entity/</w:t>
        </w:r>
      </w:hyperlink>
    </w:p>
    <w:p>
      <w:pPr>
        <w:pStyle w:val="ListBullet"/>
        <w:spacing w:after="100"/>
      </w:pPr>
      <w:r>
        <w:rPr>
          <w:b/>
        </w:rPr>
        <w:t>W03 — Startup SG, Startup SG Tech.</w:t>
      </w:r>
      <w:r>
        <w:rPr/>
        <w:t xml:space="preserve"> Proprietary technology, off-the-shelf integration distinction and share-subscription component. </w:t>
      </w:r>
      <w:hyperlink r:id="rId13">
        <w:r>
          <w:rPr>
            <w:color w:val="BF5037"/>
          </w:rPr>
          <w:t>https://www.startupsg.gov.sg/programmes/4897/startup-sg-tech</w:t>
        </w:r>
      </w:hyperlink>
    </w:p>
    <w:p>
      <w:pPr>
        <w:pStyle w:val="ListBullet"/>
        <w:spacing w:after="100"/>
      </w:pPr>
      <w:r>
        <w:rPr>
          <w:b/>
        </w:rPr>
        <w:t>W04 — Enterprise Singapore, Market Readiness Assistance.</w:t>
      </w:r>
      <w:r>
        <w:rPr/>
        <w:t xml:space="preserve"> Overseas expansion scope, ownership/project requirements and transition notice. </w:t>
      </w:r>
      <w:hyperlink r:id="rId14">
        <w:r>
          <w:rPr>
            <w:color w:val="BF5037"/>
          </w:rPr>
          <w:t>https://www.enterprisesg.gov.sg/financial-support/market-readiness-assistance-grant</w:t>
        </w:r>
      </w:hyperlink>
    </w:p>
    <w:p>
      <w:pPr>
        <w:pStyle w:val="ListBullet"/>
        <w:spacing w:after="100"/>
      </w:pPr>
      <w:r>
        <w:rPr>
          <w:b/>
        </w:rPr>
        <w:t>W05 — Australian TGA, behavioural change or coaching software exclusion.</w:t>
      </w:r>
      <w:r>
        <w:rPr/>
        <w:t xml:space="preserve"> Intended-purpose and exclusion assessment. </w:t>
      </w:r>
      <w:hyperlink r:id="rId15">
        <w:r>
          <w:rPr>
            <w:color w:val="BF5037"/>
          </w:rPr>
          <w:t>https://www.tga.gov.au/resources/guidance/understanding-behavioural-change-or-coaching-software-exclusion</w:t>
        </w:r>
      </w:hyperlink>
    </w:p>
    <w:p>
      <w:pPr>
        <w:pStyle w:val="ListBullet"/>
        <w:spacing w:after="100"/>
      </w:pPr>
      <w:r>
        <w:rPr>
          <w:b/>
        </w:rPr>
        <w:t>W06 — OAIC, Guide to health privacy.</w:t>
      </w:r>
      <w:r>
        <w:rPr/>
        <w:t xml:space="preserve"> Australian health-information privacy assessment. </w:t>
      </w:r>
      <w:hyperlink r:id="rId16">
        <w:r>
          <w:rPr>
            <w:color w:val="BF5037"/>
          </w:rPr>
          <w:t>https://www.oaic.gov.au/privacy/privacy-guidance-for-organisations-and-government-agencies/health-service-providers/guide-to-health-privacy</w:t>
        </w:r>
      </w:hyperlink>
    </w:p>
    <w:p>
      <w:pPr>
        <w:pStyle w:val="ListBullet"/>
        <w:spacing w:after="100"/>
      </w:pPr>
      <w:r>
        <w:rPr>
          <w:b/>
        </w:rPr>
        <w:t>W07 — Australian Government, R&amp;D Tax Incentive eligibility.</w:t>
      </w:r>
      <w:r>
        <w:rPr/>
        <w:t xml:space="preserve"> Entity and activity eligibility; not a general market-entry subsidy. </w:t>
      </w:r>
      <w:hyperlink r:id="rId17">
        <w:r>
          <w:rPr>
            <w:color w:val="BF5037"/>
          </w:rPr>
          <w:t>https://business.gov.au/grants-and-programs/research-and-development-tax-incentive/check-if-you-are-eligible-for-the-randd-tax-incentive</w:t>
        </w:r>
      </w:hyperlink>
    </w:p>
    <w:p>
      <w:pPr>
        <w:pStyle w:val="ListBullet"/>
        <w:spacing w:after="100"/>
      </w:pPr>
      <w:r>
        <w:rPr>
          <w:b/>
        </w:rPr>
        <w:t>W08 — Supabase, Shared Responsibility Model.</w:t>
      </w:r>
      <w:r>
        <w:rPr/>
        <w:t xml:space="preserve"> Customer responsibility for access, data and application security. </w:t>
      </w:r>
      <w:hyperlink r:id="rId18">
        <w:r>
          <w:rPr>
            <w:color w:val="BF5037"/>
          </w:rPr>
          <w:t>https://supabase.com/docs/guides/deployment/shared-responsibility-model</w:t>
        </w:r>
      </w:hyperlink>
    </w:p>
    <w:p>
      <w:pPr>
        <w:pStyle w:val="ListBullet"/>
        <w:spacing w:after="100"/>
      </w:pPr>
      <w:r>
        <w:rPr>
          <w:b/>
        </w:rPr>
        <w:t>W09 — OpenAI, API data controls.</w:t>
      </w:r>
      <w:r>
        <w:rPr/>
        <w:t xml:space="preserve"> Training default, retention and regional controls. </w:t>
      </w:r>
      <w:hyperlink r:id="rId19">
        <w:r>
          <w:rPr>
            <w:color w:val="BF5037"/>
          </w:rPr>
          <w:t>https://platform.openai.com/docs/guides/your-data</w:t>
        </w:r>
      </w:hyperlink>
    </w:p>
    <w:p>
      <w:pPr>
        <w:pStyle w:val="ListBullet"/>
        <w:spacing w:after="100"/>
      </w:pPr>
      <w:r>
        <w:rPr>
          <w:b/>
        </w:rPr>
        <w:t>W10 — EU GDPR.</w:t>
      </w:r>
      <w:r>
        <w:rPr/>
        <w:t xml:space="preserve"> Health data, accountability, security and transfer framework. </w:t>
      </w:r>
      <w:hyperlink r:id="rId20">
        <w:r>
          <w:rPr>
            <w:color w:val="BF5037"/>
          </w:rPr>
          <w:t>https://eur-lex.europa.eu/eli/reg/2016/679/oj/eng</w:t>
        </w:r>
      </w:hyperlink>
    </w:p>
    <w:p>
      <w:pPr>
        <w:pStyle w:val="ListBullet"/>
        <w:spacing w:after="100"/>
      </w:pPr>
      <w:r>
        <w:rPr>
          <w:b/>
        </w:rPr>
        <w:t>W11 — Singapore PDPC, Data Protection Obligations.</w:t>
      </w:r>
      <w:r>
        <w:rPr/>
        <w:t xml:space="preserve"> Accountability, protection, retention and cross-border transfer requirements. </w:t>
      </w:r>
      <w:hyperlink r:id="rId21">
        <w:r>
          <w:rPr>
            <w:color w:val="BF5037"/>
          </w:rPr>
          <w:t>https://www.pdpc.gov.sg/overview-of-pdpa/the-legislation/personal-data-protection-act/data-protection-obligations</w:t>
        </w:r>
      </w:hyperlink>
    </w:p>
    <w:p>
      <w:pPr>
        <w:pStyle w:val="ListBullet"/>
        <w:spacing w:after="100"/>
      </w:pPr>
      <w:r>
        <w:rPr>
          <w:b/>
        </w:rPr>
        <w:t>W12 — Singapore HSA, Digital Health.</w:t>
      </w:r>
      <w:r>
        <w:rPr/>
        <w:t xml:space="preserve"> Medical-purpose test for digital health devices. </w:t>
      </w:r>
      <w:hyperlink r:id="rId22">
        <w:r>
          <w:rPr>
            <w:color w:val="BF5037"/>
          </w:rPr>
          <w:t>https://www.hsa.gov.sg/medical-devices/digital-health/</w:t>
        </w:r>
      </w:hyperlink>
    </w:p>
    <w:p>
      <w:pPr>
        <w:pStyle w:val="ListBullet"/>
        <w:spacing w:after="100"/>
      </w:pPr>
      <w:r>
        <w:rPr>
          <w:b/>
        </w:rPr>
        <w:t>W13 — European Commission, MDCG 2019-11 rev.1, June 2025.</w:t>
      </w:r>
      <w:r>
        <w:rPr/>
        <w:t xml:space="preserve"> Medical-software qualification and classification guidance. </w:t>
      </w:r>
      <w:hyperlink r:id="rId23">
        <w:r>
          <w:rPr>
            <w:color w:val="BF5037"/>
          </w:rPr>
          <w:t>https://health.ec.europa.eu/latest-updates/update-mdcg-2019-11-rev1-qualification-and-classification-software-regulation-eu-2017745-and-2025-06-17_en</w:t>
        </w:r>
      </w:hyperlink>
    </w:p>
    <w:p>
      <w:pPr>
        <w:pStyle w:val="ListBullet"/>
        <w:spacing w:after="100"/>
      </w:pPr>
      <w:r>
        <w:rPr>
          <w:b/>
        </w:rPr>
        <w:t>W14 — Deloitte/Doblin, Innovation.</w:t>
      </w:r>
      <w:r>
        <w:rPr/>
        <w:t xml:space="preserve"> Ten Types and integrated innovation approach. </w:t>
      </w:r>
      <w:hyperlink r:id="rId24">
        <w:r>
          <w:rPr>
            <w:color w:val="BF5037"/>
          </w:rPr>
          <w:t>https://www.deloitte.com/gr/en/services/consulting/services/innovation-doblin-consulting-services.html</w:t>
        </w:r>
      </w:hyperlink>
    </w:p>
    <w:p>
      <w:pPr>
        <w:pStyle w:val="ListBullet"/>
        <w:spacing w:after="100"/>
      </w:pPr>
      <w:r>
        <w:rPr>
          <w:b/>
        </w:rPr>
        <w:t>W15 — Blue Ocean Strategy, ERRC grid.</w:t>
      </w:r>
      <w:r>
        <w:rPr/>
        <w:t xml:space="preserve"> Eliminate, reduce, raise and create. </w:t>
      </w:r>
      <w:hyperlink r:id="rId25">
        <w:r>
          <w:rPr>
            <w:color w:val="BF5037"/>
          </w:rPr>
          <w:t>https://www.blueoceanstrategy.com/tools/errc-grid/</w:t>
        </w:r>
      </w:hyperlink>
    </w:p>
    <w:p>
      <w:pPr>
        <w:pStyle w:val="ListBullet"/>
        <w:spacing w:after="100"/>
      </w:pPr>
      <w:r>
        <w:rPr>
          <w:b/>
        </w:rPr>
        <w:t>W16 — Oura API and MCP Agreement.</w:t>
      </w:r>
      <w:r>
        <w:rPr/>
        <w:t xml:space="preserve"> Provider-specific permitted uses and AI restrictions. </w:t>
      </w:r>
      <w:hyperlink r:id="rId26">
        <w:r>
          <w:rPr>
            <w:color w:val="BF5037"/>
          </w:rPr>
          <w:t>https://cloud.ouraring.com/legal/api-agreement</w:t>
        </w:r>
      </w:hyperlink>
    </w:p>
    <w:p>
      <w:bookmarkStart w:id="30" w:name="section_30"/>
      <w:pPr>
        <w:pStyle w:val="Heading1"/>
      </w:pPr>
      <w:r>
        <w:rPr/>
        <w:t>Annex J. Assumptions and approval record</w:t>
      </w:r>
      <w:bookmarkEnd w:id="30"/>
    </w:p>
    <w:p>
      <w:r>
        <w:rPr>
          <w:b/>
        </w:rPr>
        <w:t>New proposal, not historical fact:</w:t>
      </w:r>
      <w:r>
        <w:rPr/>
        <w:t xml:space="preserve"> all six budget allocations; approximately 90-day/12-month/24-month work horizons; staffing ranges; content release quantities; marketing/distribution splits; country-readiness allocations; acquisition and retention examples; the €6/€3.50 modelling revenues; and the valuation/return illustration.</w:t>
      </w:r>
    </w:p>
    <w:p>
      <w:r>
        <w:rPr>
          <w:b/>
        </w:rPr>
        <w:t>Founder-provided context:</w:t>
      </w:r>
      <w:r>
        <w:rPr/>
        <w:t xml:space="preserve"> intention to proceed with own capacity; a cloud business model; Australia and Singapore as exploration candidates; Lucía's Singapore PR status and existing digital-sector relationships. These are not evidence of committed financing, company eligibility or signed partnerships.</w:t>
      </w:r>
    </w:p>
    <w:p>
      <w:r>
        <w:rPr>
          <w:b/>
        </w:rPr>
        <w:t>Required approvals before external adoption:</w:t>
      </w:r>
      <w:r>
        <w:rPr/>
        <w:t xml:space="preserve"> preferred funding scope; cash and founder contribution schedule; product maturity register; actual incorporation/controller status; pricing; clinical and pregnancy boundaries; marketing-data controls; grant eligibility; and one reconciled financial model. Existing source originals and legal drafts are preserved, not silently overwritten.</w:t>
      </w:r>
    </w:p>
    <w:sectPr w:rsidR="00FC693F" w:rsidRPr="0006063C" w:rsidSect="00034616">
      <w:headerReference w:type="default" r:id="rId9"/>
      <w:footerReference w:type="default" r:id="rId10"/>
      <w:pgSz w:w="11905" w:h="16838"/>
      <w:pgMar w:top="994" w:right="979" w:bottom="950" w:left="979" w:header="374"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D625D"/>
        <w:sz w:val="16"/>
      </w:rPr>
      <w:t>Confidential discussion draft  ·  7 September 2026</w:t>
    </w:r>
    <w:r>
      <w:rPr>
        <w:sz w:val="16"/>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D625D"/>
        <w:sz w:val="16"/>
      </w:rPr>
      <w:t>NUTRISYNC COLLECTIVE  /  VALUE &amp; BUSINESS PROPOSITION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822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BF5037"/>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82220"/>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282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82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nterprisesg.gov.sg/financial-support/enterprise-development-grant" TargetMode="External"/><Relationship Id="rId12" Type="http://schemas.openxmlformats.org/officeDocument/2006/relationships/hyperlink" Target="https://www.mti.gov.sg/newsroom/written-reply-to-pq-on-reviewing-requirement-in-startup-sg-founder-programme-for-at-least-one-first-time-founder-that-has-no-prior-registered-private-limited-entity/" TargetMode="External"/><Relationship Id="rId13" Type="http://schemas.openxmlformats.org/officeDocument/2006/relationships/hyperlink" Target="https://www.startupsg.gov.sg/programmes/4897/startup-sg-tech" TargetMode="External"/><Relationship Id="rId14" Type="http://schemas.openxmlformats.org/officeDocument/2006/relationships/hyperlink" Target="https://www.enterprisesg.gov.sg/financial-support/market-readiness-assistance-grant" TargetMode="External"/><Relationship Id="rId15" Type="http://schemas.openxmlformats.org/officeDocument/2006/relationships/hyperlink" Target="https://www.tga.gov.au/resources/guidance/understanding-behavioural-change-or-coaching-software-exclusion" TargetMode="External"/><Relationship Id="rId16" Type="http://schemas.openxmlformats.org/officeDocument/2006/relationships/hyperlink" Target="https://www.oaic.gov.au/privacy/privacy-guidance-for-organisations-and-government-agencies/health-service-providers/guide-to-health-privacy" TargetMode="External"/><Relationship Id="rId17" Type="http://schemas.openxmlformats.org/officeDocument/2006/relationships/hyperlink" Target="https://business.gov.au/grants-and-programs/research-and-development-tax-incentive/check-if-you-are-eligible-for-the-randd-tax-incentive" TargetMode="External"/><Relationship Id="rId18" Type="http://schemas.openxmlformats.org/officeDocument/2006/relationships/hyperlink" Target="https://supabase.com/docs/guides/deployment/shared-responsibility-model" TargetMode="External"/><Relationship Id="rId19" Type="http://schemas.openxmlformats.org/officeDocument/2006/relationships/hyperlink" Target="https://platform.openai.com/docs/guides/your-data" TargetMode="External"/><Relationship Id="rId20" Type="http://schemas.openxmlformats.org/officeDocument/2006/relationships/hyperlink" Target="https://eur-lex.europa.eu/eli/reg/2016/679/oj/eng" TargetMode="External"/><Relationship Id="rId21" Type="http://schemas.openxmlformats.org/officeDocument/2006/relationships/hyperlink" Target="https://www.pdpc.gov.sg/overview-of-pdpa/the-legislation/personal-data-protection-act/data-protection-obligations" TargetMode="External"/><Relationship Id="rId22" Type="http://schemas.openxmlformats.org/officeDocument/2006/relationships/hyperlink" Target="https://www.hsa.gov.sg/medical-devices/digital-health/" TargetMode="External"/><Relationship Id="rId23" Type="http://schemas.openxmlformats.org/officeDocument/2006/relationships/hyperlink" Target="https://health.ec.europa.eu/latest-updates/update-mdcg-2019-11-rev1-qualification-and-classification-software-regulation-eu-2017745-and-2025-06-17_en" TargetMode="External"/><Relationship Id="rId24" Type="http://schemas.openxmlformats.org/officeDocument/2006/relationships/hyperlink" Target="https://www.deloitte.com/gr/en/services/consulting/services/innovation-doblin-consulting-services.html" TargetMode="External"/><Relationship Id="rId25" Type="http://schemas.openxmlformats.org/officeDocument/2006/relationships/hyperlink" Target="https://www.blueoceanstrategy.com/tools/errc-grid/" TargetMode="External"/><Relationship Id="rId26" Type="http://schemas.openxmlformats.org/officeDocument/2006/relationships/hyperlink" Target="https://cloud.ouraring.com/legal/api-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NutriSync — Value Proposition, Business Model and Capital Options</dc:title>
  <dc:subject>Founder-led progress and evidence-led acceleration</dc:subject>
  <dc:creator>NutriSync Collective</dc:creator>
  <cp:keywords>NutriSync; business proposition; capital options; Spain; Australia; Singapore</cp:keywords>
  <dc:description>generated by python-docx</dc:description>
  <cp:lastModifiedBy/>
  <cp:revision>1</cp:revision>
  <dcterms:created xsi:type="dcterms:W3CDTF">2013-12-23T23:15:00Z</dcterms:created>
  <dcterms:modified xsi:type="dcterms:W3CDTF">2013-12-23T23:15:00Z</dcterms:modified>
  <cp:category/>
</cp:coreProperties>
</file>