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73A20"/>
          <w:sz w:val="20"/>
          <w:szCs w:val="20"/>
        </w:rPr>
        <w:t xml:space="preserve">NUTRISYNC COLLECTIVE</w:t>
      </w:r>
    </w:p>
    <w:p>
      <w:pPr>
        <w:pStyle w:val="Title"/>
        <w:spacing w:after="100"/>
      </w:pPr>
      <w:r>
        <w:t xml:space="preserve">Funding need 2026–2027</w:t>
      </w:r>
    </w:p>
    <w:p>
      <w:pPr>
        <w:spacing w:after="120" w:line="300"/>
      </w:pPr>
      <w:r>
        <w:t xml:space="preserve">What it costs to take NutriSync live and keep it running — built from real invoices, not estimates. Prepared for the investor conversation. 6 September 2026.</w:t>
      </w:r>
    </w:p>
    <w:p>
      <w:pPr>
        <w:spacing w:after="120" w:line="300"/>
      </w:pPr>
      <w:r>
        <w:rPr>
          <w:b/>
          <w:bCs/>
        </w:rPr>
        <w:t xml:space="preserve">The ask: €15,000 – €25,000</w:t>
      </w:r>
      <w:r>
        <w:t xml:space="preserve"> for 16 months (Sep 2026 → Dec 2027). This is not the full business plan: it is the minimum cash to go live, sustain operations and keep developing the product until the seed round. Founders’ own time is not in the ask.</w:t>
      </w:r>
    </w:p>
    <w:p>
      <w:pPr>
        <w:pStyle w:val="Heading1"/>
        <w:keepNext/>
        <w:spacing w:after="150" w:before="340"/>
      </w:pPr>
      <w:r>
        <w:t xml:space="preserve">1 · Where we are</w:t>
      </w:r>
    </w:p>
    <w:p>
      <w:pPr>
        <w:spacing w:after="120" w:line="300"/>
      </w:pPr>
      <w:r>
        <w:t xml:space="preserve">NutriSync is built and running. The app is on TestFlight and Google Play internal testing (0.23.1), the marketing web and the PWA are live, the backend runs on Supabase with automated compliance, monitoring and backups, and an internal ERP (the Builders Hub) tracks the pilot, incidents, roadmap and books. The product exists; what is missing is the cash to operate it legally and grow it.</w:t>
      </w:r>
    </w:p>
    <w:p>
      <w:pPr>
        <w:spacing w:after="120" w:line="300"/>
      </w:pPr>
      <w:r>
        <w:rPr>
          <w:b/>
          <w:bCs/>
        </w:rPr>
        <w:t xml:space="preserve">Total cash spent so far, imputed to the project: €762.29</w:t>
      </w:r>
      <w:r>
        <w:t xml:space="preserve"> (July–September 2026). Every euro is a real invoice, converted at the ECB rate of the charge date, and every euro has been advanced personally by a founder — the company has no bank account yet.</w:t>
      </w:r>
    </w:p>
    <w:p>
      <w:pPr>
        <w:pStyle w:val="Heading1"/>
        <w:keepNext/>
        <w:spacing w:after="150" w:before="340"/>
      </w:pPr>
      <w:r>
        <w:t xml:space="preserve">2 · What we spend today</w:t>
      </w:r>
    </w:p>
    <w:p>
      <w:pPr>
        <w:spacing w:after="120" w:line="300"/>
      </w:pPr>
      <w:r>
        <w:t xml:space="preserve">Monthly run-rate at 6 September 2026, project-imputed share only (personal use of shared subscriptions is excluded):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00"/>
      </w:tblGrid>
      <w:tr>
        <w:trPr>
          <w:cantSplit/>
          <w:tblHeader/>
        </w:trPr>
        <w:tc>
          <w:tcPr>
            <w:tcW w:type="dxa" w:w="5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Line</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Monthly (€)</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Note</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Development &amp; AI licences (Claude Max 20x, ChatGPT Pro)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272</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The engineering capacity of a one-person team</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Platform &amp; data (Supabase Pro + PITR, Cloudflare, GitHub, email, domain)</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120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Supabase invoice pending from Pilar</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Design &amp; content tools (Canva, storage)</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18</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App stores (Apple €99/yr amortised)</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8</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Google Play one-off paid</w:t>
            </w:r>
          </w:p>
        </w:tc>
      </w:tr>
      <w:tr>
        <w:trPr>
          <w:cantSplit/>
        </w:trPr>
        <w:tc>
          <w:tcPr>
            <w:tcW w:type="dxa" w:w="5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Total run-rate</w:t>
            </w:r>
          </w:p>
        </w:tc>
        <w:tc>
          <w:tcPr>
            <w:tcW w:type="dxa" w:w="2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418</w:t>
            </w:r>
          </w:p>
        </w:tc>
        <w:tc>
          <w:tcPr>
            <w:tcW w:type="dxa" w:w="2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Before compliance</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GDPR: external DPO (Audidat, €1,500/yr) — committed</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125</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Signature pending</w:t>
            </w:r>
          </w:p>
        </w:tc>
      </w:tr>
      <w:tr>
        <w:trPr>
          <w:cantSplit/>
        </w:trPr>
        <w:tc>
          <w:tcPr>
            <w:tcW w:type="dxa" w:w="5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Total with compliance</w:t>
            </w:r>
          </w:p>
        </w:tc>
        <w:tc>
          <w:tcPr>
            <w:tcW w:type="dxa" w:w="2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543</w:t>
            </w:r>
          </w:p>
        </w:tc>
        <w:tc>
          <w:tcPr>
            <w:tcW w:type="dxa" w:w="2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w:r>
          </w:p>
        </w:tc>
      </w:tr>
    </w:tbl>
    <w:p>
      <w:pPr>
        <w:spacing w:after="60" w:line="300"/>
      </w:pPr>
      <w:r>
        <w:rPr>
          <w:b/>
          <w:bCs/>
        </w:rPr>
        <w:t xml:space="preserve">Why AI licences are the largest line: </w:t>
      </w:r>
      <w:r>
        <w:t xml:space="preserve">they are not a tool subscription, they are the development team. The whole product — app, two webs, backend, internal ERP — has been built by one engineer with AI assistance. At market rates the same output would cost several times the entire ask.</w:t>
      </w:r>
    </w:p>
    <w:p>
      <w:pPr>
        <w:pStyle w:val="Heading1"/>
        <w:keepNext/>
        <w:spacing w:after="150" w:before="340"/>
      </w:pPr>
      <w:r>
        <w:t xml:space="preserve">3 · The ask, in two scenarios</w:t>
      </w:r>
    </w:p>
    <w:p>
      <w:pPr>
        <w:spacing w:after="120" w:line="300"/>
      </w:pPr>
      <w:r>
        <w:t xml:space="preserve">The range is deliberate: €15k keeps the lights on and gets us legally live; €25k does that and buys traction before the seed round.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200"/>
        <w:gridCol w:w="1200"/>
      </w:tblGrid>
      <w:tr>
        <w:trPr>
          <w:cantSplit/>
          <w:tblHeader/>
        </w:trPr>
        <w:tc>
          <w:tcPr>
            <w:tcW w:type="dxa" w:w="4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Period</w:t>
            </w:r>
          </w:p>
        </w:tc>
        <w:tc>
          <w:tcPr>
            <w:tcW w:type="dxa" w:w="30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What it covers</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Min €</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Target €</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2026 (Sep–Dec)</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Go live: platform, GDPR (DPO + DPIA), incorporation, launch</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5,594</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8,305</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2027 (12 months)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Sustain and scale: platform at volume, product AI, advisory panel, acquisition</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9,427</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16,610</w:t>
            </w:r>
          </w:p>
        </w:tc>
      </w:tr>
      <w:tr>
        <w:trPr>
          <w:cantSplit/>
        </w:trPr>
        <w:tc>
          <w:tcPr>
            <w:tcW w:type="dxa" w:w="4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TOTAL (16 months)</w:t>
            </w:r>
          </w:p>
        </w:tc>
        <w:tc>
          <w:tcPr>
            <w:tcW w:type="dxa" w:w="30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Sep 2026 → Dec 2027</w:t>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15,020</w:t>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24,915</w:t>
            </w:r>
          </w:p>
        </w:tc>
      </w:tr>
    </w:tbl>
    <w:p>
      <w:pPr>
        <w:spacing w:after="60" w:line="300"/>
      </w:pPr>
      <w:r>
        <w:rPr>
          <w:b/>
          <w:bCs/>
        </w:rPr>
        <w:t xml:space="preserve">Minimum (€15k): </w:t>
      </w:r>
      <w:r>
        <w:t xml:space="preserve">platform and licences, GDPR compliance (external DPO + the DPIA that is mandatory before launch because we process health data), incorporation of the S.L. and accountancy, a minimal advisory panel and token marketing. Founders remain unpaid.</w:t>
      </w:r>
    </w:p>
    <w:p>
      <w:pPr>
        <w:spacing w:after="120" w:line="300"/>
      </w:pPr>
      <w:r>
        <w:rPr>
          <w:b/>
          <w:bCs/>
        </w:rPr>
        <w:t xml:space="preserve">Target (€25k): </w:t>
      </w:r>
      <w:r>
        <w:t xml:space="preserve">the above plus product AI at real user volume, launch design and content, a properly paid advisory panel of nutritionists and clinicians, and an acquisition budget — so the seed conversation happens with users and data, not with a deck.</w:t>
      </w:r>
    </w:p>
    <w:p>
      <w:pPr>
        <w:pStyle w:val="Heading1"/>
        <w:keepNext/>
        <w:spacing w:after="150" w:before="340"/>
      </w:pPr>
      <w:r>
        <w:t xml:space="preserve">4 · Cost detail</w:t>
      </w:r>
    </w:p>
    <w:p>
      <w:pPr>
        <w:pStyle w:val="Heading2"/>
        <w:keepNext/>
        <w:spacing w:after="100" w:before="260"/>
      </w:pPr>
      <w:r>
        <w:t xml:space="preserve">2026 · September to December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200"/>
        <w:gridCol w:w="1200"/>
      </w:tblGrid>
      <w:tr>
        <w:trPr>
          <w:cantSplit/>
          <w:tblHeader/>
        </w:trPr>
        <w:tc>
          <w:tcPr>
            <w:tcW w:type="dxa" w:w="4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Category</w:t>
            </w:r>
          </w:p>
        </w:tc>
        <w:tc>
          <w:tcPr>
            <w:tcW w:type="dxa" w:w="30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Detail</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Min €</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Target €</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Development &amp; AI licences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Claude Max 20x + ChatGPT Pro (imputed)</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1,100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1,400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Platform &amp; data</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Supabase Pro+PITR, Cloudflare, GitHub, email, domain</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550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Product AI usage</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Photo → macros vision calls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App stores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Apple Developer, Google Play</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35</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Design &amp; content</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Launch assets, store listings, video</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GDPR compliance</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External DPO (Audidat) + DPIA</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2,500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Incorporation &amp; accountancy</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Notary, registry, bookkeeping (excl. share capital)</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1,100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Advisory panel &amp; nutritionists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Clinical review, phase scoring</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600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Launch marketing</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Community, minimal ads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Contingency 10%</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509</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755</w:t>
            </w:r>
          </w:p>
        </w:tc>
      </w:tr>
      <w:tr>
        <w:trPr>
          <w:cantSplit/>
        </w:trPr>
        <w:tc>
          <w:tcPr>
            <w:tcW w:type="dxa" w:w="4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Total 2026</w:t>
            </w:r>
          </w:p>
        </w:tc>
        <w:tc>
          <w:tcPr>
            <w:tcW w:type="dxa" w:w="30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5,594</w:t>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8,305</w:t>
            </w:r>
          </w:p>
        </w:tc>
      </w:tr>
    </w:tbl>
    <w:p>
      <w:pPr>
        <w:pStyle w:val="Heading2"/>
        <w:keepNext/>
        <w:spacing w:after="100" w:before="260"/>
      </w:pPr>
      <w:r>
        <w:t xml:space="preserve">2027 · full year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200"/>
        <w:gridCol w:w="1200"/>
      </w:tblGrid>
      <w:tr>
        <w:trPr>
          <w:cantSplit/>
          <w:tblHeader/>
        </w:trPr>
        <w:tc>
          <w:tcPr>
            <w:tcW w:type="dxa" w:w="4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Category</w:t>
            </w:r>
          </w:p>
        </w:tc>
        <w:tc>
          <w:tcPr>
            <w:tcW w:type="dxa" w:w="30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Detail</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Min €</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Target €</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Development &amp; AI licences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Same engine, full year</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4,000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Platform &amp; data at scale</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Compute, storage, backups, CDN</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1,400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2,200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Product AI usage</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Vision per meal, scales with users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App stores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Annual fees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Design &amp; content</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Ongoing product and brand</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1,100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Compliance</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Annual DPO + reviews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2,000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Accounting &amp; tax</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Monthly bookkeeping, filings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720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1,200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Advisory panel &amp; nutritionists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Panel fees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1,400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Marketing &amp; acquisition</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Content, ads, partnerships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1,300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Business tools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Password manager, Notion, misc.</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Contingency 10%</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857</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1,510</w:t>
            </w:r>
          </w:p>
        </w:tc>
      </w:tr>
      <w:tr>
        <w:trPr>
          <w:cantSplit/>
        </w:trPr>
        <w:tc>
          <w:tcPr>
            <w:tcW w:type="dxa" w:w="4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Total 2027</w:t>
            </w:r>
          </w:p>
        </w:tc>
        <w:tc>
          <w:tcPr>
            <w:tcW w:type="dxa" w:w="30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9,427</w:t>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16,610</w:t>
            </w:r>
          </w:p>
        </w:tc>
      </w:tr>
    </w:tbl>
    <w:p>
      <w:pPr>
        <w:pStyle w:val="Heading1"/>
        <w:keepNext/>
        <w:pageBreakBefore/>
        <w:spacing w:after="150" w:before="340"/>
      </w:pPr>
      <w:r>
        <w:t xml:space="preserve">5 · Pro-forma balance sheet (6 Sep 2026)</w:t>
      </w:r>
    </w:p>
    <w:p>
      <w:pPr>
        <w:spacing w:after="120" w:line="300"/>
      </w:pPr>
      <w:r>
        <w:t xml:space="preserve">NutriSync Collective S.L. is not yet incorporated, so this is a pro-forma opening position. It is short on purpose: there is no debt, no cash, and an asset base built with founders’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00"/>
      </w:tblGrid>
      <w:tr>
        <w:trPr>
          <w:cantSplit/>
          <w:tblHeader/>
        </w:trPr>
        <w:tc>
          <w:tcPr>
            <w:tcW w:type="dxa" w:w="5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Item</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Note</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ASSETS</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Cash</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No company account until incorporation</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Capitalised development</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All expensed — nothing capitalises without a signed review (IAS 38)</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Product built (replacement cost, off-balance)</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20,000 – 45,000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iOS/Android app, PWA, two websites, backend, internal ERP</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LIABILITIES</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Founder advances (account 2300)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762.29</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Invoices paid on a founder’s personal card</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Committed, not booked</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Audidat DPO + GDPR, annual, on signature</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Financial debt</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None</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EQUITY</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Share capital</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€3,000 planned at incorporation</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Accumulated result</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-762.29</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Imputed spend to date</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Founders’ in-kind contribution</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20,000 – 45,000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Not booked; see section 6</w:t>
            </w:r>
          </w:p>
        </w:tc>
      </w:tr>
    </w:tbl>
    <w:p>
      <w:pPr>
        <w:spacing w:after="120" w:line="300"/>
      </w:pPr>
      <w:r>
        <w:rPr>
          <w:b/>
          <w:bCs/>
        </w:rPr>
        <w:t xml:space="preserve">Read it this way: </w:t>
      </w:r>
      <w:r>
        <w:t xml:space="preserve">every euro of the ask goes to cash costs the company genuinely cannot avoid. The build itself has already been paid for — in founders’ time, not in investor money.</w:t>
      </w:r>
    </w:p>
    <w:p>
      <w:pPr>
        <w:pStyle w:val="Heading1"/>
        <w:keepNext/>
        <w:spacing w:after="150" w:before="340"/>
      </w:pPr>
      <w:r>
        <w:t xml:space="preserve">6 · Professional services (outside the ask)</w:t>
      </w:r>
    </w:p>
    <w:p>
      <w:pPr>
        <w:spacing w:after="120" w:line="300"/>
      </w:pPr>
      <w:r>
        <w:t xml:space="preserve">The four of us — Lucía (design), Pilar (clinical governance and compliance), Juanjo (product and engineering), Mapi (marketing) — plus Constanza (nutrition) have worked unpaid. This is the in-kind investment already in the company: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00"/>
      </w:tblGrid>
      <w:tr>
        <w:trPr>
          <w:cantSplit/>
          <w:tblHeader/>
        </w:trPr>
        <w:tc>
          <w:tcPr>
            <w:tcW w:type="dxa" w:w="5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Person / role</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Contributed to date</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Valuation</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Juanjo · product &amp; engineering</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330–400 h (Jul–Sep; 124 h of July declared)</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€20,000 – 45,000</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Lucía · design</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App and Web V2 Figma, Design System</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Hours pending</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Pilar · clinical governance &amp; compliance</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Clinical guidelines, red lines, GDPR</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Hours pending</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Mapi · marketing</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Content and community</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Hours pending</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Constanza · nutrition</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Cycle-phase scoring, confidence threshold</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Hours pending</w:t>
            </w:r>
          </w:p>
        </w:tc>
      </w:tr>
    </w:tbl>
    <w:p>
      <w:pPr>
        <w:spacing w:after="120" w:line="300"/>
      </w:pPr>
      <w:r>
        <w:t xml:space="preserve">Valued at €60–111/hour (the rate declared in our own cost sheet). Hours for Lucía, Pilar and Mapi are still to be declared — the figure above will grow. </w:t>
      </w:r>
      <w:r>
        <w:rPr>
          <w:b/>
          <w:bCs/>
        </w:rPr>
        <w:t xml:space="preserve">Nothing in this section is part of the €15–25k ask</w:t>
      </w:r>
      <w:r>
        <w:t xml:space="preserve">; it is what the round is buying into.</w:t>
      </w:r>
    </w:p>
    <w:p>
      <w:pPr>
        <w:pStyle w:val="Heading1"/>
        <w:keepNext/>
        <w:spacing w:after="150" w:before="340"/>
      </w:pPr>
      <w:r>
        <w:t xml:space="preserve">7 · What this ask does not include</w:t>
      </w:r>
    </w:p>
    <w:p>
      <w:pPr>
        <w:pStyle w:val="ListParagraph"/>
        <w:numPr>
          <w:ilvl w:val="0"/>
          <w:numId w:val="2"/>
        </w:numPr>
        <w:spacing w:after="70" w:line="290"/>
      </w:pPr>
      <w:r>
        <w:t xml:space="preserve">Founders’ salaries. Not in either scenario; a modest stipend would be the first thing a larger round pays for.</w:t>
      </w:r>
    </w:p>
    <w:p>
      <w:pPr>
        <w:pStyle w:val="ListParagraph"/>
        <w:numPr>
          <w:ilvl w:val="0"/>
          <w:numId w:val="2"/>
        </w:numPr>
        <w:spacing w:after="70" w:line="290"/>
      </w:pPr>
      <w:r>
        <w:t xml:space="preserve">Share capital of the S.L. (€3,000) — a shareholder contribution, not an expense.</w:t>
      </w:r>
    </w:p>
    <w:p>
      <w:pPr>
        <w:pStyle w:val="ListParagraph"/>
        <w:numPr>
          <w:ilvl w:val="0"/>
          <w:numId w:val="2"/>
        </w:numPr>
        <w:spacing w:after="70" w:line="290"/>
      </w:pPr>
      <w:r>
        <w:t xml:space="preserve">The seed round costs modelled in our financial model v2 (team, paid acquisition at scale): this bridge is what gets us to that conversation.</w:t>
      </w:r>
    </w:p>
    <w:p>
      <w:pPr>
        <w:pStyle w:val="ListParagraph"/>
        <w:numPr>
          <w:ilvl w:val="0"/>
          <w:numId w:val="2"/>
        </w:numPr>
        <w:spacing w:after="70" w:line="290"/>
      </w:pPr>
      <w:r>
        <w:t xml:space="preserve">Intelectium fees for public funding (ENISA / CDTI): success-only, 4.5–9% of what is actually obtained, payable from the funding itself.</w:t>
      </w:r>
    </w:p>
    <w:p>
      <w:pPr>
        <w:pStyle w:val="Heading1"/>
        <w:keepNext/>
        <w:spacing w:after="150" w:before="340"/>
      </w:pPr>
      <w:r>
        <w:t xml:space="preserve">8 · Assumptions and honesty notes</w:t>
      </w:r>
    </w:p>
    <w:p>
      <w:pPr>
        <w:pStyle w:val="ListParagraph"/>
        <w:numPr>
          <w:ilvl w:val="0"/>
          <w:numId w:val="2"/>
        </w:numPr>
        <w:spacing w:after="70" w:line="290"/>
      </w:pPr>
      <w:r>
        <w:t xml:space="preserve">Actuals are invoices in the founder’s inbox, converted at the ECB rate of the charge date and booked in double entry in the internal ERP.</w:t>
      </w:r>
    </w:p>
    <w:p>
      <w:pPr>
        <w:pStyle w:val="ListParagraph"/>
        <w:numPr>
          <w:ilvl w:val="0"/>
          <w:numId w:val="2"/>
        </w:numPr>
        <w:spacing w:after="70" w:line="290"/>
      </w:pPr>
      <w:r>
        <w:t xml:space="preserve">Supabase, GitHub, IONOS and the Apple Developer fee are still awaiting invoices from the accounts that receive them; they are estimated at list price and flagged in the workbook.</w:t>
      </w:r>
    </w:p>
    <w:p>
      <w:pPr>
        <w:pStyle w:val="ListParagraph"/>
        <w:numPr>
          <w:ilvl w:val="0"/>
          <w:numId w:val="2"/>
        </w:numPr>
        <w:spacing w:after="70" w:line="290"/>
      </w:pPr>
      <w:r>
        <w:t xml:space="preserve">AI licences are imputed at 80% (Claude) and 40% (ChatGPT) to the project — the rest is personal use and stays out of the books.</w:t>
      </w:r>
    </w:p>
    <w:p>
      <w:pPr>
        <w:pStyle w:val="ListParagraph"/>
        <w:numPr>
          <w:ilvl w:val="0"/>
          <w:numId w:val="2"/>
        </w:numPr>
        <w:spacing w:after="70" w:line="290"/>
      </w:pPr>
      <w:r>
        <w:t xml:space="preserve">Ranges are scenarios, not error bars: the minimum is a real plan, not a floor.</w:t>
      </w:r>
    </w:p>
    <w:p>
      <w:pPr>
        <w:pStyle w:val="ListParagraph"/>
        <w:numPr>
          <w:ilvl w:val="0"/>
          <w:numId w:val="2"/>
        </w:numPr>
        <w:spacing w:after="70" w:line="290"/>
      </w:pPr>
      <w:r>
        <w:t xml:space="preserve">Contingency is 10% in both scenarios.</w:t>
      </w:r>
    </w:p>
    <w:p>
      <w:r>
        <w:br w:type="page"/>
      </w:r>
    </w:p>
    <w:p>
      <w:pPr>
        <w:spacing w:after="60"/>
      </w:pPr>
      <w:r>
        <w:rPr>
          <w:b/>
          <w:bCs/>
          <w:color w:val="C73A20"/>
          <w:sz w:val="20"/>
          <w:szCs w:val="20"/>
        </w:rPr>
        <w:t xml:space="preserve">NUTRISYNC COLLECTIVE</w:t>
      </w:r>
    </w:p>
    <w:p>
      <w:pPr>
        <w:pStyle w:val="Title"/>
        <w:spacing w:after="100"/>
      </w:pPr>
      <w:r>
        <w:t xml:space="preserve">Necesidad de financiación 2026–2027</w:t>
      </w:r>
    </w:p>
    <w:p>
      <w:pPr>
        <w:spacing w:after="120" w:line="300"/>
      </w:pPr>
      <w:r>
        <w:t xml:space="preserve">Lo que cuesta sacar NutriSync a producción y mantenerla en marcha — construido con facturas reales, no con estimaciones. Preparado para la conversación con el inversor. 6 de septiembre de 2026.</w:t>
      </w:r>
    </w:p>
    <w:p>
      <w:pPr>
        <w:spacing w:after="120" w:line="300"/>
      </w:pPr>
      <w:r>
        <w:rPr>
          <w:b/>
          <w:bCs/>
        </w:rPr>
        <w:t xml:space="preserve">La petición: 15.000 – 25.000 €</w:t>
      </w:r>
      <w:r>
        <w:t xml:space="preserve"> para 16 meses (sep-2026 → dic-2027). No es el plan de negocio completo: es la caja mínima para salir a producción, sostener la operación y seguir desarrollando el producto hasta la ronda semilla. El tiempo de las fundadoras y el fundador no entra en la petición.</w:t>
      </w:r>
    </w:p>
    <w:p>
      <w:pPr>
        <w:pStyle w:val="Heading1"/>
        <w:keepNext/>
        <w:spacing w:after="150" w:before="340"/>
      </w:pPr>
      <w:r>
        <w:t xml:space="preserve">1 · Dónde estamos</w:t>
      </w:r>
    </w:p>
    <w:p>
      <w:pPr>
        <w:spacing w:after="120" w:line="300"/>
      </w:pPr>
      <w:r>
        <w:t xml:space="preserve">NutriSync está construida y funcionando. La app está en TestFlight y en la prueba interna de Google Play (0.23.1), la web de marketing y la PWA están en el aire, el backend corre sobre Supabase con cumplimiento, vigilancia y copias automatizadas, y un ERP interno (el Builders Hub) lleva el piloto, las incidencias, el roadmap y los libros. El producto existe; lo que falta es la caja para operarlo con todas las de la ley y hacerlo crecer.</w:t>
      </w:r>
    </w:p>
    <w:p>
      <w:pPr>
        <w:spacing w:after="120" w:line="300"/>
      </w:pPr>
      <w:r>
        <w:rPr>
          <w:b/>
          <w:bCs/>
        </w:rPr>
        <w:t xml:space="preserve">Caja gastada hasta hoy, imputada al proyecto: 762,29 €</w:t>
      </w:r>
      <w:r>
        <w:t xml:space="preserve"> (julio–septiembre de 2026). Cada euro es una factura real, convertida al tipo BCE del día del cargo, y cada euro lo ha adelantado personalmente un socio: la sociedad aún no tiene cuenta bancaria.</w:t>
      </w:r>
    </w:p>
    <w:p>
      <w:pPr>
        <w:pStyle w:val="Heading1"/>
        <w:keepNext/>
        <w:spacing w:after="150" w:before="340"/>
      </w:pPr>
      <w:r>
        <w:t xml:space="preserve">2 · Lo que gastamos hoy</w:t>
      </w:r>
    </w:p>
    <w:p>
      <w:pPr>
        <w:spacing w:after="120" w:line="300"/>
      </w:pPr>
      <w:r>
        <w:t xml:space="preserve">Run-rate mensual a 6 de septiembre de 2026, solo la parte imputada al proyecto (el uso personal de las suscripciones compartidas queda fuera):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00"/>
      </w:tblGrid>
      <w:tr>
        <w:trPr>
          <w:cantSplit/>
          <w:tblHeader/>
        </w:trPr>
        <w:tc>
          <w:tcPr>
            <w:tcW w:type="dxa" w:w="5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Concepto</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Mensual (€)</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Nota</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Licencias de desarrollo e IA (Claude Max 20x, ChatGPT Pro)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272</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La capacidad de ingeniería de un equipo de una persona</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Plataforma y datos (Supabase Pro + PITR, Cloudflare, GitHub, correo, dominio)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120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Factura de Supabase pendiente (Pilar)</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Herramientas de diseño y contenido (Canva, almacenamiento)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18</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Tiendas (Apple 99 €/año prorrateado)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8</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Google Play, pago único ya hecho</w:t>
            </w:r>
          </w:p>
        </w:tc>
      </w:tr>
      <w:tr>
        <w:trPr>
          <w:cantSplit/>
        </w:trPr>
        <w:tc>
          <w:tcPr>
            <w:tcW w:type="dxa" w:w="5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Run-rate total</w:t>
            </w:r>
          </w:p>
        </w:tc>
        <w:tc>
          <w:tcPr>
            <w:tcW w:type="dxa" w:w="2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418</w:t>
            </w:r>
          </w:p>
        </w:tc>
        <w:tc>
          <w:tcPr>
            <w:tcW w:type="dxa" w:w="2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Antes de cumplimiento</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RGPD: DPD externo (Audidat, 1.500 €/año) — comprometido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125</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Pendiente de firma</w:t>
            </w:r>
          </w:p>
        </w:tc>
      </w:tr>
      <w:tr>
        <w:trPr>
          <w:cantSplit/>
        </w:trPr>
        <w:tc>
          <w:tcPr>
            <w:tcW w:type="dxa" w:w="5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Total con cumplimiento</w:t>
            </w:r>
          </w:p>
        </w:tc>
        <w:tc>
          <w:tcPr>
            <w:tcW w:type="dxa" w:w="2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543</w:t>
            </w:r>
          </w:p>
        </w:tc>
        <w:tc>
          <w:tcPr>
            <w:tcW w:type="dxa" w:w="2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w:r>
          </w:p>
        </w:tc>
      </w:tr>
    </w:tbl>
    <w:p>
      <w:pPr>
        <w:spacing w:after="60" w:line="300"/>
      </w:pPr>
      <w:r>
        <w:rPr>
          <w:b/>
          <w:bCs/>
        </w:rPr>
        <w:t xml:space="preserve">Por qué las licencias de IA son la partida mayor: </w:t>
      </w:r>
      <w:r>
        <w:t xml:space="preserve">no son una suscripción de herramientas, son el equipo de desarrollo. Todo el producto —app, dos webs, backend, ERP interno— lo ha construido un ingeniero con asistencia de IA. A precio de mercado, el mismo resultado costaría varias veces la petición entera.</w:t>
      </w:r>
    </w:p>
    <w:p>
      <w:pPr>
        <w:pStyle w:val="Heading1"/>
        <w:keepNext/>
        <w:spacing w:after="150" w:before="340"/>
      </w:pPr>
      <w:r>
        <w:t xml:space="preserve">3 · La petición, en dos escenarios</w:t>
      </w:r>
    </w:p>
    <w:p>
      <w:pPr>
        <w:spacing w:after="120" w:line="300"/>
      </w:pPr>
      <w:r>
        <w:t xml:space="preserve">El rango es deliberado: 15 k€ mantienen las luces encendidas y nos permiten salir legalmente; 25 k€ hacen eso y además compran tracción antes de la ronda semilla.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200"/>
        <w:gridCol w:w="1200"/>
      </w:tblGrid>
      <w:tr>
        <w:trPr>
          <w:cantSplit/>
          <w:tblHeader/>
        </w:trPr>
        <w:tc>
          <w:tcPr>
            <w:tcW w:type="dxa" w:w="4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Periodo</w:t>
            </w:r>
          </w:p>
        </w:tc>
        <w:tc>
          <w:tcPr>
            <w:tcW w:type="dxa" w:w="30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Qué cubre</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Mínimo €</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Objetivo €</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2026 (sep–dic)</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Salir a producción: plataforma, RGPD (DPD + EIPD), constitución, lanzamiento</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5.594</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8.305</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2027 (12 meses)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Sostener y escalar: plataforma con volumen, IA de producto, panel asesor, captación</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9.427</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16.610</w:t>
            </w:r>
          </w:p>
        </w:tc>
      </w:tr>
      <w:tr>
        <w:trPr>
          <w:cantSplit/>
        </w:trPr>
        <w:tc>
          <w:tcPr>
            <w:tcW w:type="dxa" w:w="4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TOTAL (16 meses)</w:t>
            </w:r>
          </w:p>
        </w:tc>
        <w:tc>
          <w:tcPr>
            <w:tcW w:type="dxa" w:w="30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sep-2026 → dic-2027</w:t>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15.020</w:t>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24.915</w:t>
            </w:r>
          </w:p>
        </w:tc>
      </w:tr>
    </w:tbl>
    <w:p>
      <w:pPr>
        <w:spacing w:after="60" w:line="300"/>
      </w:pPr>
      <w:r>
        <w:rPr>
          <w:b/>
          <w:bCs/>
        </w:rPr>
        <w:t xml:space="preserve">Mínimo (15 k€): </w:t>
      </w:r>
      <w:r>
        <w:t xml:space="preserve">plataforma y licencias, cumplimiento RGPD (DPD externo y la EIPD, obligatoria antes de lanzar porque tratamos datos de salud), constitución de la S.L. y gestoría, panel asesor mínimo y marketing simbólico. Las fundadoras y el fundador siguen sin cobrar.</w:t>
      </w:r>
    </w:p>
    <w:p>
      <w:pPr>
        <w:spacing w:after="120" w:line="300"/>
      </w:pPr>
      <w:r>
        <w:rPr>
          <w:b/>
          <w:bCs/>
        </w:rPr>
        <w:t xml:space="preserve">Objetivo (25 k€): </w:t>
      </w:r>
      <w:r>
        <w:t xml:space="preserve">lo anterior más IA de producto con volumen real de usuarias, diseño y contenido de lanzamiento, un panel asesor de nutricionistas y clínicas debidamente remunerado, y presupuesto de captación — para que la conversación de la semilla ocurra con usuarias y datos, no con un deck.</w:t>
      </w:r>
    </w:p>
    <w:p>
      <w:pPr>
        <w:pStyle w:val="Heading1"/>
        <w:keepNext/>
        <w:spacing w:after="150" w:before="340"/>
      </w:pPr>
      <w:r>
        <w:t xml:space="preserve">4 · Detalle de costes</w:t>
      </w:r>
    </w:p>
    <w:p>
      <w:pPr>
        <w:pStyle w:val="Heading2"/>
        <w:keepNext/>
        <w:spacing w:after="100" w:before="260"/>
      </w:pPr>
      <w:r>
        <w:t xml:space="preserve">2026 · de septiembre a diciembre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200"/>
        <w:gridCol w:w="1200"/>
      </w:tblGrid>
      <w:tr>
        <w:trPr>
          <w:cantSplit/>
          <w:tblHeader/>
        </w:trPr>
        <w:tc>
          <w:tcPr>
            <w:tcW w:type="dxa" w:w="4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Concepto</w:t>
            </w:r>
          </w:p>
        </w:tc>
        <w:tc>
          <w:tcPr>
            <w:tcW w:type="dxa" w:w="30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Detalle</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Mínimo €</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Objetivo €</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Licencias de desarrollo e IA</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Claude Max 20x + ChatGPT Pro (imputadas)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1.100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1.400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Plataforma y datos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Supabase Pro+PITR, Cloudflare, GitHub, correo, dominio</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550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IA de producto por uso</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Llamadas de visión foto → macros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Tiendas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Apple Developer, Google Play</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35</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Diseño y contenido</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Piezas de lanzamiento, fichas de tienda, vídeo</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Cumplimiento RGPD</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DPD externo (Audidat) + EIPD</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2.500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Constitución y gestoría</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Notaría, registro, contabilidad (sin capital social)</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1.100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Panel asesor y nutricionistas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Revisión clínica, scoring por fase</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600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Marketing de lanzamiento</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Comunidad, publicidad mínima</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Contingencia 10 %</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509</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755</w:t>
            </w:r>
          </w:p>
        </w:tc>
      </w:tr>
      <w:tr>
        <w:trPr>
          <w:cantSplit/>
        </w:trPr>
        <w:tc>
          <w:tcPr>
            <w:tcW w:type="dxa" w:w="4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Total 2026</w:t>
            </w:r>
          </w:p>
        </w:tc>
        <w:tc>
          <w:tcPr>
            <w:tcW w:type="dxa" w:w="30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5.594</w:t>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8.305</w:t>
            </w:r>
          </w:p>
        </w:tc>
      </w:tr>
    </w:tbl>
    <w:p>
      <w:pPr>
        <w:pStyle w:val="Heading2"/>
        <w:keepNext/>
        <w:spacing w:after="100" w:before="260"/>
      </w:pPr>
      <w:r>
        <w:t xml:space="preserve">2027 · año completo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1200"/>
        <w:gridCol w:w="1200"/>
      </w:tblGrid>
      <w:tr>
        <w:trPr>
          <w:cantSplit/>
          <w:tblHeader/>
        </w:trPr>
        <w:tc>
          <w:tcPr>
            <w:tcW w:type="dxa" w:w="4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Concepto</w:t>
            </w:r>
          </w:p>
        </w:tc>
        <w:tc>
          <w:tcPr>
            <w:tcW w:type="dxa" w:w="30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Detalle</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Mínimo €</w:t>
            </w:r>
          </w:p>
        </w:tc>
        <w:tc>
          <w:tcPr>
            <w:tcW w:type="dxa" w:w="1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Objetivo €</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Licencias de desarrollo e IA</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El mismo motor, año completo</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4.000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Plataforma y datos a escala</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Cómputo, almacenamiento, copias, CDN</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1.400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2.200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IA de producto por uso</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Visión por comida; crece con las usuarias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500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Tiendas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Cuotas anuales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Diseño y contenido</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Producto y marca, continuo</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1.100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Cumplimiento</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DPD anual + revisiones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2.000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Gestoría contable y fiscal</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Contabilidad mensual, impuestos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720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1.200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Panel asesor y nutricionistas</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Honorarios del panel</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1.400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Marketing y captación</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Contenido, publicidad, alianzas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1.300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Herramientas de negocio</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Gestor de contraseñas, Notion, varios</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w:t>
            </w:r>
          </w:p>
        </w:tc>
      </w:tr>
      <w:tr>
        <w:trPr>
          <w:cantSplit/>
        </w:trPr>
        <w:tc>
          <w:tcPr>
            <w:tcW w:type="dxa" w:w="4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Contingencia 10 %</w:t>
            </w:r>
          </w:p>
        </w:tc>
        <w:tc>
          <w:tcPr>
            <w:tcW w:type="dxa" w:w="30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857</w:t>
            </w:r>
          </w:p>
        </w:tc>
        <w:tc>
          <w:tcPr>
            <w:tcW w:type="dxa" w:w="1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1.510</w:t>
            </w:r>
          </w:p>
        </w:tc>
      </w:tr>
      <w:tr>
        <w:trPr>
          <w:cantSplit/>
        </w:trPr>
        <w:tc>
          <w:tcPr>
            <w:tcW w:type="dxa" w:w="4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pPr>
            <w:r>
              <w:rPr>
                <w:b/>
                <w:bCs/>
                <w:sz w:val="19"/>
                <w:szCs w:val="19"/>
              </w:rPr>
              <w:t xml:space="preserve">Total 2027</w:t>
            </w:r>
          </w:p>
        </w:tc>
        <w:tc>
          <w:tcPr>
            <w:tcW w:type="dxa" w:w="30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9.427</w:t>
            </w:r>
          </w:p>
        </w:tc>
        <w:tc>
          <w:tcPr>
            <w:tcW w:type="dxa" w:w="1200"/>
            <w:tcBorders>
              <w:top w:val="single" w:color="E6DED3" w:sz="3"/>
              <w:left w:val="none" w:color="FFFFFF" w:sz="0"/>
              <w:bottom w:val="single" w:color="E6DED3" w:sz="3"/>
              <w:right w:val="none" w:color="FFFFFF" w:sz="0"/>
            </w:tcBorders>
            <w:shd w:fill="EAF6EF" w:color="auto" w:val="clear"/>
            <w:tcMar>
              <w:top w:type="dxa" w:w="70"/>
              <w:left w:type="dxa" w:w="110"/>
              <w:bottom w:type="dxa" w:w="70"/>
              <w:right w:type="dxa" w:w="110"/>
            </w:tcMar>
          </w:tcPr>
          <w:p>
            <w:pPr>
              <w:spacing w:after="0" w:line="260"/>
              <w:jc w:val="right"/>
            </w:pPr>
            <w:r>
              <w:rPr>
                <w:b/>
                <w:bCs/>
                <w:sz w:val="19"/>
                <w:szCs w:val="19"/>
              </w:rPr>
              <w:t xml:space="preserve">16.610</w:t>
            </w:r>
          </w:p>
        </w:tc>
      </w:tr>
    </w:tbl>
    <w:p>
      <w:pPr>
        <w:pStyle w:val="Heading1"/>
        <w:keepNext/>
        <w:pageBreakBefore/>
        <w:spacing w:after="150" w:before="340"/>
      </w:pPr>
      <w:r>
        <w:t xml:space="preserve">5 · Balance de situación pro-forma (6-sep-2026)</w:t>
      </w:r>
    </w:p>
    <w:p>
      <w:pPr>
        <w:spacing w:after="120" w:line="300"/>
      </w:pPr>
      <w:r>
        <w:t xml:space="preserve">NutriSync Collective S.L. aún no está constituida, así que esto es una posición de apertura pro-forma. Es corta a propósito: no hay deuda, no hay caja, y hay una base de activos construida con el tiempo de las fundadoras y el fundador.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00"/>
      </w:tblGrid>
      <w:tr>
        <w:trPr>
          <w:cantSplit/>
          <w:tblHeader/>
        </w:trPr>
        <w:tc>
          <w:tcPr>
            <w:tcW w:type="dxa" w:w="5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Concepto</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Nota</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ACTIVO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Tesorería</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Sin cuenta societaria hasta la constitución</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Inmovilizado intangible en curso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Todo a resultado — nada capitaliza sin revisión firmada (IAS 38)</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Producto construido (coste de reposición, fuera de balance)</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20.000 – 45.000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App iOS/Android, PWA, dos webs, backend, ERP interno</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PASIVO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Deuda con socios (cta. 2300)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762,29</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Facturas pagadas con tarjeta personal de un socio</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Compromisos no contabilizados</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1.500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Audidat DPD + RGPD, anual, al firmar</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Deuda financiera</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Ninguna</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PATRIMONIO NETO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Capital social</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3.000 € previstos al constituir</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Resultados acumulados</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-762,29</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Gasto imputado hasta hoy</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Aportación en especie de las fundadoras y el fundador</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20.000 – 45.000</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No contabilizada; ver apartado 6</w:t>
            </w:r>
          </w:p>
        </w:tc>
      </w:tr>
    </w:tbl>
    <w:p>
      <w:pPr>
        <w:spacing w:after="120" w:line="300"/>
      </w:pPr>
      <w:r>
        <w:rPr>
          <w:b/>
          <w:bCs/>
        </w:rPr>
        <w:t xml:space="preserve">Léase así: </w:t>
      </w:r>
      <w:r>
        <w:t xml:space="preserve">cada euro de la petición va a costes de caja que la sociedad no puede evitar. La construcción ya está pagada — con tiempo de las fundadoras y el fundador, no con dinero del inversor.</w:t>
      </w:r>
    </w:p>
    <w:p>
      <w:pPr>
        <w:pStyle w:val="Heading1"/>
        <w:keepNext/>
        <w:spacing w:after="150" w:before="340"/>
      </w:pPr>
      <w:r>
        <w:t xml:space="preserve">6 · Servicios profesionales (fuera de la petición)</w:t>
      </w:r>
    </w:p>
    <w:p>
      <w:pPr>
        <w:spacing w:after="120" w:line="300"/>
      </w:pPr>
      <w:r>
        <w:t xml:space="preserve">Los cuatro —Lucía (diseño), Pilar (deontología y cumplimiento), Juanjo (producto e ingeniería), Mapi (marketing)— más Constanza (nutrición) han trabajado sin cobrar. Esta es la aportación en especie que ya está dentro de la sociedad: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00"/>
      </w:tblGrid>
      <w:tr>
        <w:trPr>
          <w:cantSplit/>
          <w:tblHeader/>
        </w:trPr>
        <w:tc>
          <w:tcPr>
            <w:tcW w:type="dxa" w:w="5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pPr>
            <w:r>
              <w:rPr>
                <w:b/>
                <w:bCs/>
                <w:sz w:val="19"/>
                <w:szCs w:val="19"/>
              </w:rPr>
              <w:t xml:space="preserve">Persona / rol</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Aportado hasta hoy</w:t>
            </w:r>
          </w:p>
        </w:tc>
        <w:tc>
          <w:tcPr>
            <w:tcW w:type="dxa" w:w="2200"/>
            <w:tcBorders>
              <w:top w:val="single" w:color="E6DED3" w:sz="3"/>
              <w:left w:val="none" w:color="FFFFFF" w:sz="0"/>
              <w:bottom w:val="single" w:color="E6DED3" w:sz="3"/>
              <w:right w:val="none" w:color="FFFFFF" w:sz="0"/>
            </w:tcBorders>
            <w:shd w:fill="FFF4EC" w:color="auto" w:val="clear"/>
            <w:tcMar>
              <w:top w:type="dxa" w:w="70"/>
              <w:left w:type="dxa" w:w="110"/>
              <w:bottom w:type="dxa" w:w="70"/>
              <w:right w:type="dxa" w:w="110"/>
            </w:tcMar>
          </w:tcPr>
          <w:p>
            <w:pPr>
              <w:spacing w:after="0" w:line="260"/>
              <w:jc w:val="right"/>
            </w:pPr>
            <w:r>
              <w:rPr>
                <w:b/>
                <w:bCs/>
                <w:sz w:val="19"/>
                <w:szCs w:val="19"/>
              </w:rPr>
              <w:t xml:space="preserve">Valoración</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Juanjo · producto e ingeniería</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 330–400 h (jul–sep; 124 h de julio declaradas)</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20.000 – 45.000 €</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Lucía · diseño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Figma de la app y de la Web V2, Design System</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Horas pendientes</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Pilar · deontología y cumplimiento</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Guías clínicas, líneas rojas, RGPD</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Horas pendientes</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Mapi · marketing</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Contenido y comunidad</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Horas pendientes</w:t>
            </w:r>
          </w:p>
        </w:tc>
      </w:tr>
      <w:tr>
        <w:trPr>
          <w:cantSplit/>
        </w:trPr>
        <w:tc>
          <w:tcPr>
            <w:tcW w:type="dxa" w:w="5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pPr>
            <w:r>
              <w:rPr>
                <w:b w:val="false"/>
                <w:bCs w:val="false"/>
                <w:sz w:val="19"/>
                <w:szCs w:val="19"/>
              </w:rPr>
              <w:t xml:space="preserve">Constanza · nutrición</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Scoring por fase del ciclo, umbral de confianza</w:t>
            </w:r>
          </w:p>
        </w:tc>
        <w:tc>
          <w:tcPr>
            <w:tcW w:type="dxa" w:w="2200"/>
            <w:tcBorders>
              <w:top w:val="single" w:color="E6DED3" w:sz="3"/>
              <w:left w:val="none" w:color="FFFFFF" w:sz="0"/>
              <w:bottom w:val="single" w:color="E6DED3" w:sz="3"/>
              <w:right w:val="none" w:color="FFFFFF" w:sz="0"/>
            </w:tcBorders>
            <w:tcMar>
              <w:top w:type="dxa" w:w="70"/>
              <w:left w:type="dxa" w:w="110"/>
              <w:bottom w:type="dxa" w:w="70"/>
              <w:right w:type="dxa" w:w="110"/>
            </w:tcMar>
          </w:tcPr>
          <w:p>
            <w:pPr>
              <w:spacing w:after="0" w:line="260"/>
              <w:jc w:val="right"/>
            </w:pPr>
            <w:r>
              <w:rPr>
                <w:b w:val="false"/>
                <w:bCs w:val="false"/>
                <w:sz w:val="19"/>
                <w:szCs w:val="19"/>
              </w:rPr>
              <w:t xml:space="preserve">Horas pendientes</w:t>
            </w:r>
          </w:p>
        </w:tc>
      </w:tr>
    </w:tbl>
    <w:p>
      <w:pPr>
        <w:spacing w:after="120" w:line="300"/>
      </w:pPr>
      <w:r>
        <w:t xml:space="preserve">Valorado a 60–111 €/hora (la tarifa declarada en nuestra propia hoja de costes). Las horas de Lucía, Pilar y Mapi están por declarar: la cifra crecerá. </w:t>
      </w:r>
      <w:r>
        <w:rPr>
          <w:b/>
          <w:bCs/>
        </w:rPr>
        <w:t xml:space="preserve">Nada de este apartado forma parte de la petición de 15–25 k€</w:t>
      </w:r>
      <w:r>
        <w:t xml:space="preserve">; es aquello en lo que la ronda entra.</w:t>
      </w:r>
    </w:p>
    <w:p>
      <w:pPr>
        <w:pStyle w:val="Heading1"/>
        <w:keepNext/>
        <w:spacing w:after="150" w:before="340"/>
      </w:pPr>
      <w:r>
        <w:t xml:space="preserve">7 · Lo que esta petición no incluye</w:t>
      </w:r>
    </w:p>
    <w:p>
      <w:pPr>
        <w:pStyle w:val="ListParagraph"/>
        <w:numPr>
          <w:ilvl w:val="0"/>
          <w:numId w:val="3"/>
        </w:numPr>
        <w:spacing w:after="70" w:line="290"/>
      </w:pPr>
      <w:r>
        <w:t xml:space="preserve">Salarios de las fundadoras y el fundador. No están en ninguno de los dos escenarios; una retribución modesta sería lo primero que pagaría una ronda mayor.</w:t>
      </w:r>
    </w:p>
    <w:p>
      <w:pPr>
        <w:pStyle w:val="ListParagraph"/>
        <w:numPr>
          <w:ilvl w:val="0"/>
          <w:numId w:val="3"/>
        </w:numPr>
        <w:spacing w:after="70" w:line="290"/>
      </w:pPr>
      <w:r>
        <w:t xml:space="preserve">Capital social de la S.L. (3.000 €) — aportación de las socias, no gasto.</w:t>
      </w:r>
    </w:p>
    <w:p>
      <w:pPr>
        <w:pStyle w:val="ListParagraph"/>
        <w:numPr>
          <w:ilvl w:val="0"/>
          <w:numId w:val="3"/>
        </w:numPr>
        <w:spacing w:after="70" w:line="290"/>
      </w:pPr>
      <w:r>
        <w:t xml:space="preserve">Los costes de la ronda semilla modelados en nuestro modelo financiero v2 (equipo, captación pagada a escala): este puente es lo que nos lleva a esa conversación.</w:t>
      </w:r>
    </w:p>
    <w:p>
      <w:pPr>
        <w:pStyle w:val="ListParagraph"/>
        <w:numPr>
          <w:ilvl w:val="0"/>
          <w:numId w:val="3"/>
        </w:numPr>
        <w:spacing w:after="70" w:line="290"/>
      </w:pPr>
      <w:r>
        <w:t xml:space="preserve">Honorarios de Intelectium por financiación pública (ENISA / CDTI): solo a éxito, 4,5–9 % de lo que realmente se obtenga y pagadero con esa misma financiación.</w:t>
      </w:r>
    </w:p>
    <w:p>
      <w:pPr>
        <w:pStyle w:val="Heading1"/>
        <w:keepNext/>
        <w:spacing w:after="150" w:before="340"/>
      </w:pPr>
      <w:r>
        <w:t xml:space="preserve">8 · Supuestos y avisos honestos</w:t>
      </w:r>
    </w:p>
    <w:p>
      <w:pPr>
        <w:pStyle w:val="ListParagraph"/>
        <w:numPr>
          <w:ilvl w:val="0"/>
          <w:numId w:val="3"/>
        </w:numPr>
        <w:spacing w:after="70" w:line="290"/>
      </w:pPr>
      <w:r>
        <w:t xml:space="preserve">Los datos reales son facturas del correo del socio, convertidas al tipo BCE del día del cargo y asentadas por partida doble en el ERP interno.</w:t>
      </w:r>
    </w:p>
    <w:p>
      <w:pPr>
        <w:pStyle w:val="ListParagraph"/>
        <w:numPr>
          <w:ilvl w:val="0"/>
          <w:numId w:val="3"/>
        </w:numPr>
        <w:spacing w:after="70" w:line="290"/>
      </w:pPr>
      <w:r>
        <w:t xml:space="preserve">Supabase, GitHub, IONOS y la cuota de Apple Developer siguen pendientes de que lleguen las facturas a las cuentas que las reciben; van estimadas a precio de lista y marcadas como tales en el libro de cálculo.</w:t>
      </w:r>
    </w:p>
    <w:p>
      <w:pPr>
        <w:pStyle w:val="ListParagraph"/>
        <w:numPr>
          <w:ilvl w:val="0"/>
          <w:numId w:val="3"/>
        </w:numPr>
        <w:spacing w:after="70" w:line="290"/>
      </w:pPr>
      <w:r>
        <w:t xml:space="preserve">Las licencias de IA se imputan al 80 % (Claude) y al 40 % (ChatGPT); el resto es uso personal y se queda fuera de los libros.</w:t>
      </w:r>
    </w:p>
    <w:p>
      <w:pPr>
        <w:pStyle w:val="ListParagraph"/>
        <w:numPr>
          <w:ilvl w:val="0"/>
          <w:numId w:val="3"/>
        </w:numPr>
        <w:spacing w:after="70" w:line="290"/>
      </w:pPr>
      <w:r>
        <w:t xml:space="preserve">Los rangos son escenarios, no barras de error: el mínimo es un plan real, no un suelo.</w:t>
      </w:r>
    </w:p>
    <w:p>
      <w:pPr>
        <w:pStyle w:val="ListParagraph"/>
        <w:numPr>
          <w:ilvl w:val="0"/>
          <w:numId w:val="3"/>
        </w:numPr>
        <w:spacing w:after="70" w:line="290"/>
      </w:pPr>
      <w:r>
        <w:t xml:space="preserve">La contingencia es del 10 % en los dos escenarios.</w:t>
      </w:r>
    </w:p>
    <w:p>
      <w:pPr>
        <w:spacing w:after="0" w:line="300"/>
      </w:pPr>
      <w:r>
        <w:t xml:space="preserve">Este documento acompaña al libro de cálculo </w:t>
      </w:r>
      <w:r>
        <w:rPr>
          <w:b/>
          <w:bCs/>
        </w:rPr>
        <w:t xml:space="preserve">NutriSync-Presupuesto-2026-2027.xlsx</w:t>
      </w:r>
      <w:r>
        <w:t xml:space="preserve"> (detalle línea a línea, actuales y balance) y vive en el Builders Hub, en 💶 Finanzas.</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78"/>
        <w:sz w:val="16"/>
        <w:szCs w:val="16"/>
      </w:rPr>
      <w:t xml:space="preserve">NutriSync Collective · Funding need 2026–2027 · 6 Sep 2026 · page </w:t>
    </w:r>
    <w:r>
      <w:rPr>
        <w:color w:val="8A7F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bullet"/>
      <w:lvlText w:val="•"/>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pPr>
    <w:rPr>
      <w:rFonts w:ascii="Calibri" w:cs="Calibri" w:eastAsia="Calibri" w:hAnsi="Calibri"/>
      <w:b/>
      <w:bCs/>
      <w:color w:val="241D1A"/>
      <w:sz w:val="42"/>
      <w:szCs w:val="42"/>
    </w:rPr>
  </w:style>
  <w:style w:type="paragraph" w:styleId="Heading1">
    <w:name w:val="Heading 1"/>
    <w:basedOn w:val="Normal"/>
    <w:next w:val="Normal"/>
    <w:qFormat/>
    <w:pPr>
      <w:spacing w:after="150" w:before="340"/>
      <w:outlineLvl w:val="0"/>
    </w:pPr>
    <w:rPr>
      <w:rFonts w:ascii="Calibri" w:cs="Calibri" w:eastAsia="Calibri" w:hAnsi="Calibri"/>
      <w:b/>
      <w:bCs/>
      <w:color w:val="C73A20"/>
      <w:sz w:val="28"/>
      <w:szCs w:val="28"/>
    </w:rPr>
  </w:style>
  <w:style w:type="paragraph" w:styleId="Heading2">
    <w:name w:val="Heading 2"/>
    <w:basedOn w:val="Normal"/>
    <w:next w:val="Normal"/>
    <w:qFormat/>
    <w:pPr>
      <w:spacing w:after="90" w:before="240"/>
      <w:outlineLvl w:val="1"/>
    </w:pPr>
    <w:rPr>
      <w:rFonts w:ascii="Calibri" w:cs="Calibri" w:eastAsia="Calibri" w:hAnsi="Calibri"/>
      <w:b/>
      <w:bCs/>
      <w:color w:val="241D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NutriSync · Funding need 2026–2027 / Necesidad de financiación</dc:title>
  <dc:creator>NutriSync Collective</dc:creator>
  <cp:lastModifiedBy>Un-named</cp:lastModifiedBy>
  <cp:revision>1</cp:revision>
  <dcterms:created xsi:type="dcterms:W3CDTF">2026-09-06T17:36:26.306Z</dcterms:created>
  <dcterms:modified xsi:type="dcterms:W3CDTF">2026-09-06T17:36:26.306Z</dcterms:modified>
</cp:coreProperties>
</file>

<file path=docProps/custom.xml><?xml version="1.0" encoding="utf-8"?>
<Properties xmlns="http://schemas.openxmlformats.org/officeDocument/2006/custom-properties" xmlns:vt="http://schemas.openxmlformats.org/officeDocument/2006/docPropsVTypes"/>
</file>