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b/>
          <w:color w:val="BF5037"/>
          <w:sz w:val="46"/>
        </w:rPr>
        <w:t>NutriSync | Answers for Tony</w:t>
      </w:r>
    </w:p>
    <w:p>
      <w:pPr>
        <w:spacing w:after="20"/>
      </w:pPr>
      <w:r>
        <w:rPr>
          <w:b/>
          <w:color w:val="CF5033"/>
          <w:sz w:val="26"/>
        </w:rPr>
        <w:t>Nutrition that moooves with your Cycle</w:t>
      </w:r>
    </w:p>
    <w:p>
      <w:pPr>
        <w:spacing w:after="100"/>
      </w:pPr>
      <w:r>
        <w:rPr>
          <w:b w:val="0"/>
          <w:color w:val="343434"/>
          <w:sz w:val="20"/>
        </w:rPr>
        <w:t>A community-led app for women.</w:t>
      </w:r>
    </w:p>
    <w:p>
      <w:r>
        <w:rPr>
          <w:b/>
          <w:sz w:val="18"/>
        </w:rPr>
        <w:t>Discussion brief · 8 September 2026 · Version 1.1 · For founder approval</w:t>
      </w:r>
    </w:p>
    <w:p>
      <w:pPr>
        <w:spacing w:before="100" w:after="160"/>
        <w:ind w:left="187" w:right="187"/>
        <w:shd w:fill="F8F1E9"/>
      </w:pPr>
      <w:r>
        <w:rPr>
          <w:b/>
        </w:rPr>
        <w:t>We intend to move NutriSync forward with or without external investment. Our own capabilities support a focused starting point; investment would accelerate execution, not create our commitment to the business.</w:t>
      </w:r>
    </w:p>
    <w:p>
      <w:pPr>
        <w:pStyle w:val="Heading2"/>
        <w:spacing w:before="140" w:after="60"/>
      </w:pPr>
      <w:r>
        <w:rPr>
          <w:sz w:val="20"/>
        </w:rPr>
        <w:t>1. What is the value proposition?</w:t>
      </w:r>
    </w:p>
    <w:p>
      <w:r>
        <w:rPr>
          <w:sz w:val="19"/>
        </w:rPr>
        <w:t xml:space="preserve">A </w:t>
      </w:r>
      <w:r>
        <w:rPr>
          <w:b/>
          <w:sz w:val="19"/>
        </w:rPr>
        <w:t>woman-centred, cycle-aware and community-led app</w:t>
      </w:r>
      <w:r>
        <w:rPr>
          <w:sz w:val="19"/>
        </w:rPr>
        <w:t>, designed around her needs—not a feature list. Nutrition is the starting point for holistic support across movement, recovery and self-reported wellbeing. Expert-reviewed guidance and voluntary shared experiences offer more than logged data. Personalisation and community value must be demonstrated, not assumed.</w:t>
      </w:r>
    </w:p>
    <w:p>
      <w:pPr>
        <w:pStyle w:val="Heading2"/>
        <w:spacing w:before="140" w:after="60"/>
      </w:pPr>
      <w:r>
        <w:rPr>
          <w:sz w:val="20"/>
        </w:rPr>
        <w:t>2. Why have we discussed €15–25K and €250–350K?</w:t>
      </w:r>
    </w:p>
    <w:p>
      <w:r>
        <w:rPr>
          <w:sz w:val="19"/>
        </w:rPr>
        <w:t xml:space="preserve">They fund different scopes. </w:t>
      </w:r>
      <w:r>
        <w:rPr>
          <w:b/>
          <w:sz w:val="19"/>
        </w:rPr>
        <w:t>€15–25K</w:t>
      </w:r>
      <w:r>
        <w:rPr>
          <w:sz w:val="19"/>
        </w:rPr>
        <w:t xml:space="preserve"> is a narrow operating bridge supported by founder execution. </w:t>
      </w:r>
      <w:r>
        <w:rPr>
          <w:b/>
          <w:sz w:val="19"/>
        </w:rPr>
        <w:t>€250–350K</w:t>
      </w:r>
      <w:r>
        <w:rPr>
          <w:sz w:val="19"/>
        </w:rPr>
        <w:t xml:space="preserve"> funds a proposed 12-month launch-and-validation programme. They are not competing valuations or automatically additive. Reconcile the earlier 'around €30K' estimate against the scoped bridge.</w:t>
      </w:r>
    </w:p>
    <w:p>
      <w:pPr>
        <w:pStyle w:val="Heading2"/>
        <w:spacing w:before="140" w:after="60"/>
      </w:pPr>
      <w:r>
        <w:rPr>
          <w:sz w:val="20"/>
        </w:rPr>
        <w:t>3. What would €2M buy that the smaller plan would not?</w:t>
      </w:r>
    </w:p>
    <w:p>
      <w:r>
        <w:rPr>
          <w:sz w:val="19"/>
        </w:rPr>
        <w:t>A proposed 24-month Spain programme: stronger product delivery, cycle-aware content, facilitated community support, professional and organisation distribution, measured marketing, cloud reliability and safety/evaluation. It also funds bounded pregnancy development and international feasibility without abandoning the core proposition.</w:t>
      </w:r>
    </w:p>
    <w:p>
      <w:pPr>
        <w:pStyle w:val="Heading2"/>
        <w:spacing w:before="140" w:after="60"/>
      </w:pPr>
      <w:r>
        <w:rPr>
          <w:sz w:val="20"/>
        </w:rPr>
        <w:t>4. What would €5M buy beyond €2M?</w:t>
      </w:r>
    </w:p>
    <w:p>
      <w:r>
        <w:rPr>
          <w:sz w:val="19"/>
        </w:rPr>
        <w:t>More parallel delivery: richer programmes, community facilitation and moderation, gated marketing and partnership capacity, a separately reviewed pregnancy product, and selected international readiness/pilots. It does not mean launching everywhere or spending before acquisition and retention justify it.</w:t>
      </w:r>
    </w:p>
    <w:p>
      <w:pPr>
        <w:pStyle w:val="Heading2"/>
        <w:spacing w:before="140" w:after="60"/>
      </w:pPr>
      <w:r>
        <w:rPr>
          <w:sz w:val="20"/>
        </w:rPr>
        <w:t>5. How will we take a reasonable share of the market?</w:t>
      </w:r>
    </w:p>
    <w:p>
      <w:r>
        <w:rPr>
          <w:sz w:val="19"/>
        </w:rPr>
        <w:t>Start in Spain with the woman, her cycle and her community at the core. Combine member/creator advocacy and digital acquisition with gyms, professionals and employers. Connect ATL awareness to BTL workshops, roadshows, sports events and retail/mall activations. Measure useful action, voluntary participation, payment and retention—not an arbitrary share of TAM.</w:t>
      </w:r>
    </w:p>
    <w:p>
      <w:pPr>
        <w:pStyle w:val="Heading2"/>
        <w:spacing w:before="140" w:after="60"/>
      </w:pPr>
      <w:r>
        <w:rPr>
          <w:sz w:val="20"/>
        </w:rPr>
        <w:t>6. Does international expansion mean Europe only?</w:t>
      </w:r>
    </w:p>
    <w:p>
      <w:r>
        <w:rPr>
          <w:sz w:val="19"/>
        </w:rPr>
        <w:t xml:space="preserve">No. </w:t>
      </w:r>
      <w:r>
        <w:rPr>
          <w:b/>
          <w:sz w:val="19"/>
        </w:rPr>
        <w:t>Australia and Singapore are exploration candidates</w:t>
      </w:r>
      <w:r>
        <w:rPr>
          <w:sz w:val="19"/>
        </w:rPr>
        <w:t>, alongside selected European/UK and LATAM markets. Lucía's Singapore PR status and digital-sector contacts support introductions. Government support depends on the company, ownership, project and scheme—not PR status alone. No prospective grant or agreement is counted as cash.</w:t>
      </w:r>
    </w:p>
    <w:p>
      <w:pPr>
        <w:pStyle w:val="Heading2"/>
        <w:spacing w:before="140" w:after="60"/>
      </w:pPr>
      <w:r>
        <w:rPr>
          <w:sz w:val="20"/>
        </w:rPr>
        <w:t>7. Why does a cloud business need this investment?</w:t>
      </w:r>
    </w:p>
    <w:p>
      <w:r>
        <w:rPr>
          <w:sz w:val="19"/>
        </w:rPr>
        <w:t>Cloud delivery avoids owned infrastructure and hardware manufacturing, not the cost of people, reviewed content, community moderation, acquisition, AI/media usage, cybersecurity, support or country-specific legal, privacy, tax and regulatory preparation.</w:t>
      </w:r>
    </w:p>
    <w:p>
      <w:pPr>
        <w:pStyle w:val="Heading2"/>
        <w:spacing w:before="140" w:after="60"/>
      </w:pPr>
      <w:r>
        <w:rPr>
          <w:sz w:val="20"/>
        </w:rPr>
        <w:t>8. What return and investment structure can we offer?</w:t>
      </w:r>
    </w:p>
    <w:p>
      <w:r>
        <w:rPr>
          <w:sz w:val="19"/>
        </w:rPr>
        <w:t>Scenario-based returns must show entry valuation, ownership, later dilution and possible exit proceeds—not guaranteed ROI. Choose the instrument and amount against the next evidenced milestone after financial and legal review. We continue within committed capacity; investment changes the pace.</w:t>
      </w:r>
    </w:p>
    <w:p>
      <w:r>
        <w:rPr>
          <w:i/>
          <w:color w:val="6D625D"/>
          <w:sz w:val="16"/>
        </w:rPr>
        <w:t>Funding figures are alternative planning envelopes, not validated forecasts or signed commitments. Detailed assumptions, source references and annexes accompany the full proposal.</w:t>
      </w:r>
    </w:p>
    <w:sectPr w:rsidR="00FC693F" w:rsidRPr="0006063C" w:rsidSect="00034616">
      <w:headerReference w:type="default" r:id="rId9"/>
      <w:footerReference w:type="default" r:id="rId10"/>
      <w:pgSz w:w="11905" w:h="16838"/>
      <w:pgMar w:top="763" w:right="922" w:bottom="720" w:left="922" w:header="374"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pPr>
    <w:r>
      <w:rPr>
        <w:color w:val="6D625D"/>
        <w:sz w:val="16"/>
      </w:rPr>
      <w:t>Confidential discussion draft  ·  8 September 2026</w:t>
    </w:r>
    <w:r>
      <w:rPr>
        <w:sz w:val="16"/>
      </w:rPr>
      <w:t xml:space="preserve">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olor w:val="6D625D"/>
        <w:sz w:val="16"/>
      </w:rPr>
      <w:t>NUTRISYNC COLLECTIVE  /  MEETING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45" w:lineRule="auto"/>
    </w:pPr>
    <w:rPr>
      <w:rFonts w:ascii="Calibri" w:hAnsi="Calibri"/>
      <w:color w:val="28222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Calibri" w:hAnsi="Calibri"/>
      <w:b/>
      <w:bCs/>
      <w:color w:val="BF5037"/>
      <w:sz w:val="34"/>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Calibri" w:hAnsi="Calibri"/>
      <w:b/>
      <w:bCs/>
      <w:color w:val="282220"/>
      <w:sz w:val="25"/>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Calibri" w:hAnsi="Calibri"/>
      <w:b/>
      <w:bCs/>
      <w:color w:val="28222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8222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NutriSync | Tony Answers | Nutrition that moooves with your Cycle</dc:title>
  <dc:subject>Woman-centred, cycle-aware and community-led meeting brief</dc:subject>
  <dc:creator>NutriSync Collective</dc:creator>
  <cp:keywords>NutriSync; business proposition; capital options; Spain; Australia; Singapore</cp:keywords>
  <dc:description>generated by python-docx</dc:description>
  <cp:lastModifiedBy/>
  <cp:revision>1</cp:revision>
  <dcterms:created xsi:type="dcterms:W3CDTF">2013-12-23T23:15:00Z</dcterms:created>
  <dcterms:modified xsi:type="dcterms:W3CDTF">2013-12-23T23:15:00Z</dcterms:modified>
  <cp:category/>
  <cp:version>1.1</cp:version>
</cp:coreProperties>
</file>