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520"/>
      </w:pPr>
      <w:r>
        <w:rPr>
          <w:b/>
          <w:color w:val="BF5037"/>
          <w:sz w:val="26"/>
        </w:rPr>
        <w:t>NUTRISYNC COLLECTIVE</w:t>
      </w:r>
    </w:p>
    <w:p>
      <w:pPr>
        <w:pStyle w:val="Title"/>
        <w:spacing w:before="760" w:after="360"/>
      </w:pPr>
      <w:r>
        <w:t>Value Proposition,</w:t>
        <w:br/>
        <w:t>Business Model</w:t>
        <w:br/>
        <w:t>and Capital Options</w:t>
      </w:r>
    </w:p>
    <w:p>
      <w:r>
        <w:rPr>
          <w:b/>
          <w:color w:val="CF5033"/>
          <w:sz w:val="44"/>
        </w:rPr>
        <w:t>Nutrition that moooves</w:t>
        <w:br/>
        <w:t>with your Cycle</w:t>
      </w:r>
    </w:p>
    <w:p>
      <w:pPr>
        <w:spacing w:before="520"/>
      </w:pPr>
      <w:r>
        <w:rPr>
          <w:b w:val="0"/>
          <w:color w:val="343434"/>
          <w:sz w:val="26"/>
        </w:rPr>
        <w:t>A community-led app for women.</w:t>
      </w:r>
    </w:p>
    <w:p>
      <w:r>
        <w:rPr>
          <w:b/>
          <w:color w:val="343434"/>
          <w:sz w:val="28"/>
        </w:rPr>
        <w:t>€15–25K   /   €250–350K   /   €2–5M</w:t>
      </w:r>
    </w:p>
    <w:p>
      <w:pPr>
        <w:spacing w:after="400"/>
      </w:pPr>
      <w:r>
        <w:t>Spain-first execution. International exploration, including Australia and Singapore.</w:t>
      </w:r>
    </w:p>
    <w:p>
      <w:pPr>
        <w:shd w:fill="F8F1E9"/>
        <w:spacing w:after="360"/>
      </w:pPr>
      <w:r>
        <w:rPr/>
        <w:t>Our decision to build NutriSync is not conditional on an investment round. We intend to keep progressing through our own capabilities, disciplined spending and revenue as it is earned. External capital would change the pace, breadth and resilience of execution—not create the underlying commitment.</w:t>
      </w:r>
    </w:p>
    <w:p>
      <w:r>
        <w:rPr>
          <w:color w:val="6A605B"/>
          <w:sz w:val="17"/>
        </w:rPr>
        <w:t>Discussion proposal | 8 September 2026 | Version 1.1 | English</w:t>
      </w:r>
    </w:p>
    <w:p>
      <w:r>
        <w:rPr>
          <w:color w:val="6D625D"/>
          <w:sz w:val="18"/>
        </w:rPr>
        <w:t>Budget and commercial examples are planning assumptions—not validated forecasts, signed agreements or guaranteed returns. Founder approval is required before external adoption.</w:t>
      </w:r>
    </w:p>
    <w:p>
      <w:r>
        <w:br w:type="page"/>
      </w:r>
    </w:p>
    <w:p>
      <w:pPr>
        <w:pStyle w:val="Heading1"/>
        <w:spacing w:before="0"/>
      </w:pPr>
      <w:r>
        <w:t>Contents</w:t>
      </w:r>
    </w:p>
    <w:p>
      <w:pPr>
        <w:spacing w:after="60" w:line="240" w:lineRule="auto"/>
      </w:pPr>
      <w:hyperlink w:anchor="section_1">
        <w:r>
          <w:rPr>
            <w:color w:val="BF5037"/>
          </w:rPr>
          <w:t>1. Executive business proposition</w:t>
        </w:r>
      </w:hyperlink>
    </w:p>
    <w:p>
      <w:pPr>
        <w:spacing w:after="60" w:line="240" w:lineRule="auto"/>
      </w:pPr>
      <w:hyperlink w:anchor="section_2">
        <w:r>
          <w:rPr>
            <w:color w:val="BF5037"/>
          </w:rPr>
          <w:t>2. Value for each participant</w:t>
        </w:r>
      </w:hyperlink>
    </w:p>
    <w:p>
      <w:pPr>
        <w:spacing w:after="60" w:line="240" w:lineRule="auto"/>
      </w:pPr>
      <w:hyperlink w:anchor="section_3">
        <w:r>
          <w:rPr>
            <w:color w:val="BF5037"/>
          </w:rPr>
          <w:t>3. What we can advance with our own capacity</w:t>
        </w:r>
      </w:hyperlink>
    </w:p>
    <w:p>
      <w:pPr>
        <w:spacing w:after="60" w:line="240" w:lineRule="auto"/>
      </w:pPr>
      <w:hyperlink w:anchor="section_4">
        <w:r>
          <w:rPr>
            <w:color w:val="BF5037"/>
          </w:rPr>
          <w:t>4. Three financing levels, one coherent strategy</w:t>
        </w:r>
      </w:hyperlink>
    </w:p>
    <w:p>
      <w:pPr>
        <w:spacing w:after="60" w:line="240" w:lineRule="auto"/>
      </w:pPr>
      <w:hyperlink w:anchor="section_5">
        <w:r>
          <w:rPr>
            <w:color w:val="BF5037"/>
          </w:rPr>
          <w:t>5. Proposed use of funds</w:t>
        </w:r>
      </w:hyperlink>
    </w:p>
    <w:p>
      <w:pPr>
        <w:spacing w:after="60" w:line="240" w:lineRule="auto"/>
      </w:pPr>
      <w:hyperlink w:anchor="section_6">
        <w:r>
          <w:rPr>
            <w:color w:val="BF5037"/>
          </w:rPr>
          <w:t>6. What larger capital accelerates</w:t>
        </w:r>
      </w:hyperlink>
    </w:p>
    <w:p>
      <w:pPr>
        <w:spacing w:after="60" w:line="240" w:lineRule="auto"/>
      </w:pPr>
      <w:hyperlink w:anchor="section_7">
        <w:r>
          <w:rPr>
            <w:color w:val="BF5037"/>
          </w:rPr>
          <w:t>7. Expert content and community: built around her cycle</w:t>
        </w:r>
      </w:hyperlink>
    </w:p>
    <w:p>
      <w:pPr>
        <w:spacing w:after="60" w:line="240" w:lineRule="auto"/>
      </w:pPr>
      <w:hyperlink w:anchor="section_8">
        <w:r>
          <w:rPr>
            <w:color w:val="BF5037"/>
          </w:rPr>
          <w:t>8. Distribution: how the proposition reaches users</w:t>
        </w:r>
      </w:hyperlink>
    </w:p>
    <w:p>
      <w:pPr>
        <w:spacing w:after="60" w:line="240" w:lineRule="auto"/>
      </w:pPr>
      <w:hyperlink w:anchor="section_9">
        <w:r>
          <w:rPr>
            <w:color w:val="BF5037"/>
          </w:rPr>
          <w:t>9. Marketing: ATL, BTL and the conversion journey</w:t>
        </w:r>
      </w:hyperlink>
    </w:p>
    <w:p>
      <w:pPr>
        <w:spacing w:after="60" w:line="240" w:lineRule="auto"/>
      </w:pPr>
      <w:hyperlink w:anchor="section_10">
        <w:r>
          <w:rPr>
            <w:color w:val="BF5037"/>
          </w:rPr>
          <w:t>10. Taking a reasonable share: a bottom-up acquisition plan</w:t>
        </w:r>
      </w:hyperlink>
    </w:p>
    <w:p>
      <w:pPr>
        <w:spacing w:after="60" w:line="240" w:lineRule="auto"/>
      </w:pPr>
      <w:hyperlink w:anchor="section_11">
        <w:r>
          <w:rPr>
            <w:color w:val="BF5037"/>
          </w:rPr>
          <w:t>11. Revenue model and unit economics</w:t>
        </w:r>
      </w:hyperlink>
    </w:p>
    <w:p>
      <w:pPr>
        <w:spacing w:after="60" w:line="240" w:lineRule="auto"/>
      </w:pPr>
      <w:hyperlink w:anchor="section_12">
        <w:r>
          <w:rPr>
            <w:color w:val="BF5037"/>
          </w:rPr>
          <w:t>12. Cloud operating model and international cost</w:t>
        </w:r>
      </w:hyperlink>
    </w:p>
    <w:p>
      <w:pPr>
        <w:spacing w:after="60" w:line="240" w:lineRule="auto"/>
      </w:pPr>
      <w:hyperlink w:anchor="section_13">
        <w:r>
          <w:rPr>
            <w:color w:val="BF5037"/>
          </w:rPr>
          <w:t>13. International expansion: markets to explore, not promises</w:t>
        </w:r>
      </w:hyperlink>
    </w:p>
    <w:p>
      <w:pPr>
        <w:spacing w:after="60" w:line="240" w:lineRule="auto"/>
      </w:pPr>
      <w:hyperlink w:anchor="section_14">
        <w:r>
          <w:rPr>
            <w:color w:val="BF5037"/>
          </w:rPr>
          <w:t>14. Legal and compliance are expansion investments</w:t>
        </w:r>
      </w:hyperlink>
    </w:p>
    <w:p>
      <w:pPr>
        <w:spacing w:after="60" w:line="240" w:lineRule="auto"/>
      </w:pPr>
      <w:hyperlink w:anchor="section_15">
        <w:r>
          <w:rPr>
            <w:color w:val="BF5037"/>
          </w:rPr>
          <w:t>15. Pregnancy and postpartum: a governed extension</w:t>
        </w:r>
      </w:hyperlink>
    </w:p>
    <w:p>
      <w:pPr>
        <w:spacing w:after="60" w:line="240" w:lineRule="auto"/>
      </w:pPr>
      <w:hyperlink w:anchor="section_16">
        <w:r>
          <w:rPr>
            <w:color w:val="BF5037"/>
          </w:rPr>
          <w:t>16. Competition, innovation and a potential blue-ocean position</w:t>
        </w:r>
      </w:hyperlink>
    </w:p>
    <w:p>
      <w:pPr>
        <w:spacing w:after="60" w:line="240" w:lineRule="auto"/>
      </w:pPr>
      <w:hyperlink w:anchor="section_17">
        <w:r>
          <w:rPr>
            <w:color w:val="BF5037"/>
          </w:rPr>
          <w:t>17. Trust: measured, estimated, reported and recommended</w:t>
        </w:r>
      </w:hyperlink>
    </w:p>
    <w:p>
      <w:pPr>
        <w:spacing w:after="60" w:line="240" w:lineRule="auto"/>
      </w:pPr>
      <w:hyperlink w:anchor="section_18">
        <w:r>
          <w:rPr>
            <w:color w:val="BF5037"/>
          </w:rPr>
          <w:t>18. Milestones, capital release and the next 90 days</w:t>
        </w:r>
      </w:hyperlink>
    </w:p>
    <w:p>
      <w:pPr>
        <w:spacing w:after="60" w:line="240" w:lineRule="auto"/>
      </w:pPr>
      <w:hyperlink w:anchor="section_19">
        <w:r>
          <w:rPr>
            <w:color w:val="BF5037"/>
          </w:rPr>
          <w:t>19. Investor return, valuation and deal structure</w:t>
        </w:r>
      </w:hyperlink>
    </w:p>
    <w:p>
      <w:pPr>
        <w:spacing w:after="60" w:line="240" w:lineRule="auto"/>
      </w:pPr>
      <w:hyperlink w:anchor="section_20">
        <w:r>
          <w:rPr>
            <w:color w:val="BF5037"/>
          </w:rPr>
          <w:t>20. Proposed meeting position</w:t>
        </w:r>
      </w:hyperlink>
    </w:p>
    <w:p>
      <w:pPr>
        <w:spacing w:after="60" w:line="240" w:lineRule="auto" w:before="180"/>
      </w:pPr>
      <w:hyperlink w:anchor="section_21">
        <w:r>
          <w:rPr>
            <w:color w:val="BF5037"/>
          </w:rPr>
          <w:t>Annex A. Source register and document relationships</w:t>
        </w:r>
      </w:hyperlink>
    </w:p>
    <w:p>
      <w:pPr>
        <w:spacing w:after="60" w:line="240" w:lineRule="auto"/>
      </w:pPr>
      <w:hyperlink w:anchor="section_22">
        <w:r>
          <w:rPr>
            <w:color w:val="BF5037"/>
          </w:rPr>
          <w:t>Annex B. Product and innovation source brief</w:t>
        </w:r>
      </w:hyperlink>
    </w:p>
    <w:p>
      <w:pPr>
        <w:spacing w:after="60" w:line="240" w:lineRule="auto"/>
      </w:pPr>
      <w:hyperlink w:anchor="section_23">
        <w:r>
          <w:rPr>
            <w:color w:val="BF5037"/>
          </w:rPr>
          <w:t>Annex C. Company write-up: commercial applications</w:t>
        </w:r>
      </w:hyperlink>
    </w:p>
    <w:p>
      <w:pPr>
        <w:spacing w:after="60" w:line="240" w:lineRule="auto"/>
      </w:pPr>
      <w:hyperlink w:anchor="section_24">
        <w:r>
          <w:rPr>
            <w:color w:val="BF5037"/>
          </w:rPr>
          <w:t>Annex D. Competitor analysis overview</w:t>
        </w:r>
      </w:hyperlink>
    </w:p>
    <w:p>
      <w:pPr>
        <w:spacing w:after="60" w:line="240" w:lineRule="auto"/>
      </w:pPr>
      <w:hyperlink w:anchor="section_25">
        <w:r>
          <w:rPr>
            <w:color w:val="BF5037"/>
          </w:rPr>
          <w:t>Annex E. Deck and financial reconciliation</w:t>
        </w:r>
      </w:hyperlink>
    </w:p>
    <w:p>
      <w:pPr>
        <w:spacing w:after="60" w:line="240" w:lineRule="auto"/>
      </w:pPr>
      <w:hyperlink w:anchor="section_26">
        <w:r>
          <w:rPr>
            <w:color w:val="BF5037"/>
          </w:rPr>
          <w:t>Annex F. Tony's questions and source-note treatment</w:t>
        </w:r>
      </w:hyperlink>
    </w:p>
    <w:p>
      <w:pPr>
        <w:spacing w:after="60" w:line="240" w:lineRule="auto"/>
      </w:pPr>
      <w:hyperlink w:anchor="section_27">
        <w:r>
          <w:rPr>
            <w:color w:val="BF5037"/>
          </w:rPr>
          <w:t>Annex G. Source screenshot and product-risk response</w:t>
        </w:r>
      </w:hyperlink>
    </w:p>
    <w:p>
      <w:pPr>
        <w:spacing w:after="60" w:line="240" w:lineRule="auto"/>
      </w:pPr>
      <w:hyperlink w:anchor="section_28">
        <w:r>
          <w:rPr>
            <w:color w:val="BF5037"/>
          </w:rPr>
          <w:t>Annex H. International support and readiness reference notes</w:t>
        </w:r>
      </w:hyperlink>
    </w:p>
    <w:p>
      <w:pPr>
        <w:spacing w:after="60" w:line="240" w:lineRule="auto"/>
      </w:pPr>
      <w:hyperlink w:anchor="section_29">
        <w:r>
          <w:rPr>
            <w:color w:val="BF5037"/>
          </w:rPr>
          <w:t>Annex I. Public references</w:t>
        </w:r>
      </w:hyperlink>
    </w:p>
    <w:p>
      <w:pPr>
        <w:spacing w:after="60" w:line="240" w:lineRule="auto"/>
      </w:pPr>
      <w:hyperlink w:anchor="section_30">
        <w:r>
          <w:rPr>
            <w:color w:val="BF5037"/>
          </w:rPr>
          <w:t>Annex J. Assumptions and approval record</w:t>
        </w:r>
      </w:hyperlink>
    </w:p>
    <w:p>
      <w:pPr>
        <w:spacing w:before="240"/>
      </w:pPr>
      <w:r>
        <w:rPr>
          <w:sz w:val="18"/>
        </w:rPr>
        <w:t>Source originals and reference briefs are supplied in the accompanying annex bundle. Annex A identifies which items are complete originals and which are reference/extract records.</w:t>
      </w:r>
    </w:p>
    <w:p>
      <w:r>
        <w:br w:type="page"/>
      </w:r>
    </w:p>
    <w:p>
      <w:bookmarkStart w:id="1" w:name="section_1"/>
      <w:pPr>
        <w:pStyle w:val="Heading1"/>
      </w:pPr>
      <w:r>
        <w:rPr/>
        <w:t>1. Executive business proposition</w:t>
      </w:r>
      <w:bookmarkEnd w:id="1"/>
    </w:p>
    <w:p>
      <w:r>
        <w:t xml:space="preserve">NutriSync is being developed as a </w:t>
      </w:r>
      <w:r>
        <w:rPr>
          <w:b/>
        </w:rPr>
        <w:t>community-led app for women, designed and developed with the woman at its core</w:t>
      </w:r>
      <w:r>
        <w:t xml:space="preserve">. Its promise is </w:t>
      </w:r>
      <w:r>
        <w:rPr>
          <w:b/>
        </w:rPr>
        <w:t>Nutrition that moooves with your Cycle</w:t>
      </w:r>
      <w:r>
        <w:t>. The product starts with her needs, preferences, lived experience and changing cycle context—not with a list of features. Nutrition is the brand's entry point into a holistic experience that connects food, exercise, movement, recovery, self-reported wellbeing and belonging.</w:t>
      </w:r>
    </w:p>
    <w:p>
      <w:r>
        <w:t xml:space="preserve">The customer promise is to </w:t>
      </w:r>
      <w:r>
        <w:rPr>
          <w:b/>
        </w:rPr>
        <w:t>feel understood, find practical support and make informed everyday choices within a supportive community</w:t>
      </w:r>
      <w:r>
        <w:t>. Her own account of energy, mood, comfort and priorities guides the experience. Expert-reviewed visual content, optional authorised wearable context and voluntary peer exchange support her choices; none replaces her judgement or clinical care. Cycle awareness adds context, not a rigid template that assumes every woman has the same needs or a 28-day cycle.</w:t>
      </w:r>
    </w:p>
    <w:p>
      <w:r>
        <w:t xml:space="preserve">The business has four connected assets to develop: a reusable library of professional content; a community that helps shape and support the experience; distribution through trusted people and organisations; and a measurable marketing system. </w:t>
      </w:r>
      <w:r>
        <w:rPr>
          <w:b/>
        </w:rPr>
        <w:t>Nutrition and exercise remain equally important capabilities, but the woman, her cycle and her community define the proposition.</w:t>
      </w:r>
      <w:r>
        <w:t xml:space="preserve"> A complete non-wearable and private-use route remains essential. This framing builds on Proposal 32 and the innovation work, with the founder's positioning clarification applied throughout. [S01, S03, S11]</w:t>
      </w:r>
    </w:p>
    <w:p>
      <w:r>
        <w:t>The recommended commercial order is subscription first, organisation-funded access second, and selected partner programmes third. Paid value should come from useful cycle-aware guidance, accessible programmes and an appropriately supported community—not simply more logged data. Sponsorship, events and services remain separate from recurring software revenue. Selling health profiles, sponsor influence over recommendations and speculative data monetisation are excluded.</w:t>
      </w:r>
    </w:p>
    <w:p>
      <w:r>
        <w:rPr/>
        <w:t>Investment is an option for acceleration. The smaller funding levels are not inconsistent with a larger ambition: they buy different scopes. A €15–25K operating bridge supports a narrow founder-led stage; €250–350K supports a staffed launch-and-validation programme; €2M supports organised execution in Spain; €5M enables more parallel work and a controlled international option. None automatically guarantees product-market fit or profitability.</w:t>
      </w:r>
    </w:p>
    <w:p>
      <w:pPr>
        <w:pStyle w:val="Heading2"/>
      </w:pPr>
      <w:r>
        <w:t>1.1 Brand promise and consumer introduction</w:t>
      </w:r>
    </w:p>
    <w:p>
      <w:pPr/>
      <w:r>
        <w:rPr>
          <w:b/>
        </w:rPr>
        <w:t>Nutrition that moooves with your Cycle</w:t>
      </w:r>
      <w:r>
        <w:br/>
        <w:t>Within a community-led app for women.</w:t>
      </w:r>
    </w:p>
    <w:p>
      <w:pPr/>
      <w:r>
        <w:rPr>
          <w:b/>
        </w:rPr>
        <w:t>Proposed consumer-facing introduction:</w:t>
      </w:r>
      <w:r>
        <w:t xml:space="preserve"> Go beyond cycle tracking. NutriSync is your cycle-smart nutrition guide within a community-led app for women who want more than logged data. Discover practical guidance that connects how you eat, move, recover and feel, with shared experiences and expert support. Join a community of women taking their nutrition and wellbeing seriously.</w:t>
      </w:r>
    </w:p>
    <w:p>
      <w:pPr/>
      <w:r>
        <w:t xml:space="preserve">The message is </w:t>
      </w:r>
      <w:r>
        <w:rPr>
          <w:b/>
        </w:rPr>
        <w:t>a holistic, woman-centred experience—not a generic tracker or a catalogue of food and fitness features</w:t>
      </w:r>
      <w:r>
        <w:t>. '360°' describes connected everyday support, not diagnosis, comprehensive medical coverage or guaranteed hormonal outcomes. Community-led means women inform priorities and participation; qualified reviewers remain responsible for health-related guidance. This is proposed positioning: publish feature, community-size or growth claims only when supported by the actual release and evidence.</w:t>
      </w:r>
    </w:p>
    <w:p>
      <w:bookmarkStart w:id="2" w:name="section_2"/>
      <w:pPr>
        <w:pStyle w:val="Heading1"/>
      </w:pPr>
      <w:r>
        <w:rPr/>
        <w:t>2. Value for each participant</w:t>
      </w:r>
      <w:bookmarkEnd w:id="2"/>
    </w:p>
    <w:tbl>
      <w:tblPr>
        <w:tblW w:type="auto" w:w="0"/>
        <w:jc w:val="center"/>
        <w:tblLayout w:type="fixed"/>
        <w:tblLook w:firstColumn="1" w:firstRow="1" w:lastColumn="0" w:lastRow="0" w:noHBand="0" w:noVBand="1" w:val="04A0"/>
      </w:tblPr>
      <w:tblGrid>
        <w:gridCol w:w="2419"/>
        <w:gridCol w:w="3773"/>
        <w:gridCol w:w="3755"/>
      </w:tblGrid>
      <w:tr>
        <w:trPr>
          <w:cantSplit/>
          <w:tblHeader/>
        </w:trPr>
        <w:tc>
          <w:tcPr>
            <w:tcW w:type="dxa" w:w="2419"/>
            <w:vAlign w:val="center"/>
            <w:tcMar>
              <w:top w:w="75" w:type="dxa"/>
              <w:bottom w:w="75" w:type="dxa"/>
              <w:left w:w="85" w:type="dxa"/>
              <w:right w:w="85" w:type="dxa"/>
            </w:tcMar>
            <w:shd w:fill="282220"/>
          </w:tcPr>
          <w:p>
            <w:pPr>
              <w:spacing w:after="0" w:line="250" w:lineRule="auto"/>
            </w:pPr>
            <w:r>
              <w:rPr>
                <w:b/>
                <w:color w:val="FFFFFF"/>
                <w:sz w:val="18"/>
              </w:rPr>
              <w:t>Participant</w:t>
            </w:r>
          </w:p>
        </w:tc>
        <w:tc>
          <w:tcPr>
            <w:tcW w:type="dxa" w:w="3773"/>
            <w:vAlign w:val="center"/>
            <w:tcMar>
              <w:top w:w="75" w:type="dxa"/>
              <w:bottom w:w="75" w:type="dxa"/>
              <w:left w:w="85" w:type="dxa"/>
              <w:right w:w="85" w:type="dxa"/>
            </w:tcMar>
            <w:shd w:fill="282220"/>
          </w:tcPr>
          <w:p>
            <w:pPr>
              <w:spacing w:after="0" w:line="250" w:lineRule="auto"/>
            </w:pPr>
            <w:r>
              <w:rPr>
                <w:b/>
                <w:color w:val="FFFFFF"/>
                <w:sz w:val="18"/>
              </w:rPr>
              <w:t>Practical value proposition</w:t>
            </w:r>
          </w:p>
        </w:tc>
        <w:tc>
          <w:tcPr>
            <w:tcW w:type="dxa" w:w="3755"/>
            <w:vAlign w:val="center"/>
            <w:tcMar>
              <w:top w:w="75" w:type="dxa"/>
              <w:bottom w:w="75" w:type="dxa"/>
              <w:left w:w="85" w:type="dxa"/>
              <w:right w:w="85" w:type="dxa"/>
            </w:tcMar>
            <w:shd w:fill="282220"/>
          </w:tcPr>
          <w:p>
            <w:pPr>
              <w:spacing w:after="0" w:line="250" w:lineRule="auto"/>
            </w:pPr>
            <w:r>
              <w:rPr>
                <w:b/>
                <w:color w:val="FFFFFF"/>
                <w:sz w:val="18"/>
              </w:rPr>
              <w:t>Evidence required</w:t>
            </w:r>
          </w:p>
        </w:tc>
      </w:tr>
      <w:tr>
        <w:trPr>
          <w:cantSplit/>
        </w:trPr>
        <w:tc>
          <w:tcPr>
            <w:tcW w:type="dxa" w:w="2419"/>
            <w:vAlign w:val="center"/>
            <w:tcMar>
              <w:top w:w="75" w:type="dxa"/>
              <w:bottom w:w="75" w:type="dxa"/>
              <w:left w:w="85" w:type="dxa"/>
              <w:right w:w="85" w:type="dxa"/>
            </w:tcMar>
            <w:shd w:fill="F8F1E9"/>
          </w:tcPr>
          <w:p>
            <w:pPr>
              <w:spacing w:after="0" w:line="250" w:lineRule="auto"/>
            </w:pPr>
            <w:r>
              <w:rPr>
                <w:sz w:val="18"/>
              </w:rPr>
              <w:t>Women using NutriSync</w:t>
            </w:r>
          </w:p>
        </w:tc>
        <w:tc>
          <w:tcPr>
            <w:tcW w:type="dxa" w:w="3773"/>
            <w:vAlign w:val="center"/>
            <w:tcMar>
              <w:top w:w="75" w:type="dxa"/>
              <w:bottom w:w="75" w:type="dxa"/>
              <w:left w:w="85" w:type="dxa"/>
              <w:right w:w="85" w:type="dxa"/>
            </w:tcMar>
            <w:shd w:fill="F8F1E9"/>
          </w:tcPr>
          <w:p>
            <w:pPr>
              <w:spacing w:after="0" w:line="250" w:lineRule="auto"/>
            </w:pPr>
            <w:r>
              <w:rPr>
                <w:sz w:val="18"/>
              </w:rPr>
              <w:t>Cycle-aware support designed around her needs and choices, with practical guidance, optional community participation and less fragmented self-care.</w:t>
            </w:r>
          </w:p>
        </w:tc>
        <w:tc>
          <w:tcPr>
            <w:tcW w:type="dxa" w:w="3755"/>
            <w:vAlign w:val="center"/>
            <w:tcMar>
              <w:top w:w="75" w:type="dxa"/>
              <w:bottom w:w="75" w:type="dxa"/>
              <w:left w:w="85" w:type="dxa"/>
              <w:right w:w="85" w:type="dxa"/>
            </w:tcMar>
            <w:shd w:fill="F8F1E9"/>
          </w:tcPr>
          <w:p>
            <w:pPr>
              <w:spacing w:after="0" w:line="250" w:lineRule="auto"/>
            </w:pPr>
            <w:r>
              <w:rPr>
                <w:sz w:val="18"/>
              </w:rPr>
              <w:t>Feeling understood, first useful action, belonging, repeat use, paid retention and safety feedback.</w:t>
            </w:r>
          </w:p>
        </w:tc>
      </w:tr>
      <w:tr>
        <w:trPr>
          <w:cantSplit/>
        </w:trPr>
        <w:tc>
          <w:tcPr>
            <w:tcW w:type="dxa" w:w="2419"/>
            <w:vAlign w:val="center"/>
            <w:tcMar>
              <w:top w:w="75" w:type="dxa"/>
              <w:bottom w:w="75" w:type="dxa"/>
              <w:left w:w="85" w:type="dxa"/>
              <w:right w:w="85" w:type="dxa"/>
            </w:tcMar>
          </w:tcPr>
          <w:p>
            <w:pPr>
              <w:spacing w:after="0" w:line="250" w:lineRule="auto"/>
            </w:pPr>
            <w:r>
              <w:rPr>
                <w:sz w:val="18"/>
              </w:rPr>
              <w:t>Nutritionists, chefs, trainers and physiotherapists</w:t>
            </w:r>
          </w:p>
        </w:tc>
        <w:tc>
          <w:tcPr>
            <w:tcW w:type="dxa" w:w="3773"/>
            <w:vAlign w:val="center"/>
            <w:tcMar>
              <w:top w:w="75" w:type="dxa"/>
              <w:bottom w:w="75" w:type="dxa"/>
              <w:left w:w="85" w:type="dxa"/>
              <w:right w:w="85" w:type="dxa"/>
            </w:tcMar>
          </w:tcPr>
          <w:p>
            <w:pPr>
              <w:spacing w:after="0" w:line="250" w:lineRule="auto"/>
            </w:pPr>
            <w:r>
              <w:rPr>
                <w:sz w:val="18"/>
              </w:rPr>
              <w:t>A governed way to turn expertise into accessible digital programmes, with attribution and agreed compensation.</w:t>
            </w:r>
          </w:p>
        </w:tc>
        <w:tc>
          <w:tcPr>
            <w:tcW w:type="dxa" w:w="3755"/>
            <w:vAlign w:val="center"/>
            <w:tcMar>
              <w:top w:w="75" w:type="dxa"/>
              <w:bottom w:w="75" w:type="dxa"/>
              <w:left w:w="85" w:type="dxa"/>
              <w:right w:w="85" w:type="dxa"/>
            </w:tcMar>
          </w:tcPr>
          <w:p>
            <w:pPr>
              <w:spacing w:after="0" w:line="250" w:lineRule="auto"/>
            </w:pPr>
            <w:r>
              <w:rPr>
                <w:sz w:val="18"/>
              </w:rPr>
              <w:t>Content completion, quality review, appropriate use and sustainable production economics.</w:t>
            </w:r>
          </w:p>
        </w:tc>
      </w:tr>
      <w:tr>
        <w:trPr>
          <w:cantSplit/>
        </w:trPr>
        <w:tc>
          <w:tcPr>
            <w:tcW w:type="dxa" w:w="2419"/>
            <w:vAlign w:val="center"/>
            <w:tcMar>
              <w:top w:w="75" w:type="dxa"/>
              <w:bottom w:w="75" w:type="dxa"/>
              <w:left w:w="85" w:type="dxa"/>
              <w:right w:w="85" w:type="dxa"/>
            </w:tcMar>
            <w:shd w:fill="F8F1E9"/>
          </w:tcPr>
          <w:p>
            <w:pPr>
              <w:spacing w:after="0" w:line="250" w:lineRule="auto"/>
            </w:pPr>
            <w:r>
              <w:rPr>
                <w:sz w:val="18"/>
              </w:rPr>
              <w:t>Gyms, studios and communities</w:t>
            </w:r>
          </w:p>
        </w:tc>
        <w:tc>
          <w:tcPr>
            <w:tcW w:type="dxa" w:w="3773"/>
            <w:vAlign w:val="center"/>
            <w:tcMar>
              <w:top w:w="75" w:type="dxa"/>
              <w:bottom w:w="75" w:type="dxa"/>
              <w:left w:w="85" w:type="dxa"/>
              <w:right w:w="85" w:type="dxa"/>
            </w:tcMar>
            <w:shd w:fill="F8F1E9"/>
          </w:tcPr>
          <w:p>
            <w:pPr>
              <w:spacing w:after="0" w:line="250" w:lineRule="auto"/>
            </w:pPr>
            <w:r>
              <w:rPr>
                <w:sz w:val="18"/>
              </w:rPr>
              <w:t>A supported community between sessions, relevant programmes and optional bundled access.</w:t>
            </w:r>
          </w:p>
        </w:tc>
        <w:tc>
          <w:tcPr>
            <w:tcW w:type="dxa" w:w="3755"/>
            <w:vAlign w:val="center"/>
            <w:tcMar>
              <w:top w:w="75" w:type="dxa"/>
              <w:bottom w:w="75" w:type="dxa"/>
              <w:left w:w="85" w:type="dxa"/>
              <w:right w:w="85" w:type="dxa"/>
            </w:tcMar>
            <w:shd w:fill="F8F1E9"/>
          </w:tcPr>
          <w:p>
            <w:pPr>
              <w:spacing w:after="0" w:line="250" w:lineRule="auto"/>
            </w:pPr>
            <w:r>
              <w:rPr>
                <w:sz w:val="18"/>
              </w:rPr>
              <w:t>Member activation, engagement and renewal; no assumed fitness or retention uplift.</w:t>
            </w:r>
          </w:p>
        </w:tc>
      </w:tr>
      <w:tr>
        <w:trPr>
          <w:cantSplit/>
        </w:trPr>
        <w:tc>
          <w:tcPr>
            <w:tcW w:type="dxa" w:w="2419"/>
            <w:vAlign w:val="center"/>
            <w:tcMar>
              <w:top w:w="75" w:type="dxa"/>
              <w:bottom w:w="75" w:type="dxa"/>
              <w:left w:w="85" w:type="dxa"/>
              <w:right w:w="85" w:type="dxa"/>
            </w:tcMar>
          </w:tcPr>
          <w:p>
            <w:pPr>
              <w:spacing w:after="0" w:line="250" w:lineRule="auto"/>
            </w:pPr>
            <w:r>
              <w:rPr>
                <w:sz w:val="18"/>
              </w:rPr>
              <w:t>Healthcare professionals and institutions</w:t>
            </w:r>
          </w:p>
        </w:tc>
        <w:tc>
          <w:tcPr>
            <w:tcW w:type="dxa" w:w="3773"/>
            <w:vAlign w:val="center"/>
            <w:tcMar>
              <w:top w:w="75" w:type="dxa"/>
              <w:bottom w:w="75" w:type="dxa"/>
              <w:left w:w="85" w:type="dxa"/>
              <w:right w:w="85" w:type="dxa"/>
            </w:tcMar>
          </w:tcPr>
          <w:p>
            <w:pPr>
              <w:spacing w:after="0" w:line="250" w:lineRule="auto"/>
            </w:pPr>
            <w:r>
              <w:rPr>
                <w:sz w:val="18"/>
              </w:rPr>
              <w:t>Reviewed education and user-controlled records that may support conversations, within an approved intended purpose.</w:t>
            </w:r>
          </w:p>
        </w:tc>
        <w:tc>
          <w:tcPr>
            <w:tcW w:type="dxa" w:w="3755"/>
            <w:vAlign w:val="center"/>
            <w:tcMar>
              <w:top w:w="75" w:type="dxa"/>
              <w:bottom w:w="75" w:type="dxa"/>
              <w:left w:w="85" w:type="dxa"/>
              <w:right w:w="85" w:type="dxa"/>
            </w:tcMar>
          </w:tcPr>
          <w:p>
            <w:pPr>
              <w:spacing w:after="0" w:line="250" w:lineRule="auto"/>
            </w:pPr>
            <w:r>
              <w:rPr>
                <w:sz w:val="18"/>
              </w:rPr>
              <w:t>Approved pilot scope, privacy boundaries, professional acceptance and actual use.</w:t>
            </w:r>
          </w:p>
        </w:tc>
      </w:tr>
      <w:tr>
        <w:trPr>
          <w:cantSplit/>
        </w:trPr>
        <w:tc>
          <w:tcPr>
            <w:tcW w:type="dxa" w:w="2419"/>
            <w:vAlign w:val="center"/>
            <w:tcMar>
              <w:top w:w="75" w:type="dxa"/>
              <w:bottom w:w="75" w:type="dxa"/>
              <w:left w:w="85" w:type="dxa"/>
              <w:right w:w="85" w:type="dxa"/>
            </w:tcMar>
            <w:shd w:fill="F8F1E9"/>
          </w:tcPr>
          <w:p>
            <w:pPr>
              <w:spacing w:after="0" w:line="250" w:lineRule="auto"/>
            </w:pPr>
            <w:r>
              <w:rPr>
                <w:sz w:val="18"/>
              </w:rPr>
              <w:t>Employers and benefit buyers</w:t>
            </w:r>
          </w:p>
        </w:tc>
        <w:tc>
          <w:tcPr>
            <w:tcW w:type="dxa" w:w="3773"/>
            <w:vAlign w:val="center"/>
            <w:tcMar>
              <w:top w:w="75" w:type="dxa"/>
              <w:bottom w:w="75" w:type="dxa"/>
              <w:left w:w="85" w:type="dxa"/>
              <w:right w:w="85" w:type="dxa"/>
            </w:tcMar>
            <w:shd w:fill="F8F1E9"/>
          </w:tcPr>
          <w:p>
            <w:pPr>
              <w:spacing w:after="0" w:line="250" w:lineRule="auto"/>
            </w:pPr>
            <w:r>
              <w:rPr>
                <w:sz w:val="18"/>
              </w:rPr>
              <w:t>Voluntary wellbeing access and group-level service reporting without individual health surveillance.</w:t>
            </w:r>
          </w:p>
        </w:tc>
        <w:tc>
          <w:tcPr>
            <w:tcW w:type="dxa" w:w="3755"/>
            <w:vAlign w:val="center"/>
            <w:tcMar>
              <w:top w:w="75" w:type="dxa"/>
              <w:bottom w:w="75" w:type="dxa"/>
              <w:left w:w="85" w:type="dxa"/>
              <w:right w:w="85" w:type="dxa"/>
            </w:tcMar>
            <w:shd w:fill="F8F1E9"/>
          </w:tcPr>
          <w:p>
            <w:pPr>
              <w:spacing w:after="0" w:line="250" w:lineRule="auto"/>
            </w:pPr>
            <w:r>
              <w:rPr>
                <w:sz w:val="18"/>
              </w:rPr>
              <w:t>Contracted seats, activation, support cost, renewal and appropriately protected reporting.</w:t>
            </w:r>
          </w:p>
        </w:tc>
      </w:tr>
      <w:tr>
        <w:trPr>
          <w:cantSplit/>
        </w:trPr>
        <w:tc>
          <w:tcPr>
            <w:tcW w:type="dxa" w:w="2419"/>
            <w:vAlign w:val="center"/>
            <w:tcMar>
              <w:top w:w="75" w:type="dxa"/>
              <w:bottom w:w="75" w:type="dxa"/>
              <w:left w:w="85" w:type="dxa"/>
              <w:right w:w="85" w:type="dxa"/>
            </w:tcMar>
          </w:tcPr>
          <w:p>
            <w:pPr>
              <w:spacing w:after="0" w:line="250" w:lineRule="auto"/>
            </w:pPr>
            <w:r>
              <w:rPr>
                <w:sz w:val="18"/>
              </w:rPr>
              <w:t>Brands and commercial partners</w:t>
            </w:r>
          </w:p>
        </w:tc>
        <w:tc>
          <w:tcPr>
            <w:tcW w:type="dxa" w:w="3773"/>
            <w:vAlign w:val="center"/>
            <w:tcMar>
              <w:top w:w="75" w:type="dxa"/>
              <w:bottom w:w="75" w:type="dxa"/>
              <w:left w:w="85" w:type="dxa"/>
              <w:right w:w="85" w:type="dxa"/>
            </w:tcMar>
          </w:tcPr>
          <w:p>
            <w:pPr>
              <w:spacing w:after="0" w:line="250" w:lineRule="auto"/>
            </w:pPr>
            <w:r>
              <w:rPr>
                <w:sz w:val="18"/>
              </w:rPr>
              <w:t>Contextual association, useful content, events and voluntary action—not access to intimate personal profiles.</w:t>
            </w:r>
          </w:p>
        </w:tc>
        <w:tc>
          <w:tcPr>
            <w:tcW w:type="dxa" w:w="3755"/>
            <w:vAlign w:val="center"/>
            <w:tcMar>
              <w:top w:w="75" w:type="dxa"/>
              <w:bottom w:w="75" w:type="dxa"/>
              <w:left w:w="85" w:type="dxa"/>
              <w:right w:w="85" w:type="dxa"/>
            </w:tcMar>
          </w:tcPr>
          <w:p>
            <w:pPr>
              <w:spacing w:after="0" w:line="250" w:lineRule="auto"/>
            </w:pPr>
            <w:r>
              <w:rPr>
                <w:sz w:val="18"/>
              </w:rPr>
              <w:t>Incremental activation, campaign delivery, user acceptance and clear commercial labelling.</w:t>
            </w:r>
          </w:p>
        </w:tc>
      </w:tr>
      <w:tr>
        <w:trPr>
          <w:cantSplit/>
        </w:trPr>
        <w:tc>
          <w:tcPr>
            <w:tcW w:type="dxa" w:w="2419"/>
            <w:vAlign w:val="center"/>
            <w:tcMar>
              <w:top w:w="75" w:type="dxa"/>
              <w:bottom w:w="75" w:type="dxa"/>
              <w:left w:w="85" w:type="dxa"/>
              <w:right w:w="85" w:type="dxa"/>
            </w:tcMar>
            <w:shd w:fill="F8F1E9"/>
          </w:tcPr>
          <w:p>
            <w:pPr>
              <w:spacing w:after="0" w:line="250" w:lineRule="auto"/>
            </w:pPr>
            <w:r>
              <w:rPr>
                <w:sz w:val="18"/>
              </w:rPr>
              <w:t>Investors</w:t>
            </w:r>
          </w:p>
        </w:tc>
        <w:tc>
          <w:tcPr>
            <w:tcW w:type="dxa" w:w="3773"/>
            <w:vAlign w:val="center"/>
            <w:tcMar>
              <w:top w:w="75" w:type="dxa"/>
              <w:bottom w:w="75" w:type="dxa"/>
              <w:left w:w="85" w:type="dxa"/>
              <w:right w:w="85" w:type="dxa"/>
            </w:tcMar>
            <w:shd w:fill="F8F1E9"/>
          </w:tcPr>
          <w:p>
            <w:pPr>
              <w:spacing w:after="0" w:line="250" w:lineRule="auto"/>
            </w:pPr>
            <w:r>
              <w:rPr>
                <w:sz w:val="18"/>
              </w:rPr>
              <w:t>Recurring digital revenue, reusable reviewed content, trusted community/channel relationships and a testable personalisation system.</w:t>
            </w:r>
          </w:p>
        </w:tc>
        <w:tc>
          <w:tcPr>
            <w:tcW w:type="dxa" w:w="3755"/>
            <w:vAlign w:val="center"/>
            <w:tcMar>
              <w:top w:w="75" w:type="dxa"/>
              <w:bottom w:w="75" w:type="dxa"/>
              <w:left w:w="85" w:type="dxa"/>
              <w:right w:w="85" w:type="dxa"/>
            </w:tcMar>
            <w:shd w:fill="F8F1E9"/>
          </w:tcPr>
          <w:p>
            <w:pPr>
              <w:spacing w:after="0" w:line="250" w:lineRule="auto"/>
            </w:pPr>
            <w:r>
              <w:rPr>
                <w:sz w:val="18"/>
              </w:rPr>
              <w:t>Cohort economics, operating discipline, credible governance and a supportable return scenario.</w:t>
            </w:r>
          </w:p>
        </w:tc>
      </w:tr>
    </w:tbl>
    <w:p>
      <w:pPr>
        <w:spacing w:after="20" w:before="0" w:line="72" w:lineRule="auto"/>
      </w:pPr>
      <w:r>
        <w:rPr>
          <w:sz w:val="4"/>
        </w:rPr>
      </w:r>
    </w:p>
    <w:p>
      <w:r>
        <w:rPr/>
        <w:t>The platform is not a business that manufactures wearables, operates hospitals or builds a chain of gyms. Those are potential ecosystem and distribution relationships. Physical workshops, roadshows and retail activations are acquisition or service-delivery activities around a cloud business, not a property expansion strategy.</w:t>
      </w:r>
    </w:p>
    <w:p>
      <w:bookmarkStart w:id="3" w:name="section_3"/>
      <w:pPr>
        <w:pStyle w:val="Heading1"/>
      </w:pPr>
      <w:r>
        <w:rPr/>
        <w:t>3. What we can advance with our own capacity</w:t>
      </w:r>
      <w:bookmarkEnd w:id="3"/>
    </w:p>
    <w:p>
      <w:r>
        <w:rPr/>
        <w:t>The existing documents describe mobile applications, a cloud backend, prototypes, content work, founder-led commercial activity and advisory input. Those are useful foundations, but this document does not certify production readiness, available cash or the current working hours of every contributor. Source statements about prototypes, pilots and partnerships must remain distinct from operational evidence. [S01, S02, S06, S08]</w:t>
      </w:r>
    </w:p>
    <w:p>
      <w:r>
        <w:t>The founder-led plan concentrates effort on improving the core experience, co-designing it with a small group of women, publishing reviewed cycle-aware nutrition and exercise content, supporting a manageable pilot and testing willingness to pay. Facilitated community sessions and a short list of professional relationships can start within committed capacity. Organic activity is not costless: production, moderation, support and founder effort are recorded even where immediate cash expenditure is low.</w:t>
      </w:r>
    </w:p>
    <w:p>
      <w:r>
        <w:rPr/>
        <w:t>A no-external-investment operating plan should use a rolling 13-week cash schedule, a named contribution register and explicit spending limits. Record committed founder cash separately from future intentions, founder time separately from cash, and earned customer receipts separately from prospective contracts. No particular family contribution, salary sacrifice or unlimited personal funding is assumed here.</w:t>
      </w:r>
    </w:p>
    <w:p>
      <w:r>
        <w:rPr/>
        <w:t>When cash or capacity is constrained, defer new integrations, broad paid campaigns, additional countries and higher-risk features. Retain essential privacy, security, safety and customer-support controls. If a safe live release cannot be funded, continue research, content development and non-production testing rather than bypass those controls.</w:t>
      </w:r>
    </w:p>
    <w:p>
      <w:r>
        <w:rPr/>
        <w:t xml:space="preserve">The credible investor message is therefore neither “we cannot move without you” nor “we can fund every ambition ourselves.” It is: </w:t>
      </w:r>
      <w:r>
        <w:rPr>
          <w:b/>
        </w:rPr>
        <w:t>we can continue a focused programme with our own capacity; the right investment allows us to execute more of the validated plan, sooner and with less key-person risk.</w:t>
      </w:r>
    </w:p>
    <w:p>
      <w:bookmarkStart w:id="4" w:name="section_4"/>
      <w:pPr>
        <w:pStyle w:val="Heading1"/>
      </w:pPr>
      <w:r>
        <w:rPr/>
        <w:t>4. Three financing levels, one coherent strategy</w:t>
      </w:r>
      <w:bookmarkEnd w:id="4"/>
    </w:p>
    <w:tbl>
      <w:tblPr>
        <w:tblW w:type="auto" w:w="0"/>
        <w:jc w:val="center"/>
        <w:tblLayout w:type="fixed"/>
        <w:tblLook w:firstColumn="1" w:firstRow="1" w:lastColumn="0" w:lastRow="0" w:noHBand="0" w:noVBand="1" w:val="04A0"/>
      </w:tblPr>
      <w:tblGrid>
        <w:gridCol w:w="1656"/>
        <w:gridCol w:w="2693"/>
        <w:gridCol w:w="2794"/>
        <w:gridCol w:w="2805"/>
      </w:tblGrid>
      <w:tr>
        <w:trPr>
          <w:cantSplit/>
          <w:tblHeader/>
        </w:trPr>
        <w:tc>
          <w:tcPr>
            <w:tcW w:type="dxa" w:w="1656"/>
            <w:vAlign w:val="center"/>
            <w:tcMar>
              <w:top w:w="75" w:type="dxa"/>
              <w:bottom w:w="75" w:type="dxa"/>
              <w:left w:w="85" w:type="dxa"/>
              <w:right w:w="85" w:type="dxa"/>
            </w:tcMar>
            <w:shd w:fill="282220"/>
          </w:tcPr>
          <w:p>
            <w:pPr>
              <w:spacing w:after="0" w:line="250" w:lineRule="auto"/>
            </w:pPr>
            <w:r>
              <w:rPr>
                <w:b/>
                <w:color w:val="FFFFFF"/>
                <w:sz w:val="18"/>
              </w:rPr>
              <w:t>Level</w:t>
            </w:r>
          </w:p>
        </w:tc>
        <w:tc>
          <w:tcPr>
            <w:tcW w:type="dxa" w:w="2693"/>
            <w:vAlign w:val="center"/>
            <w:tcMar>
              <w:top w:w="75" w:type="dxa"/>
              <w:bottom w:w="75" w:type="dxa"/>
              <w:left w:w="85" w:type="dxa"/>
              <w:right w:w="85" w:type="dxa"/>
            </w:tcMar>
            <w:shd w:fill="282220"/>
          </w:tcPr>
          <w:p>
            <w:pPr>
              <w:spacing w:after="0" w:line="250" w:lineRule="auto"/>
            </w:pPr>
            <w:r>
              <w:rPr>
                <w:b/>
                <w:color w:val="FFFFFF"/>
                <w:sz w:val="18"/>
              </w:rPr>
              <w:t>Purpose and planning horizon</w:t>
            </w:r>
          </w:p>
        </w:tc>
        <w:tc>
          <w:tcPr>
            <w:tcW w:type="dxa" w:w="2794"/>
            <w:vAlign w:val="center"/>
            <w:tcMar>
              <w:top w:w="75" w:type="dxa"/>
              <w:bottom w:w="75" w:type="dxa"/>
              <w:left w:w="85" w:type="dxa"/>
              <w:right w:w="85" w:type="dxa"/>
            </w:tcMar>
            <w:shd w:fill="282220"/>
          </w:tcPr>
          <w:p>
            <w:pPr>
              <w:spacing w:after="0" w:line="250" w:lineRule="auto"/>
            </w:pPr>
            <w:r>
              <w:rPr>
                <w:b/>
                <w:color w:val="FFFFFF"/>
                <w:sz w:val="18"/>
              </w:rPr>
              <w:t>What it enables</w:t>
            </w:r>
          </w:p>
        </w:tc>
        <w:tc>
          <w:tcPr>
            <w:tcW w:type="dxa" w:w="2805"/>
            <w:vAlign w:val="center"/>
            <w:tcMar>
              <w:top w:w="75" w:type="dxa"/>
              <w:bottom w:w="75" w:type="dxa"/>
              <w:left w:w="85" w:type="dxa"/>
              <w:right w:w="85" w:type="dxa"/>
            </w:tcMar>
            <w:shd w:fill="282220"/>
          </w:tcPr>
          <w:p>
            <w:pPr>
              <w:spacing w:after="0" w:line="250" w:lineRule="auto"/>
            </w:pPr>
            <w:r>
              <w:rPr>
                <w:b/>
                <w:color w:val="FFFFFF"/>
                <w:sz w:val="18"/>
              </w:rPr>
              <w:t>What it does not buy</w:t>
            </w:r>
          </w:p>
        </w:tc>
      </w:tr>
      <w:tr>
        <w:trPr>
          <w:cantSplit/>
        </w:trPr>
        <w:tc>
          <w:tcPr>
            <w:tcW w:type="dxa" w:w="1656"/>
            <w:vAlign w:val="center"/>
            <w:tcMar>
              <w:top w:w="75" w:type="dxa"/>
              <w:bottom w:w="75" w:type="dxa"/>
              <w:left w:w="85" w:type="dxa"/>
              <w:right w:w="85" w:type="dxa"/>
            </w:tcMar>
            <w:shd w:fill="F8F1E9"/>
          </w:tcPr>
          <w:p>
            <w:pPr>
              <w:spacing w:after="0" w:line="250" w:lineRule="auto"/>
            </w:pPr>
            <w:r>
              <w:rPr>
                <w:sz w:val="18"/>
              </w:rPr>
              <w:t>€15–25K</w:t>
            </w:r>
          </w:p>
        </w:tc>
        <w:tc>
          <w:tcPr>
            <w:tcW w:type="dxa" w:w="2693"/>
            <w:vAlign w:val="center"/>
            <w:tcMar>
              <w:top w:w="75" w:type="dxa"/>
              <w:bottom w:w="75" w:type="dxa"/>
              <w:left w:w="85" w:type="dxa"/>
              <w:right w:w="85" w:type="dxa"/>
            </w:tcMar>
            <w:shd w:fill="F8F1E9"/>
          </w:tcPr>
          <w:p>
            <w:pPr>
              <w:spacing w:after="0" w:line="250" w:lineRule="auto"/>
            </w:pPr>
            <w:r>
              <w:rPr>
                <w:sz w:val="18"/>
              </w:rPr>
              <w:t>Narrow operating bridge; approximately 90 days of scoped work, not a certified runway.</w:t>
            </w:r>
          </w:p>
        </w:tc>
        <w:tc>
          <w:tcPr>
            <w:tcW w:type="dxa" w:w="2794"/>
            <w:vAlign w:val="center"/>
            <w:tcMar>
              <w:top w:w="75" w:type="dxa"/>
              <w:bottom w:w="75" w:type="dxa"/>
              <w:left w:w="85" w:type="dxa"/>
              <w:right w:w="85" w:type="dxa"/>
            </w:tcMar>
            <w:shd w:fill="F8F1E9"/>
          </w:tcPr>
          <w:p>
            <w:pPr>
              <w:spacing w:after="0" w:line="250" w:lineRule="auto"/>
            </w:pPr>
            <w:r>
              <w:rPr>
                <w:sz w:val="18"/>
              </w:rPr>
              <w:t>Essential cloud bills, limited fixes, reviewed starter content and small facilitated pilot sessions, with substantial founder execution.</w:t>
            </w:r>
          </w:p>
        </w:tc>
        <w:tc>
          <w:tcPr>
            <w:tcW w:type="dxa" w:w="2805"/>
            <w:vAlign w:val="center"/>
            <w:tcMar>
              <w:top w:w="75" w:type="dxa"/>
              <w:bottom w:w="75" w:type="dxa"/>
              <w:left w:w="85" w:type="dxa"/>
              <w:right w:w="85" w:type="dxa"/>
            </w:tcMar>
            <w:shd w:fill="F8F1E9"/>
          </w:tcPr>
          <w:p>
            <w:pPr>
              <w:spacing w:after="0" w:line="250" w:lineRule="auto"/>
            </w:pPr>
            <w:r>
              <w:rPr>
                <w:sz w:val="18"/>
              </w:rPr>
              <w:t>Market-rate salaries for a complete team, national advertising, a new clinical product or international launch.</w:t>
            </w:r>
          </w:p>
        </w:tc>
      </w:tr>
      <w:tr>
        <w:trPr>
          <w:cantSplit/>
        </w:trPr>
        <w:tc>
          <w:tcPr>
            <w:tcW w:type="dxa" w:w="1656"/>
            <w:vAlign w:val="center"/>
            <w:tcMar>
              <w:top w:w="75" w:type="dxa"/>
              <w:bottom w:w="75" w:type="dxa"/>
              <w:left w:w="85" w:type="dxa"/>
              <w:right w:w="85" w:type="dxa"/>
            </w:tcMar>
          </w:tcPr>
          <w:p>
            <w:pPr>
              <w:spacing w:after="0" w:line="250" w:lineRule="auto"/>
            </w:pPr>
            <w:r>
              <w:rPr>
                <w:sz w:val="18"/>
              </w:rPr>
              <w:t>€250–350K</w:t>
            </w:r>
          </w:p>
        </w:tc>
        <w:tc>
          <w:tcPr>
            <w:tcW w:type="dxa" w:w="2693"/>
            <w:vAlign w:val="center"/>
            <w:tcMar>
              <w:top w:w="75" w:type="dxa"/>
              <w:bottom w:w="75" w:type="dxa"/>
              <w:left w:w="85" w:type="dxa"/>
              <w:right w:w="85" w:type="dxa"/>
            </w:tcMar>
          </w:tcPr>
          <w:p>
            <w:pPr>
              <w:spacing w:after="0" w:line="250" w:lineRule="auto"/>
            </w:pPr>
            <w:r>
              <w:rPr>
                <w:sz w:val="18"/>
              </w:rPr>
              <w:t>Launch and early validation; proposed 12-month programme.</w:t>
            </w:r>
          </w:p>
        </w:tc>
        <w:tc>
          <w:tcPr>
            <w:tcW w:type="dxa" w:w="2794"/>
            <w:vAlign w:val="center"/>
            <w:tcMar>
              <w:top w:w="75" w:type="dxa"/>
              <w:bottom w:w="75" w:type="dxa"/>
              <w:left w:w="85" w:type="dxa"/>
              <w:right w:w="85" w:type="dxa"/>
            </w:tcMar>
          </w:tcPr>
          <w:p>
            <w:pPr>
              <w:spacing w:after="0" w:line="250" w:lineRule="auto"/>
            </w:pPr>
            <w:r>
              <w:rPr>
                <w:sz w:val="18"/>
              </w:rPr>
              <w:t>Small delivery capacity, cycle-aware nutrition and exercise content, a pilot community, modest channel tests and core governance.</w:t>
            </w:r>
          </w:p>
        </w:tc>
        <w:tc>
          <w:tcPr>
            <w:tcW w:type="dxa" w:w="2805"/>
            <w:vAlign w:val="center"/>
            <w:tcMar>
              <w:top w:w="75" w:type="dxa"/>
              <w:bottom w:w="75" w:type="dxa"/>
              <w:left w:w="85" w:type="dxa"/>
              <w:right w:w="85" w:type="dxa"/>
            </w:tcMar>
          </w:tcPr>
          <w:p>
            <w:pPr>
              <w:spacing w:after="0" w:line="250" w:lineRule="auto"/>
            </w:pPr>
            <w:r>
              <w:rPr>
                <w:sz w:val="18"/>
              </w:rPr>
              <w:t>Simultaneous entry into several countries, a large media campaign, medical-device certification or proven profitability.</w:t>
            </w:r>
          </w:p>
        </w:tc>
      </w:tr>
      <w:tr>
        <w:trPr>
          <w:cantSplit/>
        </w:trPr>
        <w:tc>
          <w:tcPr>
            <w:tcW w:type="dxa" w:w="1656"/>
            <w:vAlign w:val="center"/>
            <w:tcMar>
              <w:top w:w="75" w:type="dxa"/>
              <w:bottom w:w="75" w:type="dxa"/>
              <w:left w:w="85" w:type="dxa"/>
              <w:right w:w="85" w:type="dxa"/>
            </w:tcMar>
            <w:shd w:fill="F8F1E9"/>
          </w:tcPr>
          <w:p>
            <w:pPr>
              <w:spacing w:after="0" w:line="250" w:lineRule="auto"/>
            </w:pPr>
            <w:r>
              <w:rPr>
                <w:sz w:val="18"/>
              </w:rPr>
              <w:t>€2M</w:t>
            </w:r>
          </w:p>
        </w:tc>
        <w:tc>
          <w:tcPr>
            <w:tcW w:type="dxa" w:w="2693"/>
            <w:vAlign w:val="center"/>
            <w:tcMar>
              <w:top w:w="75" w:type="dxa"/>
              <w:bottom w:w="75" w:type="dxa"/>
              <w:left w:w="85" w:type="dxa"/>
              <w:right w:w="85" w:type="dxa"/>
            </w:tcMar>
            <w:shd w:fill="F8F1E9"/>
          </w:tcPr>
          <w:p>
            <w:pPr>
              <w:spacing w:after="0" w:line="250" w:lineRule="auto"/>
            </w:pPr>
            <w:r>
              <w:rPr>
                <w:sz w:val="18"/>
              </w:rPr>
              <w:t>Spain execution and repeatability; proposed 24-month programme.</w:t>
            </w:r>
          </w:p>
        </w:tc>
        <w:tc>
          <w:tcPr>
            <w:tcW w:type="dxa" w:w="2794"/>
            <w:vAlign w:val="center"/>
            <w:tcMar>
              <w:top w:w="75" w:type="dxa"/>
              <w:bottom w:w="75" w:type="dxa"/>
              <w:left w:w="85" w:type="dxa"/>
              <w:right w:w="85" w:type="dxa"/>
            </w:tcMar>
            <w:shd w:fill="F8F1E9"/>
          </w:tcPr>
          <w:p>
            <w:pPr>
              <w:spacing w:after="0" w:line="250" w:lineRule="auto"/>
            </w:pPr>
            <w:r>
              <w:rPr>
                <w:sz w:val="18"/>
              </w:rPr>
              <w:t>Product reliability, recurring content and community delivery, channels, measured marketing, evaluation and bounded pregnancy work.</w:t>
            </w:r>
          </w:p>
        </w:tc>
        <w:tc>
          <w:tcPr>
            <w:tcW w:type="dxa" w:w="2805"/>
            <w:vAlign w:val="center"/>
            <w:tcMar>
              <w:top w:w="75" w:type="dxa"/>
              <w:bottom w:w="75" w:type="dxa"/>
              <w:left w:w="85" w:type="dxa"/>
              <w:right w:w="85" w:type="dxa"/>
            </w:tcMar>
            <w:shd w:fill="F8F1E9"/>
          </w:tcPr>
          <w:p>
            <w:pPr>
              <w:spacing w:after="0" w:line="250" w:lineRule="auto"/>
            </w:pPr>
            <w:r>
              <w:rPr>
                <w:sz w:val="18"/>
              </w:rPr>
              <w:t>Guaranteed national market share, automatic government funding or unconstrained international rollout.</w:t>
            </w:r>
          </w:p>
        </w:tc>
      </w:tr>
      <w:tr>
        <w:trPr>
          <w:cantSplit/>
        </w:trPr>
        <w:tc>
          <w:tcPr>
            <w:tcW w:type="dxa" w:w="1656"/>
            <w:vAlign w:val="center"/>
            <w:tcMar>
              <w:top w:w="75" w:type="dxa"/>
              <w:bottom w:w="75" w:type="dxa"/>
              <w:left w:w="85" w:type="dxa"/>
              <w:right w:w="85" w:type="dxa"/>
            </w:tcMar>
          </w:tcPr>
          <w:p>
            <w:pPr>
              <w:spacing w:after="0" w:line="250" w:lineRule="auto"/>
            </w:pPr>
            <w:r>
              <w:rPr>
                <w:sz w:val="18"/>
              </w:rPr>
              <w:t>€5M</w:t>
            </w:r>
          </w:p>
        </w:tc>
        <w:tc>
          <w:tcPr>
            <w:tcW w:type="dxa" w:w="2693"/>
            <w:vAlign w:val="center"/>
            <w:tcMar>
              <w:top w:w="75" w:type="dxa"/>
              <w:bottom w:w="75" w:type="dxa"/>
              <w:left w:w="85" w:type="dxa"/>
              <w:right w:w="85" w:type="dxa"/>
            </w:tcMar>
          </w:tcPr>
          <w:p>
            <w:pPr>
              <w:spacing w:after="0" w:line="250" w:lineRule="auto"/>
            </w:pPr>
            <w:r>
              <w:rPr>
                <w:sz w:val="18"/>
              </w:rPr>
              <w:t>Parallel capability development and selective expansion; proposed 24-month programme.</w:t>
            </w:r>
          </w:p>
        </w:tc>
        <w:tc>
          <w:tcPr>
            <w:tcW w:type="dxa" w:w="2794"/>
            <w:vAlign w:val="center"/>
            <w:tcMar>
              <w:top w:w="75" w:type="dxa"/>
              <w:bottom w:w="75" w:type="dxa"/>
              <w:left w:w="85" w:type="dxa"/>
              <w:right w:w="85" w:type="dxa"/>
            </w:tcMar>
          </w:tcPr>
          <w:p>
            <w:pPr>
              <w:spacing w:after="0" w:line="250" w:lineRule="auto"/>
            </w:pPr>
            <w:r>
              <w:rPr>
                <w:sz w:val="18"/>
              </w:rPr>
              <w:t>Parallel product, community and commercial capacity; stronger evaluation; pregnancy and selected international readiness/pilots.</w:t>
            </w:r>
          </w:p>
        </w:tc>
        <w:tc>
          <w:tcPr>
            <w:tcW w:type="dxa" w:w="2805"/>
            <w:vAlign w:val="center"/>
            <w:tcMar>
              <w:top w:w="75" w:type="dxa"/>
              <w:bottom w:w="75" w:type="dxa"/>
              <w:left w:w="85" w:type="dxa"/>
              <w:right w:w="85" w:type="dxa"/>
            </w:tcMar>
          </w:tcPr>
          <w:p>
            <w:pPr>
              <w:spacing w:after="0" w:line="250" w:lineRule="auto"/>
            </w:pPr>
            <w:r>
              <w:rPr>
                <w:sz w:val="18"/>
              </w:rPr>
              <w:t>A commitment to launch in every candidate country, own hardware, or bypass regulatory and commercial gates.</w:t>
            </w:r>
          </w:p>
        </w:tc>
      </w:tr>
    </w:tbl>
    <w:p>
      <w:pPr>
        <w:spacing w:after="20" w:before="0" w:line="72" w:lineRule="auto"/>
      </w:pPr>
      <w:r>
        <w:rPr>
          <w:sz w:val="4"/>
        </w:rPr>
      </w:r>
    </w:p>
    <w:p>
      <w:r>
        <w:rPr/>
        <w:t>The €2M and €5M cases are separate operating designs within the upper range—not interchangeable numbers. The €250K and €350K endpoints also have distinct expenditure envelopes.</w:t>
      </w:r>
    </w:p>
    <w:p>
      <w:r>
        <w:rPr/>
        <w:t xml:space="preserve">These are </w:t>
      </w:r>
      <w:r>
        <w:rPr>
          <w:b/>
        </w:rPr>
        <w:t>alternative prospective funding envelopes from a defined planning start</w:t>
      </w:r>
      <w:r>
        <w:rPr/>
        <w:t>, not amounts to add together automatically. Prior expenditure is sunk cost; remaining work must be reconciled once a financing path is selected. A bridge that converts into equity affects the cap table and must not also be counted as fresh cash received in the larger round. The earlier verbal “around €30K” figure should be described as an initial operating estimate superseded by a scoped €15–25K bridge, subject to reconciliation of actual commitments. [S11]</w:t>
      </w:r>
    </w:p>
    <w:p>
      <w:bookmarkStart w:id="5" w:name="section_5"/>
      <w:pPr>
        <w:pStyle w:val="Heading1"/>
      </w:pPr>
      <w:r>
        <w:rPr/>
        <w:t>5. Proposed use of funds</w:t>
      </w:r>
      <w:bookmarkEnd w:id="5"/>
    </w:p>
    <w:p>
      <w:r>
        <w:rPr>
          <w:b/>
        </w:rPr>
        <w:t>Amounts below are €000.</w:t>
      </w:r>
      <w:r>
        <w:rPr/>
        <w:t xml:space="preserve"> Each column is an all-in planning allocation before customer receipts. Personnel and contractors sit in their functional lines; they must not be added again as a separate team total. These are management estimates requiring quotations, hiring dates and a monthly cash schedule.</w:t>
      </w:r>
    </w:p>
    <w:tbl>
      <w:tblPr>
        <w:tblW w:type="auto" w:w="0"/>
        <w:jc w:val="center"/>
        <w:tblLayout w:type="fixed"/>
        <w:tblLook w:firstColumn="1" w:firstRow="1" w:lastColumn="0" w:lastRow="0" w:noHBand="0" w:noVBand="1" w:val="04A0"/>
      </w:tblPr>
      <w:tblGrid>
        <w:gridCol w:w="3341"/>
        <w:gridCol w:w="1101"/>
        <w:gridCol w:w="1101"/>
        <w:gridCol w:w="1101"/>
        <w:gridCol w:w="1101"/>
        <w:gridCol w:w="1101"/>
        <w:gridCol w:w="1101"/>
      </w:tblGrid>
      <w:tr>
        <w:trPr>
          <w:cantSplit/>
          <w:tblHeader/>
        </w:trPr>
        <w:tc>
          <w:tcPr>
            <w:tcW w:type="dxa" w:w="3341"/>
            <w:vAlign w:val="center"/>
            <w:tcMar>
              <w:top w:w="75" w:type="dxa"/>
              <w:bottom w:w="75" w:type="dxa"/>
              <w:left w:w="85" w:type="dxa"/>
              <w:right w:w="85" w:type="dxa"/>
            </w:tcMar>
            <w:shd w:fill="282220"/>
          </w:tcPr>
          <w:p>
            <w:pPr>
              <w:spacing w:after="0" w:line="250" w:lineRule="auto"/>
            </w:pPr>
            <w:r>
              <w:rPr>
                <w:b/>
                <w:color w:val="FFFFFF"/>
                <w:sz w:val="16"/>
              </w:rPr>
              <w:t>Cost category</w:t>
            </w:r>
          </w:p>
        </w:tc>
        <w:tc>
          <w:tcPr>
            <w:tcW w:type="dxa" w:w="1101"/>
            <w:vAlign w:val="center"/>
            <w:tcMar>
              <w:top w:w="75" w:type="dxa"/>
              <w:bottom w:w="75" w:type="dxa"/>
              <w:left w:w="85" w:type="dxa"/>
              <w:right w:w="85" w:type="dxa"/>
            </w:tcMar>
            <w:shd w:fill="282220"/>
          </w:tcPr>
          <w:p>
            <w:pPr>
              <w:spacing w:after="0" w:line="250" w:lineRule="auto"/>
              <w:jc w:val="right"/>
            </w:pPr>
            <w:r>
              <w:rPr>
                <w:b/>
                <w:color w:val="FFFFFF"/>
                <w:sz w:val="16"/>
              </w:rPr>
              <w:t>15K</w:t>
            </w:r>
          </w:p>
        </w:tc>
        <w:tc>
          <w:tcPr>
            <w:tcW w:type="dxa" w:w="1101"/>
            <w:vAlign w:val="center"/>
            <w:tcMar>
              <w:top w:w="75" w:type="dxa"/>
              <w:bottom w:w="75" w:type="dxa"/>
              <w:left w:w="85" w:type="dxa"/>
              <w:right w:w="85" w:type="dxa"/>
            </w:tcMar>
            <w:shd w:fill="282220"/>
          </w:tcPr>
          <w:p>
            <w:pPr>
              <w:spacing w:after="0" w:line="250" w:lineRule="auto"/>
              <w:jc w:val="right"/>
            </w:pPr>
            <w:r>
              <w:rPr>
                <w:b/>
                <w:color w:val="FFFFFF"/>
                <w:sz w:val="16"/>
              </w:rPr>
              <w:t>25K</w:t>
            </w:r>
          </w:p>
        </w:tc>
        <w:tc>
          <w:tcPr>
            <w:tcW w:type="dxa" w:w="1101"/>
            <w:vAlign w:val="center"/>
            <w:tcMar>
              <w:top w:w="75" w:type="dxa"/>
              <w:bottom w:w="75" w:type="dxa"/>
              <w:left w:w="85" w:type="dxa"/>
              <w:right w:w="85" w:type="dxa"/>
            </w:tcMar>
            <w:shd w:fill="282220"/>
          </w:tcPr>
          <w:p>
            <w:pPr>
              <w:spacing w:after="0" w:line="250" w:lineRule="auto"/>
              <w:jc w:val="right"/>
            </w:pPr>
            <w:r>
              <w:rPr>
                <w:b/>
                <w:color w:val="FFFFFF"/>
                <w:sz w:val="16"/>
              </w:rPr>
              <w:t>250K</w:t>
            </w:r>
          </w:p>
        </w:tc>
        <w:tc>
          <w:tcPr>
            <w:tcW w:type="dxa" w:w="1101"/>
            <w:vAlign w:val="center"/>
            <w:tcMar>
              <w:top w:w="75" w:type="dxa"/>
              <w:bottom w:w="75" w:type="dxa"/>
              <w:left w:w="85" w:type="dxa"/>
              <w:right w:w="85" w:type="dxa"/>
            </w:tcMar>
            <w:shd w:fill="282220"/>
          </w:tcPr>
          <w:p>
            <w:pPr>
              <w:spacing w:after="0" w:line="250" w:lineRule="auto"/>
              <w:jc w:val="right"/>
            </w:pPr>
            <w:r>
              <w:rPr>
                <w:b/>
                <w:color w:val="FFFFFF"/>
                <w:sz w:val="16"/>
              </w:rPr>
              <w:t>350K</w:t>
            </w:r>
          </w:p>
        </w:tc>
        <w:tc>
          <w:tcPr>
            <w:tcW w:type="dxa" w:w="1101"/>
            <w:vAlign w:val="center"/>
            <w:tcMar>
              <w:top w:w="75" w:type="dxa"/>
              <w:bottom w:w="75" w:type="dxa"/>
              <w:left w:w="85" w:type="dxa"/>
              <w:right w:w="85" w:type="dxa"/>
            </w:tcMar>
            <w:shd w:fill="282220"/>
          </w:tcPr>
          <w:p>
            <w:pPr>
              <w:spacing w:after="0" w:line="250" w:lineRule="auto"/>
              <w:jc w:val="right"/>
            </w:pPr>
            <w:r>
              <w:rPr>
                <w:b/>
                <w:color w:val="FFFFFF"/>
                <w:sz w:val="16"/>
              </w:rPr>
              <w:t>2M</w:t>
            </w:r>
          </w:p>
        </w:tc>
        <w:tc>
          <w:tcPr>
            <w:tcW w:type="dxa" w:w="1101"/>
            <w:vAlign w:val="center"/>
            <w:tcMar>
              <w:top w:w="75" w:type="dxa"/>
              <w:bottom w:w="75" w:type="dxa"/>
              <w:left w:w="85" w:type="dxa"/>
              <w:right w:w="85" w:type="dxa"/>
            </w:tcMar>
            <w:shd w:fill="282220"/>
          </w:tcPr>
          <w:p>
            <w:pPr>
              <w:spacing w:after="0" w:line="250" w:lineRule="auto"/>
              <w:jc w:val="right"/>
            </w:pPr>
            <w:r>
              <w:rPr>
                <w:b/>
                <w:color w:val="FFFFFF"/>
                <w:sz w:val="16"/>
              </w:rPr>
              <w:t>5M</w:t>
            </w:r>
          </w:p>
        </w:tc>
      </w:tr>
      <w:tr>
        <w:trPr>
          <w:cantSplit/>
        </w:trPr>
        <w:tc>
          <w:tcPr>
            <w:tcW w:type="dxa" w:w="3341"/>
            <w:vAlign w:val="center"/>
            <w:tcMar>
              <w:top w:w="75" w:type="dxa"/>
              <w:bottom w:w="75" w:type="dxa"/>
              <w:left w:w="85" w:type="dxa"/>
              <w:right w:w="85" w:type="dxa"/>
            </w:tcMar>
            <w:shd w:fill="F8F1E9"/>
          </w:tcPr>
          <w:p>
            <w:pPr>
              <w:spacing w:after="0" w:line="250" w:lineRule="auto"/>
            </w:pPr>
            <w:r>
              <w:rPr>
                <w:sz w:val="16"/>
              </w:rPr>
              <w:t>Product engineering and design</w:t>
            </w:r>
          </w:p>
        </w:tc>
        <w:tc>
          <w:tcPr>
            <w:tcW w:type="dxa" w:w="1101"/>
            <w:vAlign w:val="center"/>
            <w:tcMar>
              <w:top w:w="75" w:type="dxa"/>
              <w:bottom w:w="75" w:type="dxa"/>
              <w:left w:w="85" w:type="dxa"/>
              <w:right w:w="85" w:type="dxa"/>
            </w:tcMar>
            <w:shd w:fill="F8F1E9"/>
          </w:tcPr>
          <w:p>
            <w:pPr>
              <w:spacing w:after="0" w:line="250" w:lineRule="auto"/>
              <w:jc w:val="right"/>
            </w:pPr>
            <w:r>
              <w:rPr>
                <w:sz w:val="16"/>
              </w:rPr>
              <w:t>3.0</w:t>
            </w:r>
          </w:p>
        </w:tc>
        <w:tc>
          <w:tcPr>
            <w:tcW w:type="dxa" w:w="1101"/>
            <w:vAlign w:val="center"/>
            <w:tcMar>
              <w:top w:w="75" w:type="dxa"/>
              <w:bottom w:w="75" w:type="dxa"/>
              <w:left w:w="85" w:type="dxa"/>
              <w:right w:w="85" w:type="dxa"/>
            </w:tcMar>
            <w:shd w:fill="F8F1E9"/>
          </w:tcPr>
          <w:p>
            <w:pPr>
              <w:spacing w:after="0" w:line="250" w:lineRule="auto"/>
              <w:jc w:val="right"/>
            </w:pPr>
            <w:r>
              <w:rPr>
                <w:sz w:val="16"/>
              </w:rPr>
              <w:t>5.0</w:t>
            </w:r>
          </w:p>
        </w:tc>
        <w:tc>
          <w:tcPr>
            <w:tcW w:type="dxa" w:w="1101"/>
            <w:vAlign w:val="center"/>
            <w:tcMar>
              <w:top w:w="75" w:type="dxa"/>
              <w:bottom w:w="75" w:type="dxa"/>
              <w:left w:w="85" w:type="dxa"/>
              <w:right w:w="85" w:type="dxa"/>
            </w:tcMar>
            <w:shd w:fill="F8F1E9"/>
          </w:tcPr>
          <w:p>
            <w:pPr>
              <w:spacing w:after="0" w:line="250" w:lineRule="auto"/>
              <w:jc w:val="right"/>
            </w:pPr>
            <w:r>
              <w:rPr>
                <w:sz w:val="16"/>
              </w:rPr>
              <w:t>80</w:t>
            </w:r>
          </w:p>
        </w:tc>
        <w:tc>
          <w:tcPr>
            <w:tcW w:type="dxa" w:w="1101"/>
            <w:vAlign w:val="center"/>
            <w:tcMar>
              <w:top w:w="75" w:type="dxa"/>
              <w:bottom w:w="75" w:type="dxa"/>
              <w:left w:w="85" w:type="dxa"/>
              <w:right w:w="85" w:type="dxa"/>
            </w:tcMar>
            <w:shd w:fill="F8F1E9"/>
          </w:tcPr>
          <w:p>
            <w:pPr>
              <w:spacing w:after="0" w:line="250" w:lineRule="auto"/>
              <w:jc w:val="right"/>
            </w:pPr>
            <w:r>
              <w:rPr>
                <w:sz w:val="16"/>
              </w:rPr>
              <w:t>105</w:t>
            </w:r>
          </w:p>
        </w:tc>
        <w:tc>
          <w:tcPr>
            <w:tcW w:type="dxa" w:w="1101"/>
            <w:vAlign w:val="center"/>
            <w:tcMar>
              <w:top w:w="75" w:type="dxa"/>
              <w:bottom w:w="75" w:type="dxa"/>
              <w:left w:w="85" w:type="dxa"/>
              <w:right w:w="85" w:type="dxa"/>
            </w:tcMar>
            <w:shd w:fill="F8F1E9"/>
          </w:tcPr>
          <w:p>
            <w:pPr>
              <w:spacing w:after="0" w:line="250" w:lineRule="auto"/>
              <w:jc w:val="right"/>
            </w:pPr>
            <w:r>
              <w:rPr>
                <w:sz w:val="16"/>
              </w:rPr>
              <w:t>420</w:t>
            </w:r>
          </w:p>
        </w:tc>
        <w:tc>
          <w:tcPr>
            <w:tcW w:type="dxa" w:w="1101"/>
            <w:vAlign w:val="center"/>
            <w:tcMar>
              <w:top w:w="75" w:type="dxa"/>
              <w:bottom w:w="75" w:type="dxa"/>
              <w:left w:w="85" w:type="dxa"/>
              <w:right w:w="85" w:type="dxa"/>
            </w:tcMar>
            <w:shd w:fill="F8F1E9"/>
          </w:tcPr>
          <w:p>
            <w:pPr>
              <w:spacing w:after="0" w:line="250" w:lineRule="auto"/>
              <w:jc w:val="right"/>
            </w:pPr>
            <w:r>
              <w:rPr>
                <w:sz w:val="16"/>
              </w:rPr>
              <w:t>900</w:t>
            </w:r>
          </w:p>
        </w:tc>
      </w:tr>
      <w:tr>
        <w:trPr>
          <w:cantSplit/>
        </w:trPr>
        <w:tc>
          <w:tcPr>
            <w:tcW w:type="dxa" w:w="3341"/>
            <w:vAlign w:val="center"/>
            <w:tcMar>
              <w:top w:w="75" w:type="dxa"/>
              <w:bottom w:w="75" w:type="dxa"/>
              <w:left w:w="85" w:type="dxa"/>
              <w:right w:w="85" w:type="dxa"/>
            </w:tcMar>
          </w:tcPr>
          <w:p>
            <w:pPr>
              <w:spacing w:after="0" w:line="250" w:lineRule="auto"/>
            </w:pPr>
            <w:r>
              <w:rPr>
                <w:sz w:val="16"/>
              </w:rPr>
              <w:t>Cloud, AI usage and platform operations</w:t>
            </w:r>
          </w:p>
        </w:tc>
        <w:tc>
          <w:tcPr>
            <w:tcW w:type="dxa" w:w="1101"/>
            <w:vAlign w:val="center"/>
            <w:tcMar>
              <w:top w:w="75" w:type="dxa"/>
              <w:bottom w:w="75" w:type="dxa"/>
              <w:left w:w="85" w:type="dxa"/>
              <w:right w:w="85" w:type="dxa"/>
            </w:tcMar>
          </w:tcPr>
          <w:p>
            <w:pPr>
              <w:spacing w:after="0" w:line="250" w:lineRule="auto"/>
              <w:jc w:val="right"/>
            </w:pPr>
            <w:r>
              <w:rPr>
                <w:sz w:val="16"/>
              </w:rPr>
              <w:t>1.0</w:t>
            </w:r>
          </w:p>
        </w:tc>
        <w:tc>
          <w:tcPr>
            <w:tcW w:type="dxa" w:w="1101"/>
            <w:vAlign w:val="center"/>
            <w:tcMar>
              <w:top w:w="75" w:type="dxa"/>
              <w:bottom w:w="75" w:type="dxa"/>
              <w:left w:w="85" w:type="dxa"/>
              <w:right w:w="85" w:type="dxa"/>
            </w:tcMar>
          </w:tcPr>
          <w:p>
            <w:pPr>
              <w:spacing w:after="0" w:line="250" w:lineRule="auto"/>
              <w:jc w:val="right"/>
            </w:pPr>
            <w:r>
              <w:rPr>
                <w:sz w:val="16"/>
              </w:rPr>
              <w:t>2.0</w:t>
            </w:r>
          </w:p>
        </w:tc>
        <w:tc>
          <w:tcPr>
            <w:tcW w:type="dxa" w:w="1101"/>
            <w:vAlign w:val="center"/>
            <w:tcMar>
              <w:top w:w="75" w:type="dxa"/>
              <w:bottom w:w="75" w:type="dxa"/>
              <w:left w:w="85" w:type="dxa"/>
              <w:right w:w="85" w:type="dxa"/>
            </w:tcMar>
          </w:tcPr>
          <w:p>
            <w:pPr>
              <w:spacing w:after="0" w:line="250" w:lineRule="auto"/>
              <w:jc w:val="right"/>
            </w:pPr>
            <w:r>
              <w:rPr>
                <w:sz w:val="16"/>
              </w:rPr>
              <w:t>10</w:t>
            </w:r>
          </w:p>
        </w:tc>
        <w:tc>
          <w:tcPr>
            <w:tcW w:type="dxa" w:w="1101"/>
            <w:vAlign w:val="center"/>
            <w:tcMar>
              <w:top w:w="75" w:type="dxa"/>
              <w:bottom w:w="75" w:type="dxa"/>
              <w:left w:w="85" w:type="dxa"/>
              <w:right w:w="85" w:type="dxa"/>
            </w:tcMar>
          </w:tcPr>
          <w:p>
            <w:pPr>
              <w:spacing w:after="0" w:line="250" w:lineRule="auto"/>
              <w:jc w:val="right"/>
            </w:pPr>
            <w:r>
              <w:rPr>
                <w:sz w:val="16"/>
              </w:rPr>
              <w:t>15</w:t>
            </w:r>
          </w:p>
        </w:tc>
        <w:tc>
          <w:tcPr>
            <w:tcW w:type="dxa" w:w="1101"/>
            <w:vAlign w:val="center"/>
            <w:tcMar>
              <w:top w:w="75" w:type="dxa"/>
              <w:bottom w:w="75" w:type="dxa"/>
              <w:left w:w="85" w:type="dxa"/>
              <w:right w:w="85" w:type="dxa"/>
            </w:tcMar>
          </w:tcPr>
          <w:p>
            <w:pPr>
              <w:spacing w:after="0" w:line="250" w:lineRule="auto"/>
              <w:jc w:val="right"/>
            </w:pPr>
            <w:r>
              <w:rPr>
                <w:sz w:val="16"/>
              </w:rPr>
              <w:t>100</w:t>
            </w:r>
          </w:p>
        </w:tc>
        <w:tc>
          <w:tcPr>
            <w:tcW w:type="dxa" w:w="1101"/>
            <w:vAlign w:val="center"/>
            <w:tcMar>
              <w:top w:w="75" w:type="dxa"/>
              <w:bottom w:w="75" w:type="dxa"/>
              <w:left w:w="85" w:type="dxa"/>
              <w:right w:w="85" w:type="dxa"/>
            </w:tcMar>
          </w:tcPr>
          <w:p>
            <w:pPr>
              <w:spacing w:after="0" w:line="250" w:lineRule="auto"/>
              <w:jc w:val="right"/>
            </w:pPr>
            <w:r>
              <w:rPr>
                <w:sz w:val="16"/>
              </w:rPr>
              <w:t>250</w:t>
            </w:r>
          </w:p>
        </w:tc>
      </w:tr>
      <w:tr>
        <w:trPr>
          <w:cantSplit/>
        </w:trPr>
        <w:tc>
          <w:tcPr>
            <w:tcW w:type="dxa" w:w="3341"/>
            <w:vAlign w:val="center"/>
            <w:tcMar>
              <w:top w:w="75" w:type="dxa"/>
              <w:bottom w:w="75" w:type="dxa"/>
              <w:left w:w="85" w:type="dxa"/>
              <w:right w:w="85" w:type="dxa"/>
            </w:tcMar>
            <w:shd w:fill="F8F1E9"/>
          </w:tcPr>
          <w:p>
            <w:pPr>
              <w:spacing w:after="0" w:line="250" w:lineRule="auto"/>
            </w:pPr>
            <w:r>
              <w:rPr>
                <w:sz w:val="16"/>
              </w:rPr>
              <w:t>Expert content: food, exercise and recovery</w:t>
            </w:r>
          </w:p>
        </w:tc>
        <w:tc>
          <w:tcPr>
            <w:tcW w:type="dxa" w:w="1101"/>
            <w:vAlign w:val="center"/>
            <w:tcMar>
              <w:top w:w="75" w:type="dxa"/>
              <w:bottom w:w="75" w:type="dxa"/>
              <w:left w:w="85" w:type="dxa"/>
              <w:right w:w="85" w:type="dxa"/>
            </w:tcMar>
            <w:shd w:fill="F8F1E9"/>
          </w:tcPr>
          <w:p>
            <w:pPr>
              <w:spacing w:after="0" w:line="250" w:lineRule="auto"/>
              <w:jc w:val="right"/>
            </w:pPr>
            <w:r>
              <w:rPr>
                <w:sz w:val="16"/>
              </w:rPr>
              <w:t>2.0</w:t>
            </w:r>
          </w:p>
        </w:tc>
        <w:tc>
          <w:tcPr>
            <w:tcW w:type="dxa" w:w="1101"/>
            <w:vAlign w:val="center"/>
            <w:tcMar>
              <w:top w:w="75" w:type="dxa"/>
              <w:bottom w:w="75" w:type="dxa"/>
              <w:left w:w="85" w:type="dxa"/>
              <w:right w:w="85" w:type="dxa"/>
            </w:tcMar>
            <w:shd w:fill="F8F1E9"/>
          </w:tcPr>
          <w:p>
            <w:pPr>
              <w:spacing w:after="0" w:line="250" w:lineRule="auto"/>
              <w:jc w:val="right"/>
            </w:pPr>
            <w:r>
              <w:rPr>
                <w:sz w:val="16"/>
              </w:rPr>
              <w:t>3.0</w:t>
            </w:r>
          </w:p>
        </w:tc>
        <w:tc>
          <w:tcPr>
            <w:tcW w:type="dxa" w:w="1101"/>
            <w:vAlign w:val="center"/>
            <w:tcMar>
              <w:top w:w="75" w:type="dxa"/>
              <w:bottom w:w="75" w:type="dxa"/>
              <w:left w:w="85" w:type="dxa"/>
              <w:right w:w="85" w:type="dxa"/>
            </w:tcMar>
            <w:shd w:fill="F8F1E9"/>
          </w:tcPr>
          <w:p>
            <w:pPr>
              <w:spacing w:after="0" w:line="250" w:lineRule="auto"/>
              <w:jc w:val="right"/>
            </w:pPr>
            <w:r>
              <w:rPr>
                <w:sz w:val="16"/>
              </w:rPr>
              <w:t>25</w:t>
            </w:r>
          </w:p>
        </w:tc>
        <w:tc>
          <w:tcPr>
            <w:tcW w:type="dxa" w:w="1101"/>
            <w:vAlign w:val="center"/>
            <w:tcMar>
              <w:top w:w="75" w:type="dxa"/>
              <w:bottom w:w="75" w:type="dxa"/>
              <w:left w:w="85" w:type="dxa"/>
              <w:right w:w="85" w:type="dxa"/>
            </w:tcMar>
            <w:shd w:fill="F8F1E9"/>
          </w:tcPr>
          <w:p>
            <w:pPr>
              <w:spacing w:after="0" w:line="250" w:lineRule="auto"/>
              <w:jc w:val="right"/>
            </w:pPr>
            <w:r>
              <w:rPr>
                <w:sz w:val="16"/>
              </w:rPr>
              <w:t>40</w:t>
            </w:r>
          </w:p>
        </w:tc>
        <w:tc>
          <w:tcPr>
            <w:tcW w:type="dxa" w:w="1101"/>
            <w:vAlign w:val="center"/>
            <w:tcMar>
              <w:top w:w="75" w:type="dxa"/>
              <w:bottom w:w="75" w:type="dxa"/>
              <w:left w:w="85" w:type="dxa"/>
              <w:right w:w="85" w:type="dxa"/>
            </w:tcMar>
            <w:shd w:fill="F8F1E9"/>
          </w:tcPr>
          <w:p>
            <w:pPr>
              <w:spacing w:after="0" w:line="250" w:lineRule="auto"/>
              <w:jc w:val="right"/>
            </w:pPr>
            <w:r>
              <w:rPr>
                <w:sz w:val="16"/>
              </w:rPr>
              <w:t>240</w:t>
            </w:r>
          </w:p>
        </w:tc>
        <w:tc>
          <w:tcPr>
            <w:tcW w:type="dxa" w:w="1101"/>
            <w:vAlign w:val="center"/>
            <w:tcMar>
              <w:top w:w="75" w:type="dxa"/>
              <w:bottom w:w="75" w:type="dxa"/>
              <w:left w:w="85" w:type="dxa"/>
              <w:right w:w="85" w:type="dxa"/>
            </w:tcMar>
            <w:shd w:fill="F8F1E9"/>
          </w:tcPr>
          <w:p>
            <w:pPr>
              <w:spacing w:after="0" w:line="250" w:lineRule="auto"/>
              <w:jc w:val="right"/>
            </w:pPr>
            <w:r>
              <w:rPr>
                <w:sz w:val="16"/>
              </w:rPr>
              <w:t>600</w:t>
            </w:r>
          </w:p>
        </w:tc>
      </w:tr>
      <w:tr>
        <w:trPr>
          <w:cantSplit/>
        </w:trPr>
        <w:tc>
          <w:tcPr>
            <w:tcW w:type="dxa" w:w="3341"/>
            <w:vAlign w:val="center"/>
            <w:tcMar>
              <w:top w:w="75" w:type="dxa"/>
              <w:bottom w:w="75" w:type="dxa"/>
              <w:left w:w="85" w:type="dxa"/>
              <w:right w:w="85" w:type="dxa"/>
            </w:tcMar>
          </w:tcPr>
          <w:p>
            <w:pPr>
              <w:spacing w:after="0" w:line="250" w:lineRule="auto"/>
            </w:pPr>
            <w:r>
              <w:rPr>
                <w:sz w:val="16"/>
              </w:rPr>
              <w:t>Clinical safety, evaluation and pregnancy</w:t>
            </w:r>
          </w:p>
        </w:tc>
        <w:tc>
          <w:tcPr>
            <w:tcW w:type="dxa" w:w="1101"/>
            <w:vAlign w:val="center"/>
            <w:tcMar>
              <w:top w:w="75" w:type="dxa"/>
              <w:bottom w:w="75" w:type="dxa"/>
              <w:left w:w="85" w:type="dxa"/>
              <w:right w:w="85" w:type="dxa"/>
            </w:tcMar>
          </w:tcPr>
          <w:p>
            <w:pPr>
              <w:spacing w:after="0" w:line="250" w:lineRule="auto"/>
              <w:jc w:val="right"/>
            </w:pPr>
            <w:r>
              <w:rPr>
                <w:sz w:val="16"/>
              </w:rPr>
              <w:t>2.0</w:t>
            </w:r>
          </w:p>
        </w:tc>
        <w:tc>
          <w:tcPr>
            <w:tcW w:type="dxa" w:w="1101"/>
            <w:vAlign w:val="center"/>
            <w:tcMar>
              <w:top w:w="75" w:type="dxa"/>
              <w:bottom w:w="75" w:type="dxa"/>
              <w:left w:w="85" w:type="dxa"/>
              <w:right w:w="85" w:type="dxa"/>
            </w:tcMar>
          </w:tcPr>
          <w:p>
            <w:pPr>
              <w:spacing w:after="0" w:line="250" w:lineRule="auto"/>
              <w:jc w:val="right"/>
            </w:pPr>
            <w:r>
              <w:rPr>
                <w:sz w:val="16"/>
              </w:rPr>
              <w:t>3.0</w:t>
            </w:r>
          </w:p>
        </w:tc>
        <w:tc>
          <w:tcPr>
            <w:tcW w:type="dxa" w:w="1101"/>
            <w:vAlign w:val="center"/>
            <w:tcMar>
              <w:top w:w="75" w:type="dxa"/>
              <w:bottom w:w="75" w:type="dxa"/>
              <w:left w:w="85" w:type="dxa"/>
              <w:right w:w="85" w:type="dxa"/>
            </w:tcMar>
          </w:tcPr>
          <w:p>
            <w:pPr>
              <w:spacing w:after="0" w:line="250" w:lineRule="auto"/>
              <w:jc w:val="right"/>
            </w:pPr>
            <w:r>
              <w:rPr>
                <w:sz w:val="16"/>
              </w:rPr>
              <w:t>20</w:t>
            </w:r>
          </w:p>
        </w:tc>
        <w:tc>
          <w:tcPr>
            <w:tcW w:type="dxa" w:w="1101"/>
            <w:vAlign w:val="center"/>
            <w:tcMar>
              <w:top w:w="75" w:type="dxa"/>
              <w:bottom w:w="75" w:type="dxa"/>
              <w:left w:w="85" w:type="dxa"/>
              <w:right w:w="85" w:type="dxa"/>
            </w:tcMar>
          </w:tcPr>
          <w:p>
            <w:pPr>
              <w:spacing w:after="0" w:line="250" w:lineRule="auto"/>
              <w:jc w:val="right"/>
            </w:pPr>
            <w:r>
              <w:rPr>
                <w:sz w:val="16"/>
              </w:rPr>
              <w:t>30</w:t>
            </w:r>
          </w:p>
        </w:tc>
        <w:tc>
          <w:tcPr>
            <w:tcW w:type="dxa" w:w="1101"/>
            <w:vAlign w:val="center"/>
            <w:tcMar>
              <w:top w:w="75" w:type="dxa"/>
              <w:bottom w:w="75" w:type="dxa"/>
              <w:left w:w="85" w:type="dxa"/>
              <w:right w:w="85" w:type="dxa"/>
            </w:tcMar>
          </w:tcPr>
          <w:p>
            <w:pPr>
              <w:spacing w:after="0" w:line="250" w:lineRule="auto"/>
              <w:jc w:val="right"/>
            </w:pPr>
            <w:r>
              <w:rPr>
                <w:sz w:val="16"/>
              </w:rPr>
              <w:t>180</w:t>
            </w:r>
          </w:p>
        </w:tc>
        <w:tc>
          <w:tcPr>
            <w:tcW w:type="dxa" w:w="1101"/>
            <w:vAlign w:val="center"/>
            <w:tcMar>
              <w:top w:w="75" w:type="dxa"/>
              <w:bottom w:w="75" w:type="dxa"/>
              <w:left w:w="85" w:type="dxa"/>
              <w:right w:w="85" w:type="dxa"/>
            </w:tcMar>
          </w:tcPr>
          <w:p>
            <w:pPr>
              <w:spacing w:after="0" w:line="250" w:lineRule="auto"/>
              <w:jc w:val="right"/>
            </w:pPr>
            <w:r>
              <w:rPr>
                <w:sz w:val="16"/>
              </w:rPr>
              <w:t>500</w:t>
            </w:r>
          </w:p>
        </w:tc>
      </w:tr>
      <w:tr>
        <w:trPr>
          <w:cantSplit/>
        </w:trPr>
        <w:tc>
          <w:tcPr>
            <w:tcW w:type="dxa" w:w="3341"/>
            <w:vAlign w:val="center"/>
            <w:tcMar>
              <w:top w:w="75" w:type="dxa"/>
              <w:bottom w:w="75" w:type="dxa"/>
              <w:left w:w="85" w:type="dxa"/>
              <w:right w:w="85" w:type="dxa"/>
            </w:tcMar>
            <w:shd w:fill="F8F1E9"/>
          </w:tcPr>
          <w:p>
            <w:pPr>
              <w:spacing w:after="0" w:line="250" w:lineRule="auto"/>
            </w:pPr>
            <w:r>
              <w:rPr>
                <w:sz w:val="16"/>
              </w:rPr>
              <w:t>Marketing, media and activations</w:t>
            </w:r>
          </w:p>
        </w:tc>
        <w:tc>
          <w:tcPr>
            <w:tcW w:type="dxa" w:w="1101"/>
            <w:vAlign w:val="center"/>
            <w:tcMar>
              <w:top w:w="75" w:type="dxa"/>
              <w:bottom w:w="75" w:type="dxa"/>
              <w:left w:w="85" w:type="dxa"/>
              <w:right w:w="85" w:type="dxa"/>
            </w:tcMar>
            <w:shd w:fill="F8F1E9"/>
          </w:tcPr>
          <w:p>
            <w:pPr>
              <w:spacing w:after="0" w:line="250" w:lineRule="auto"/>
              <w:jc w:val="right"/>
            </w:pPr>
            <w:r>
              <w:rPr>
                <w:sz w:val="16"/>
              </w:rPr>
              <w:t>1.0</w:t>
            </w:r>
          </w:p>
        </w:tc>
        <w:tc>
          <w:tcPr>
            <w:tcW w:type="dxa" w:w="1101"/>
            <w:vAlign w:val="center"/>
            <w:tcMar>
              <w:top w:w="75" w:type="dxa"/>
              <w:bottom w:w="75" w:type="dxa"/>
              <w:left w:w="85" w:type="dxa"/>
              <w:right w:w="85" w:type="dxa"/>
            </w:tcMar>
            <w:shd w:fill="F8F1E9"/>
          </w:tcPr>
          <w:p>
            <w:pPr>
              <w:spacing w:after="0" w:line="250" w:lineRule="auto"/>
              <w:jc w:val="right"/>
            </w:pPr>
            <w:r>
              <w:rPr>
                <w:sz w:val="16"/>
              </w:rPr>
              <w:t>2.0</w:t>
            </w:r>
          </w:p>
        </w:tc>
        <w:tc>
          <w:tcPr>
            <w:tcW w:type="dxa" w:w="1101"/>
            <w:vAlign w:val="center"/>
            <w:tcMar>
              <w:top w:w="75" w:type="dxa"/>
              <w:bottom w:w="75" w:type="dxa"/>
              <w:left w:w="85" w:type="dxa"/>
              <w:right w:w="85" w:type="dxa"/>
            </w:tcMar>
            <w:shd w:fill="F8F1E9"/>
          </w:tcPr>
          <w:p>
            <w:pPr>
              <w:spacing w:after="0" w:line="250" w:lineRule="auto"/>
              <w:jc w:val="right"/>
            </w:pPr>
            <w:r>
              <w:rPr>
                <w:sz w:val="16"/>
              </w:rPr>
              <w:t>35</w:t>
            </w:r>
          </w:p>
        </w:tc>
        <w:tc>
          <w:tcPr>
            <w:tcW w:type="dxa" w:w="1101"/>
            <w:vAlign w:val="center"/>
            <w:tcMar>
              <w:top w:w="75" w:type="dxa"/>
              <w:bottom w:w="75" w:type="dxa"/>
              <w:left w:w="85" w:type="dxa"/>
              <w:right w:w="85" w:type="dxa"/>
            </w:tcMar>
            <w:shd w:fill="F8F1E9"/>
          </w:tcPr>
          <w:p>
            <w:pPr>
              <w:spacing w:after="0" w:line="250" w:lineRule="auto"/>
              <w:jc w:val="right"/>
            </w:pPr>
            <w:r>
              <w:rPr>
                <w:sz w:val="16"/>
              </w:rPr>
              <w:t>55</w:t>
            </w:r>
          </w:p>
        </w:tc>
        <w:tc>
          <w:tcPr>
            <w:tcW w:type="dxa" w:w="1101"/>
            <w:vAlign w:val="center"/>
            <w:tcMar>
              <w:top w:w="75" w:type="dxa"/>
              <w:bottom w:w="75" w:type="dxa"/>
              <w:left w:w="85" w:type="dxa"/>
              <w:right w:w="85" w:type="dxa"/>
            </w:tcMar>
            <w:shd w:fill="F8F1E9"/>
          </w:tcPr>
          <w:p>
            <w:pPr>
              <w:spacing w:after="0" w:line="250" w:lineRule="auto"/>
              <w:jc w:val="right"/>
            </w:pPr>
            <w:r>
              <w:rPr>
                <w:sz w:val="16"/>
              </w:rPr>
              <w:t>450</w:t>
            </w:r>
          </w:p>
        </w:tc>
        <w:tc>
          <w:tcPr>
            <w:tcW w:type="dxa" w:w="1101"/>
            <w:vAlign w:val="center"/>
            <w:tcMar>
              <w:top w:w="75" w:type="dxa"/>
              <w:bottom w:w="75" w:type="dxa"/>
              <w:left w:w="85" w:type="dxa"/>
              <w:right w:w="85" w:type="dxa"/>
            </w:tcMar>
            <w:shd w:fill="F8F1E9"/>
          </w:tcPr>
          <w:p>
            <w:pPr>
              <w:spacing w:after="0" w:line="250" w:lineRule="auto"/>
              <w:jc w:val="right"/>
            </w:pPr>
            <w:r>
              <w:rPr>
                <w:sz w:val="16"/>
              </w:rPr>
              <w:t>1,450</w:t>
            </w:r>
          </w:p>
        </w:tc>
      </w:tr>
      <w:tr>
        <w:trPr>
          <w:cantSplit/>
        </w:trPr>
        <w:tc>
          <w:tcPr>
            <w:tcW w:type="dxa" w:w="3341"/>
            <w:vAlign w:val="center"/>
            <w:tcMar>
              <w:top w:w="75" w:type="dxa"/>
              <w:bottom w:w="75" w:type="dxa"/>
              <w:left w:w="85" w:type="dxa"/>
              <w:right w:w="85" w:type="dxa"/>
            </w:tcMar>
          </w:tcPr>
          <w:p>
            <w:pPr>
              <w:spacing w:after="0" w:line="250" w:lineRule="auto"/>
            </w:pPr>
            <w:r>
              <w:rPr>
                <w:sz w:val="16"/>
              </w:rPr>
              <w:t>Distribution and partnership delivery</w:t>
            </w:r>
          </w:p>
        </w:tc>
        <w:tc>
          <w:tcPr>
            <w:tcW w:type="dxa" w:w="1101"/>
            <w:vAlign w:val="center"/>
            <w:tcMar>
              <w:top w:w="75" w:type="dxa"/>
              <w:bottom w:w="75" w:type="dxa"/>
              <w:left w:w="85" w:type="dxa"/>
              <w:right w:w="85" w:type="dxa"/>
            </w:tcMar>
          </w:tcPr>
          <w:p>
            <w:pPr>
              <w:spacing w:after="0" w:line="250" w:lineRule="auto"/>
              <w:jc w:val="right"/>
            </w:pPr>
            <w:r>
              <w:rPr>
                <w:sz w:val="16"/>
              </w:rPr>
              <w:t>0.5</w:t>
            </w:r>
          </w:p>
        </w:tc>
        <w:tc>
          <w:tcPr>
            <w:tcW w:type="dxa" w:w="1101"/>
            <w:vAlign w:val="center"/>
            <w:tcMar>
              <w:top w:w="75" w:type="dxa"/>
              <w:bottom w:w="75" w:type="dxa"/>
              <w:left w:w="85" w:type="dxa"/>
              <w:right w:w="85" w:type="dxa"/>
            </w:tcMar>
          </w:tcPr>
          <w:p>
            <w:pPr>
              <w:spacing w:after="0" w:line="250" w:lineRule="auto"/>
              <w:jc w:val="right"/>
            </w:pPr>
            <w:r>
              <w:rPr>
                <w:sz w:val="16"/>
              </w:rPr>
              <w:t>1.0</w:t>
            </w:r>
          </w:p>
        </w:tc>
        <w:tc>
          <w:tcPr>
            <w:tcW w:type="dxa" w:w="1101"/>
            <w:vAlign w:val="center"/>
            <w:tcMar>
              <w:top w:w="75" w:type="dxa"/>
              <w:bottom w:w="75" w:type="dxa"/>
              <w:left w:w="85" w:type="dxa"/>
              <w:right w:w="85" w:type="dxa"/>
            </w:tcMar>
          </w:tcPr>
          <w:p>
            <w:pPr>
              <w:spacing w:after="0" w:line="250" w:lineRule="auto"/>
              <w:jc w:val="right"/>
            </w:pPr>
            <w:r>
              <w:rPr>
                <w:sz w:val="16"/>
              </w:rPr>
              <w:t>15</w:t>
            </w:r>
          </w:p>
        </w:tc>
        <w:tc>
          <w:tcPr>
            <w:tcW w:type="dxa" w:w="1101"/>
            <w:vAlign w:val="center"/>
            <w:tcMar>
              <w:top w:w="75" w:type="dxa"/>
              <w:bottom w:w="75" w:type="dxa"/>
              <w:left w:w="85" w:type="dxa"/>
              <w:right w:w="85" w:type="dxa"/>
            </w:tcMar>
          </w:tcPr>
          <w:p>
            <w:pPr>
              <w:spacing w:after="0" w:line="250" w:lineRule="auto"/>
              <w:jc w:val="right"/>
            </w:pPr>
            <w:r>
              <w:rPr>
                <w:sz w:val="16"/>
              </w:rPr>
              <w:t>25</w:t>
            </w:r>
          </w:p>
        </w:tc>
        <w:tc>
          <w:tcPr>
            <w:tcW w:type="dxa" w:w="1101"/>
            <w:vAlign w:val="center"/>
            <w:tcMar>
              <w:top w:w="75" w:type="dxa"/>
              <w:bottom w:w="75" w:type="dxa"/>
              <w:left w:w="85" w:type="dxa"/>
              <w:right w:w="85" w:type="dxa"/>
            </w:tcMar>
          </w:tcPr>
          <w:p>
            <w:pPr>
              <w:spacing w:after="0" w:line="250" w:lineRule="auto"/>
              <w:jc w:val="right"/>
            </w:pPr>
            <w:r>
              <w:rPr>
                <w:sz w:val="16"/>
              </w:rPr>
              <w:t>200</w:t>
            </w:r>
          </w:p>
        </w:tc>
        <w:tc>
          <w:tcPr>
            <w:tcW w:type="dxa" w:w="1101"/>
            <w:vAlign w:val="center"/>
            <w:tcMar>
              <w:top w:w="75" w:type="dxa"/>
              <w:bottom w:w="75" w:type="dxa"/>
              <w:left w:w="85" w:type="dxa"/>
              <w:right w:w="85" w:type="dxa"/>
            </w:tcMar>
          </w:tcPr>
          <w:p>
            <w:pPr>
              <w:spacing w:after="0" w:line="250" w:lineRule="auto"/>
              <w:jc w:val="right"/>
            </w:pPr>
            <w:r>
              <w:rPr>
                <w:sz w:val="16"/>
              </w:rPr>
              <w:t>500</w:t>
            </w:r>
          </w:p>
        </w:tc>
      </w:tr>
      <w:tr>
        <w:trPr>
          <w:cantSplit/>
        </w:trPr>
        <w:tc>
          <w:tcPr>
            <w:tcW w:type="dxa" w:w="3341"/>
            <w:vAlign w:val="center"/>
            <w:tcMar>
              <w:top w:w="75" w:type="dxa"/>
              <w:bottom w:w="75" w:type="dxa"/>
              <w:left w:w="85" w:type="dxa"/>
              <w:right w:w="85" w:type="dxa"/>
            </w:tcMar>
            <w:shd w:fill="F8F1E9"/>
          </w:tcPr>
          <w:p>
            <w:pPr>
              <w:spacing w:after="0" w:line="250" w:lineRule="auto"/>
            </w:pPr>
            <w:r>
              <w:rPr>
                <w:sz w:val="16"/>
              </w:rPr>
              <w:t>Legal, compliance and international readiness</w:t>
            </w:r>
          </w:p>
        </w:tc>
        <w:tc>
          <w:tcPr>
            <w:tcW w:type="dxa" w:w="1101"/>
            <w:vAlign w:val="center"/>
            <w:tcMar>
              <w:top w:w="75" w:type="dxa"/>
              <w:bottom w:w="75" w:type="dxa"/>
              <w:left w:w="85" w:type="dxa"/>
              <w:right w:w="85" w:type="dxa"/>
            </w:tcMar>
            <w:shd w:fill="F8F1E9"/>
          </w:tcPr>
          <w:p>
            <w:pPr>
              <w:spacing w:after="0" w:line="250" w:lineRule="auto"/>
              <w:jc w:val="right"/>
            </w:pPr>
            <w:r>
              <w:rPr>
                <w:sz w:val="16"/>
              </w:rPr>
              <w:t>3.0</w:t>
            </w:r>
          </w:p>
        </w:tc>
        <w:tc>
          <w:tcPr>
            <w:tcW w:type="dxa" w:w="1101"/>
            <w:vAlign w:val="center"/>
            <w:tcMar>
              <w:top w:w="75" w:type="dxa"/>
              <w:bottom w:w="75" w:type="dxa"/>
              <w:left w:w="85" w:type="dxa"/>
              <w:right w:w="85" w:type="dxa"/>
            </w:tcMar>
            <w:shd w:fill="F8F1E9"/>
          </w:tcPr>
          <w:p>
            <w:pPr>
              <w:spacing w:after="0" w:line="250" w:lineRule="auto"/>
              <w:jc w:val="right"/>
            </w:pPr>
            <w:r>
              <w:rPr>
                <w:sz w:val="16"/>
              </w:rPr>
              <w:t>5.0</w:t>
            </w:r>
          </w:p>
        </w:tc>
        <w:tc>
          <w:tcPr>
            <w:tcW w:type="dxa" w:w="1101"/>
            <w:vAlign w:val="center"/>
            <w:tcMar>
              <w:top w:w="75" w:type="dxa"/>
              <w:bottom w:w="75" w:type="dxa"/>
              <w:left w:w="85" w:type="dxa"/>
              <w:right w:w="85" w:type="dxa"/>
            </w:tcMar>
            <w:shd w:fill="F8F1E9"/>
          </w:tcPr>
          <w:p>
            <w:pPr>
              <w:spacing w:after="0" w:line="250" w:lineRule="auto"/>
              <w:jc w:val="right"/>
            </w:pPr>
            <w:r>
              <w:rPr>
                <w:sz w:val="16"/>
              </w:rPr>
              <w:t>25</w:t>
            </w:r>
          </w:p>
        </w:tc>
        <w:tc>
          <w:tcPr>
            <w:tcW w:type="dxa" w:w="1101"/>
            <w:vAlign w:val="center"/>
            <w:tcMar>
              <w:top w:w="75" w:type="dxa"/>
              <w:bottom w:w="75" w:type="dxa"/>
              <w:left w:w="85" w:type="dxa"/>
              <w:right w:w="85" w:type="dxa"/>
            </w:tcMar>
            <w:shd w:fill="F8F1E9"/>
          </w:tcPr>
          <w:p>
            <w:pPr>
              <w:spacing w:after="0" w:line="250" w:lineRule="auto"/>
              <w:jc w:val="right"/>
            </w:pPr>
            <w:r>
              <w:rPr>
                <w:sz w:val="16"/>
              </w:rPr>
              <w:t>30</w:t>
            </w:r>
          </w:p>
        </w:tc>
        <w:tc>
          <w:tcPr>
            <w:tcW w:type="dxa" w:w="1101"/>
            <w:vAlign w:val="center"/>
            <w:tcMar>
              <w:top w:w="75" w:type="dxa"/>
              <w:bottom w:w="75" w:type="dxa"/>
              <w:left w:w="85" w:type="dxa"/>
              <w:right w:w="85" w:type="dxa"/>
            </w:tcMar>
            <w:shd w:fill="F8F1E9"/>
          </w:tcPr>
          <w:p>
            <w:pPr>
              <w:spacing w:after="0" w:line="250" w:lineRule="auto"/>
              <w:jc w:val="right"/>
            </w:pPr>
            <w:r>
              <w:rPr>
                <w:sz w:val="16"/>
              </w:rPr>
              <w:t>160</w:t>
            </w:r>
          </w:p>
        </w:tc>
        <w:tc>
          <w:tcPr>
            <w:tcW w:type="dxa" w:w="1101"/>
            <w:vAlign w:val="center"/>
            <w:tcMar>
              <w:top w:w="75" w:type="dxa"/>
              <w:bottom w:w="75" w:type="dxa"/>
              <w:left w:w="85" w:type="dxa"/>
              <w:right w:w="85" w:type="dxa"/>
            </w:tcMar>
            <w:shd w:fill="F8F1E9"/>
          </w:tcPr>
          <w:p>
            <w:pPr>
              <w:spacing w:after="0" w:line="250" w:lineRule="auto"/>
              <w:jc w:val="right"/>
            </w:pPr>
            <w:r>
              <w:rPr>
                <w:sz w:val="16"/>
              </w:rPr>
              <w:t>350</w:t>
            </w:r>
          </w:p>
        </w:tc>
      </w:tr>
      <w:tr>
        <w:trPr>
          <w:cantSplit/>
        </w:trPr>
        <w:tc>
          <w:tcPr>
            <w:tcW w:type="dxa" w:w="3341"/>
            <w:vAlign w:val="center"/>
            <w:tcMar>
              <w:top w:w="75" w:type="dxa"/>
              <w:bottom w:w="75" w:type="dxa"/>
              <w:left w:w="85" w:type="dxa"/>
              <w:right w:w="85" w:type="dxa"/>
            </w:tcMar>
          </w:tcPr>
          <w:p>
            <w:pPr>
              <w:spacing w:after="0" w:line="250" w:lineRule="auto"/>
            </w:pPr>
            <w:r>
              <w:rPr>
                <w:sz w:val="16"/>
              </w:rPr>
              <w:t>Corporate operations and administration</w:t>
            </w:r>
          </w:p>
        </w:tc>
        <w:tc>
          <w:tcPr>
            <w:tcW w:type="dxa" w:w="1101"/>
            <w:vAlign w:val="center"/>
            <w:tcMar>
              <w:top w:w="75" w:type="dxa"/>
              <w:bottom w:w="75" w:type="dxa"/>
              <w:left w:w="85" w:type="dxa"/>
              <w:right w:w="85" w:type="dxa"/>
            </w:tcMar>
          </w:tcPr>
          <w:p>
            <w:pPr>
              <w:spacing w:after="0" w:line="250" w:lineRule="auto"/>
              <w:jc w:val="right"/>
            </w:pPr>
            <w:r>
              <w:rPr>
                <w:sz w:val="16"/>
              </w:rPr>
              <w:t>1.5</w:t>
            </w:r>
          </w:p>
        </w:tc>
        <w:tc>
          <w:tcPr>
            <w:tcW w:type="dxa" w:w="1101"/>
            <w:vAlign w:val="center"/>
            <w:tcMar>
              <w:top w:w="75" w:type="dxa"/>
              <w:bottom w:w="75" w:type="dxa"/>
              <w:left w:w="85" w:type="dxa"/>
              <w:right w:w="85" w:type="dxa"/>
            </w:tcMar>
          </w:tcPr>
          <w:p>
            <w:pPr>
              <w:spacing w:after="0" w:line="250" w:lineRule="auto"/>
              <w:jc w:val="right"/>
            </w:pPr>
            <w:r>
              <w:rPr>
                <w:sz w:val="16"/>
              </w:rPr>
              <w:t>2.0</w:t>
            </w:r>
          </w:p>
        </w:tc>
        <w:tc>
          <w:tcPr>
            <w:tcW w:type="dxa" w:w="1101"/>
            <w:vAlign w:val="center"/>
            <w:tcMar>
              <w:top w:w="75" w:type="dxa"/>
              <w:bottom w:w="75" w:type="dxa"/>
              <w:left w:w="85" w:type="dxa"/>
              <w:right w:w="85" w:type="dxa"/>
            </w:tcMar>
          </w:tcPr>
          <w:p>
            <w:pPr>
              <w:spacing w:after="0" w:line="250" w:lineRule="auto"/>
              <w:jc w:val="right"/>
            </w:pPr>
            <w:r>
              <w:rPr>
                <w:sz w:val="16"/>
              </w:rPr>
              <w:t>20</w:t>
            </w:r>
          </w:p>
        </w:tc>
        <w:tc>
          <w:tcPr>
            <w:tcW w:type="dxa" w:w="1101"/>
            <w:vAlign w:val="center"/>
            <w:tcMar>
              <w:top w:w="75" w:type="dxa"/>
              <w:bottom w:w="75" w:type="dxa"/>
              <w:left w:w="85" w:type="dxa"/>
              <w:right w:w="85" w:type="dxa"/>
            </w:tcMar>
          </w:tcPr>
          <w:p>
            <w:pPr>
              <w:spacing w:after="0" w:line="250" w:lineRule="auto"/>
              <w:jc w:val="right"/>
            </w:pPr>
            <w:r>
              <w:rPr>
                <w:sz w:val="16"/>
              </w:rPr>
              <w:t>25</w:t>
            </w:r>
          </w:p>
        </w:tc>
        <w:tc>
          <w:tcPr>
            <w:tcW w:type="dxa" w:w="1101"/>
            <w:vAlign w:val="center"/>
            <w:tcMar>
              <w:top w:w="75" w:type="dxa"/>
              <w:bottom w:w="75" w:type="dxa"/>
              <w:left w:w="85" w:type="dxa"/>
              <w:right w:w="85" w:type="dxa"/>
            </w:tcMar>
          </w:tcPr>
          <w:p>
            <w:pPr>
              <w:spacing w:after="0" w:line="250" w:lineRule="auto"/>
              <w:jc w:val="right"/>
            </w:pPr>
            <w:r>
              <w:rPr>
                <w:sz w:val="16"/>
              </w:rPr>
              <w:t>100</w:t>
            </w:r>
          </w:p>
        </w:tc>
        <w:tc>
          <w:tcPr>
            <w:tcW w:type="dxa" w:w="1101"/>
            <w:vAlign w:val="center"/>
            <w:tcMar>
              <w:top w:w="75" w:type="dxa"/>
              <w:bottom w:w="75" w:type="dxa"/>
              <w:left w:w="85" w:type="dxa"/>
              <w:right w:w="85" w:type="dxa"/>
            </w:tcMar>
          </w:tcPr>
          <w:p>
            <w:pPr>
              <w:spacing w:after="0" w:line="250" w:lineRule="auto"/>
              <w:jc w:val="right"/>
            </w:pPr>
            <w:r>
              <w:rPr>
                <w:sz w:val="16"/>
              </w:rPr>
              <w:t>200</w:t>
            </w:r>
          </w:p>
        </w:tc>
      </w:tr>
      <w:tr>
        <w:trPr>
          <w:cantSplit/>
        </w:trPr>
        <w:tc>
          <w:tcPr>
            <w:tcW w:type="dxa" w:w="3341"/>
            <w:vAlign w:val="center"/>
            <w:tcMar>
              <w:top w:w="75" w:type="dxa"/>
              <w:bottom w:w="75" w:type="dxa"/>
              <w:left w:w="85" w:type="dxa"/>
              <w:right w:w="85" w:type="dxa"/>
            </w:tcMar>
            <w:shd w:fill="F8F1E9"/>
          </w:tcPr>
          <w:p>
            <w:pPr>
              <w:spacing w:after="0" w:line="250" w:lineRule="auto"/>
            </w:pPr>
            <w:r>
              <w:rPr>
                <w:sz w:val="16"/>
              </w:rPr>
              <w:t>Uncommitted contingency</w:t>
            </w:r>
          </w:p>
        </w:tc>
        <w:tc>
          <w:tcPr>
            <w:tcW w:type="dxa" w:w="1101"/>
            <w:vAlign w:val="center"/>
            <w:tcMar>
              <w:top w:w="75" w:type="dxa"/>
              <w:bottom w:w="75" w:type="dxa"/>
              <w:left w:w="85" w:type="dxa"/>
              <w:right w:w="85" w:type="dxa"/>
            </w:tcMar>
            <w:shd w:fill="F8F1E9"/>
          </w:tcPr>
          <w:p>
            <w:pPr>
              <w:spacing w:after="0" w:line="250" w:lineRule="auto"/>
              <w:jc w:val="right"/>
            </w:pPr>
            <w:r>
              <w:rPr>
                <w:sz w:val="16"/>
              </w:rPr>
              <w:t>1.0</w:t>
            </w:r>
          </w:p>
        </w:tc>
        <w:tc>
          <w:tcPr>
            <w:tcW w:type="dxa" w:w="1101"/>
            <w:vAlign w:val="center"/>
            <w:tcMar>
              <w:top w:w="75" w:type="dxa"/>
              <w:bottom w:w="75" w:type="dxa"/>
              <w:left w:w="85" w:type="dxa"/>
              <w:right w:w="85" w:type="dxa"/>
            </w:tcMar>
            <w:shd w:fill="F8F1E9"/>
          </w:tcPr>
          <w:p>
            <w:pPr>
              <w:spacing w:after="0" w:line="250" w:lineRule="auto"/>
              <w:jc w:val="right"/>
            </w:pPr>
            <w:r>
              <w:rPr>
                <w:sz w:val="16"/>
              </w:rPr>
              <w:t>2.0</w:t>
            </w:r>
          </w:p>
        </w:tc>
        <w:tc>
          <w:tcPr>
            <w:tcW w:type="dxa" w:w="1101"/>
            <w:vAlign w:val="center"/>
            <w:tcMar>
              <w:top w:w="75" w:type="dxa"/>
              <w:bottom w:w="75" w:type="dxa"/>
              <w:left w:w="85" w:type="dxa"/>
              <w:right w:w="85" w:type="dxa"/>
            </w:tcMar>
            <w:shd w:fill="F8F1E9"/>
          </w:tcPr>
          <w:p>
            <w:pPr>
              <w:spacing w:after="0" w:line="250" w:lineRule="auto"/>
              <w:jc w:val="right"/>
            </w:pPr>
            <w:r>
              <w:rPr>
                <w:sz w:val="16"/>
              </w:rPr>
              <w:t>20</w:t>
            </w:r>
          </w:p>
        </w:tc>
        <w:tc>
          <w:tcPr>
            <w:tcW w:type="dxa" w:w="1101"/>
            <w:vAlign w:val="center"/>
            <w:tcMar>
              <w:top w:w="75" w:type="dxa"/>
              <w:bottom w:w="75" w:type="dxa"/>
              <w:left w:w="85" w:type="dxa"/>
              <w:right w:w="85" w:type="dxa"/>
            </w:tcMar>
            <w:shd w:fill="F8F1E9"/>
          </w:tcPr>
          <w:p>
            <w:pPr>
              <w:spacing w:after="0" w:line="250" w:lineRule="auto"/>
              <w:jc w:val="right"/>
            </w:pPr>
            <w:r>
              <w:rPr>
                <w:sz w:val="16"/>
              </w:rPr>
              <w:t>25</w:t>
            </w:r>
          </w:p>
        </w:tc>
        <w:tc>
          <w:tcPr>
            <w:tcW w:type="dxa" w:w="1101"/>
            <w:vAlign w:val="center"/>
            <w:tcMar>
              <w:top w:w="75" w:type="dxa"/>
              <w:bottom w:w="75" w:type="dxa"/>
              <w:left w:w="85" w:type="dxa"/>
              <w:right w:w="85" w:type="dxa"/>
            </w:tcMar>
            <w:shd w:fill="F8F1E9"/>
          </w:tcPr>
          <w:p>
            <w:pPr>
              <w:spacing w:after="0" w:line="250" w:lineRule="auto"/>
              <w:jc w:val="right"/>
            </w:pPr>
            <w:r>
              <w:rPr>
                <w:sz w:val="16"/>
              </w:rPr>
              <w:t>150</w:t>
            </w:r>
          </w:p>
        </w:tc>
        <w:tc>
          <w:tcPr>
            <w:tcW w:type="dxa" w:w="1101"/>
            <w:vAlign w:val="center"/>
            <w:tcMar>
              <w:top w:w="75" w:type="dxa"/>
              <w:bottom w:w="75" w:type="dxa"/>
              <w:left w:w="85" w:type="dxa"/>
              <w:right w:w="85" w:type="dxa"/>
            </w:tcMar>
            <w:shd w:fill="F8F1E9"/>
          </w:tcPr>
          <w:p>
            <w:pPr>
              <w:spacing w:after="0" w:line="250" w:lineRule="auto"/>
              <w:jc w:val="right"/>
            </w:pPr>
            <w:r>
              <w:rPr>
                <w:sz w:val="16"/>
              </w:rPr>
              <w:t>250</w:t>
            </w:r>
          </w:p>
        </w:tc>
      </w:tr>
      <w:tr>
        <w:trPr>
          <w:cantSplit/>
        </w:trPr>
        <w:tc>
          <w:tcPr>
            <w:tcW w:type="dxa" w:w="3341"/>
            <w:vAlign w:val="center"/>
            <w:tcMar>
              <w:top w:w="75" w:type="dxa"/>
              <w:bottom w:w="75" w:type="dxa"/>
              <w:left w:w="85" w:type="dxa"/>
              <w:right w:w="85" w:type="dxa"/>
            </w:tcMar>
          </w:tcPr>
          <w:p>
            <w:pPr>
              <w:spacing w:after="0" w:line="250" w:lineRule="auto"/>
            </w:pPr>
            <w:r>
              <w:rPr>
                <w:b/>
                <w:sz w:val="16"/>
              </w:rPr>
              <w:t>Total</w:t>
            </w:r>
          </w:p>
        </w:tc>
        <w:tc>
          <w:tcPr>
            <w:tcW w:type="dxa" w:w="1101"/>
            <w:vAlign w:val="center"/>
            <w:tcMar>
              <w:top w:w="75" w:type="dxa"/>
              <w:bottom w:w="75" w:type="dxa"/>
              <w:left w:w="85" w:type="dxa"/>
              <w:right w:w="85" w:type="dxa"/>
            </w:tcMar>
          </w:tcPr>
          <w:p>
            <w:pPr>
              <w:spacing w:after="0" w:line="250" w:lineRule="auto"/>
              <w:jc w:val="right"/>
            </w:pPr>
            <w:r>
              <w:rPr>
                <w:b/>
                <w:sz w:val="16"/>
              </w:rPr>
              <w:t>15</w:t>
            </w:r>
          </w:p>
        </w:tc>
        <w:tc>
          <w:tcPr>
            <w:tcW w:type="dxa" w:w="1101"/>
            <w:vAlign w:val="center"/>
            <w:tcMar>
              <w:top w:w="75" w:type="dxa"/>
              <w:bottom w:w="75" w:type="dxa"/>
              <w:left w:w="85" w:type="dxa"/>
              <w:right w:w="85" w:type="dxa"/>
            </w:tcMar>
          </w:tcPr>
          <w:p>
            <w:pPr>
              <w:spacing w:after="0" w:line="250" w:lineRule="auto"/>
              <w:jc w:val="right"/>
            </w:pPr>
            <w:r>
              <w:rPr>
                <w:b/>
                <w:sz w:val="16"/>
              </w:rPr>
              <w:t>25</w:t>
            </w:r>
          </w:p>
        </w:tc>
        <w:tc>
          <w:tcPr>
            <w:tcW w:type="dxa" w:w="1101"/>
            <w:vAlign w:val="center"/>
            <w:tcMar>
              <w:top w:w="75" w:type="dxa"/>
              <w:bottom w:w="75" w:type="dxa"/>
              <w:left w:w="85" w:type="dxa"/>
              <w:right w:w="85" w:type="dxa"/>
            </w:tcMar>
          </w:tcPr>
          <w:p>
            <w:pPr>
              <w:spacing w:after="0" w:line="250" w:lineRule="auto"/>
              <w:jc w:val="right"/>
            </w:pPr>
            <w:r>
              <w:rPr>
                <w:b/>
                <w:sz w:val="16"/>
              </w:rPr>
              <w:t>250</w:t>
            </w:r>
          </w:p>
        </w:tc>
        <w:tc>
          <w:tcPr>
            <w:tcW w:type="dxa" w:w="1101"/>
            <w:vAlign w:val="center"/>
            <w:tcMar>
              <w:top w:w="75" w:type="dxa"/>
              <w:bottom w:w="75" w:type="dxa"/>
              <w:left w:w="85" w:type="dxa"/>
              <w:right w:w="85" w:type="dxa"/>
            </w:tcMar>
          </w:tcPr>
          <w:p>
            <w:pPr>
              <w:spacing w:after="0" w:line="250" w:lineRule="auto"/>
              <w:jc w:val="right"/>
            </w:pPr>
            <w:r>
              <w:rPr>
                <w:b/>
                <w:sz w:val="16"/>
              </w:rPr>
              <w:t>350</w:t>
            </w:r>
          </w:p>
        </w:tc>
        <w:tc>
          <w:tcPr>
            <w:tcW w:type="dxa" w:w="1101"/>
            <w:vAlign w:val="center"/>
            <w:tcMar>
              <w:top w:w="75" w:type="dxa"/>
              <w:bottom w:w="75" w:type="dxa"/>
              <w:left w:w="85" w:type="dxa"/>
              <w:right w:w="85" w:type="dxa"/>
            </w:tcMar>
          </w:tcPr>
          <w:p>
            <w:pPr>
              <w:spacing w:after="0" w:line="250" w:lineRule="auto"/>
              <w:jc w:val="right"/>
            </w:pPr>
            <w:r>
              <w:rPr>
                <w:b/>
                <w:sz w:val="16"/>
              </w:rPr>
              <w:t>2,000</w:t>
            </w:r>
          </w:p>
        </w:tc>
        <w:tc>
          <w:tcPr>
            <w:tcW w:type="dxa" w:w="1101"/>
            <w:vAlign w:val="center"/>
            <w:tcMar>
              <w:top w:w="75" w:type="dxa"/>
              <w:bottom w:w="75" w:type="dxa"/>
              <w:left w:w="85" w:type="dxa"/>
              <w:right w:w="85" w:type="dxa"/>
            </w:tcMar>
          </w:tcPr>
          <w:p>
            <w:pPr>
              <w:spacing w:after="0" w:line="250" w:lineRule="auto"/>
              <w:jc w:val="right"/>
            </w:pPr>
            <w:r>
              <w:rPr>
                <w:b/>
                <w:sz w:val="16"/>
              </w:rPr>
              <w:t>5,000</w:t>
            </w:r>
          </w:p>
        </w:tc>
      </w:tr>
    </w:tbl>
    <w:p>
      <w:pPr>
        <w:spacing w:after="20" w:before="0" w:line="72" w:lineRule="auto"/>
      </w:pPr>
      <w:r>
        <w:rPr>
          <w:sz w:val="4"/>
        </w:rPr>
      </w:r>
    </w:p>
    <w:p>
      <w:r>
        <w:t xml:space="preserve">The allocations make cloud expenditure and legal/international readiness explicit, while supporting exercise alongside nutrition within the woman-centred proposition. </w:t>
      </w:r>
      <w:r>
        <w:rPr>
          <w:b/>
        </w:rPr>
        <w:t>Version 1.1 changes the positioning and delivery scope, not the financial envelopes.</w:t>
      </w:r>
      <w:r>
        <w:t xml:space="preserve"> Content, marketing and distribution together still receive €890K of €2M and €2.55M of €5M. Community co-design, facilitation and moderation must be costed within the existing functional lines; activities are phased or substituted if capacity is insufficient.</w:t>
      </w:r>
    </w:p>
    <w:p>
      <w:r>
        <w:rPr/>
        <w:t>The non-contingency envelope averages approximately €77.1K per month over 24 months in the €2M case and €197.9K in the €5M case. These are expenditure averages, not current burn or a forecast of net cash use. Fees, employer costs, non-recoverable taxes and vendor commitments must fit inside the allocations. Fundraising transaction costs reduce deployable cash and must be explicitly deducted from the reserve or another line before commitments are made.</w:t>
      </w:r>
    </w:p>
    <w:p>
      <w:r>
        <w:rPr/>
        <w:t>Customer receipts may extend resources, but are not required to make the expenditure columns add up. Conversely, no grant, unclosed investment or hoped-for sponsorship is assumed as cash in the base plan. The reserve is not a spending target.</w:t>
      </w:r>
    </w:p>
    <w:p>
      <w:bookmarkStart w:id="6" w:name="section_6"/>
      <w:pPr>
        <w:pStyle w:val="Heading1"/>
      </w:pPr>
      <w:r>
        <w:rPr/>
        <w:t>6. What larger capital accelerates</w:t>
      </w:r>
      <w:bookmarkEnd w:id="6"/>
    </w:p>
    <w:p>
      <w:r>
        <w:t>Larger capital replaces serial founder effort with coordinated delivery of the same woman-centred proposition. Product reliability, reviewed cycle-aware content, community facilitation, partner onboarding, growth experiments and country due diligence can proceed in parallel rather than wait for the same person. Investment strengthens the experience and its delivery; it does not turn NutriSync into an unrelated collection of wellness services.</w:t>
      </w:r>
    </w:p>
    <w:tbl>
      <w:tblPr>
        <w:tblW w:type="auto" w:w="0"/>
        <w:jc w:val="center"/>
        <w:tblLayout w:type="fixed"/>
        <w:tblLook w:firstColumn="1" w:firstRow="1" w:lastColumn="0" w:lastRow="0" w:noHBand="0" w:noVBand="1" w:val="04A0"/>
      </w:tblPr>
      <w:tblGrid>
        <w:gridCol w:w="1656"/>
        <w:gridCol w:w="2693"/>
        <w:gridCol w:w="2794"/>
        <w:gridCol w:w="2805"/>
      </w:tblGrid>
      <w:tr>
        <w:trPr>
          <w:cantSplit/>
          <w:tblHeader/>
        </w:trPr>
        <w:tc>
          <w:tcPr>
            <w:tcW w:type="dxa" w:w="1656"/>
            <w:vAlign w:val="center"/>
            <w:tcMar>
              <w:top w:w="75" w:type="dxa"/>
              <w:bottom w:w="75" w:type="dxa"/>
              <w:left w:w="85" w:type="dxa"/>
              <w:right w:w="85" w:type="dxa"/>
            </w:tcMar>
            <w:shd w:fill="282220"/>
          </w:tcPr>
          <w:p>
            <w:pPr>
              <w:spacing w:after="0" w:line="250" w:lineRule="auto"/>
            </w:pPr>
            <w:r>
              <w:rPr>
                <w:b/>
                <w:color w:val="FFFFFF"/>
                <w:sz w:val="18"/>
              </w:rPr>
              <w:t>Workstream</w:t>
            </w:r>
          </w:p>
        </w:tc>
        <w:tc>
          <w:tcPr>
            <w:tcW w:type="dxa" w:w="2693"/>
            <w:vAlign w:val="center"/>
            <w:tcMar>
              <w:top w:w="75" w:type="dxa"/>
              <w:bottom w:w="75" w:type="dxa"/>
              <w:left w:w="85" w:type="dxa"/>
              <w:right w:w="85" w:type="dxa"/>
            </w:tcMar>
            <w:shd w:fill="282220"/>
          </w:tcPr>
          <w:p>
            <w:pPr>
              <w:spacing w:after="0" w:line="250" w:lineRule="auto"/>
              <w:jc w:val="right"/>
            </w:pPr>
            <w:r>
              <w:rPr>
                <w:b/>
                <w:color w:val="FFFFFF"/>
                <w:sz w:val="18"/>
              </w:rPr>
              <w:t>€250–350K</w:t>
            </w:r>
          </w:p>
        </w:tc>
        <w:tc>
          <w:tcPr>
            <w:tcW w:type="dxa" w:w="2794"/>
            <w:vAlign w:val="center"/>
            <w:tcMar>
              <w:top w:w="75" w:type="dxa"/>
              <w:bottom w:w="75" w:type="dxa"/>
              <w:left w:w="85" w:type="dxa"/>
              <w:right w:w="85" w:type="dxa"/>
            </w:tcMar>
            <w:shd w:fill="282220"/>
          </w:tcPr>
          <w:p>
            <w:pPr>
              <w:spacing w:after="0" w:line="250" w:lineRule="auto"/>
              <w:jc w:val="right"/>
            </w:pPr>
            <w:r>
              <w:rPr>
                <w:b/>
                <w:color w:val="FFFFFF"/>
                <w:sz w:val="18"/>
              </w:rPr>
              <w:t>€2M</w:t>
            </w:r>
          </w:p>
        </w:tc>
        <w:tc>
          <w:tcPr>
            <w:tcW w:type="dxa" w:w="2805"/>
            <w:vAlign w:val="center"/>
            <w:tcMar>
              <w:top w:w="75" w:type="dxa"/>
              <w:bottom w:w="75" w:type="dxa"/>
              <w:left w:w="85" w:type="dxa"/>
              <w:right w:w="85" w:type="dxa"/>
            </w:tcMar>
            <w:shd w:fill="282220"/>
          </w:tcPr>
          <w:p>
            <w:pPr>
              <w:spacing w:after="0" w:line="250" w:lineRule="auto"/>
              <w:jc w:val="right"/>
            </w:pPr>
            <w:r>
              <w:rPr>
                <w:b/>
                <w:color w:val="FFFFFF"/>
                <w:sz w:val="18"/>
              </w:rPr>
              <w:t>€5M</w:t>
            </w:r>
          </w:p>
        </w:tc>
      </w:tr>
      <w:tr>
        <w:trPr>
          <w:cantSplit/>
        </w:trPr>
        <w:tc>
          <w:tcPr>
            <w:tcW w:type="dxa" w:w="1656"/>
            <w:vAlign w:val="center"/>
            <w:tcMar>
              <w:top w:w="75" w:type="dxa"/>
              <w:bottom w:w="75" w:type="dxa"/>
              <w:left w:w="85" w:type="dxa"/>
              <w:right w:w="85" w:type="dxa"/>
            </w:tcMar>
            <w:shd w:fill="F8F1E9"/>
          </w:tcPr>
          <w:p>
            <w:pPr>
              <w:spacing w:after="0" w:line="250" w:lineRule="auto"/>
            </w:pPr>
            <w:r>
              <w:rPr>
                <w:sz w:val="18"/>
              </w:rPr>
              <w:t>Product and engineering</w:t>
            </w:r>
          </w:p>
        </w:tc>
        <w:tc>
          <w:tcPr>
            <w:tcW w:type="dxa" w:w="2693"/>
            <w:vAlign w:val="center"/>
            <w:tcMar>
              <w:top w:w="75" w:type="dxa"/>
              <w:bottom w:w="75" w:type="dxa"/>
              <w:left w:w="85" w:type="dxa"/>
              <w:right w:w="85" w:type="dxa"/>
            </w:tcMar>
            <w:shd w:fill="F8F1E9"/>
          </w:tcPr>
          <w:p>
            <w:pPr>
              <w:spacing w:after="0" w:line="250" w:lineRule="auto"/>
            </w:pPr>
            <w:r>
              <w:rPr>
                <w:sz w:val="18"/>
              </w:rPr>
              <w:t>Prioritised fixes and core release quality.</w:t>
            </w:r>
          </w:p>
        </w:tc>
        <w:tc>
          <w:tcPr>
            <w:tcW w:type="dxa" w:w="2794"/>
            <w:vAlign w:val="center"/>
            <w:tcMar>
              <w:top w:w="75" w:type="dxa"/>
              <w:bottom w:w="75" w:type="dxa"/>
              <w:left w:w="85" w:type="dxa"/>
              <w:right w:w="85" w:type="dxa"/>
            </w:tcMar>
            <w:shd w:fill="F8F1E9"/>
          </w:tcPr>
          <w:p>
            <w:pPr>
              <w:spacing w:after="0" w:line="250" w:lineRule="auto"/>
            </w:pPr>
            <w:r>
              <w:rPr>
                <w:sz w:val="18"/>
              </w:rPr>
              <w:t>Stable cycle-aware experience, policy-aware connections, private records and safe participation controls.</w:t>
            </w:r>
          </w:p>
        </w:tc>
        <w:tc>
          <w:tcPr>
            <w:tcW w:type="dxa" w:w="2805"/>
            <w:vAlign w:val="center"/>
            <w:tcMar>
              <w:top w:w="75" w:type="dxa"/>
              <w:bottom w:w="75" w:type="dxa"/>
              <w:left w:w="85" w:type="dxa"/>
              <w:right w:w="85" w:type="dxa"/>
            </w:tcMar>
            <w:shd w:fill="F8F1E9"/>
          </w:tcPr>
          <w:p>
            <w:pPr>
              <w:spacing w:after="0" w:line="250" w:lineRule="auto"/>
            </w:pPr>
            <w:r>
              <w:rPr>
                <w:sz w:val="18"/>
              </w:rPr>
              <w:t>Parallel platform and experience delivery, stronger testing and controlled regional deployment options.</w:t>
            </w:r>
          </w:p>
        </w:tc>
      </w:tr>
      <w:tr>
        <w:trPr>
          <w:cantSplit/>
        </w:trPr>
        <w:tc>
          <w:tcPr>
            <w:tcW w:type="dxa" w:w="1656"/>
            <w:vAlign w:val="center"/>
            <w:tcMar>
              <w:top w:w="75" w:type="dxa"/>
              <w:bottom w:w="75" w:type="dxa"/>
              <w:left w:w="85" w:type="dxa"/>
              <w:right w:w="85" w:type="dxa"/>
            </w:tcMar>
          </w:tcPr>
          <w:p>
            <w:pPr>
              <w:spacing w:after="0" w:line="250" w:lineRule="auto"/>
            </w:pPr>
            <w:r>
              <w:rPr>
                <w:sz w:val="18"/>
              </w:rPr>
              <w:t>Expert content and community</w:t>
            </w:r>
          </w:p>
        </w:tc>
        <w:tc>
          <w:tcPr>
            <w:tcW w:type="dxa" w:w="2693"/>
            <w:vAlign w:val="center"/>
            <w:tcMar>
              <w:top w:w="75" w:type="dxa"/>
              <w:bottom w:w="75" w:type="dxa"/>
              <w:left w:w="85" w:type="dxa"/>
              <w:right w:w="85" w:type="dxa"/>
            </w:tcMar>
          </w:tcPr>
          <w:p>
            <w:pPr>
              <w:spacing w:after="0" w:line="250" w:lineRule="auto"/>
            </w:pPr>
            <w:r>
              <w:rPr>
                <w:sz w:val="18"/>
              </w:rPr>
              <w:t>Reviewed cycle-aware starter content and small facilitated member sessions.</w:t>
            </w:r>
          </w:p>
        </w:tc>
        <w:tc>
          <w:tcPr>
            <w:tcW w:type="dxa" w:w="2794"/>
            <w:vAlign w:val="center"/>
            <w:tcMar>
              <w:top w:w="75" w:type="dxa"/>
              <w:bottom w:w="75" w:type="dxa"/>
              <w:left w:w="85" w:type="dxa"/>
              <w:right w:w="85" w:type="dxa"/>
            </w:tcMar>
          </w:tcPr>
          <w:p>
            <w:pPr>
              <w:spacing w:after="0" w:line="250" w:lineRule="auto"/>
            </w:pPr>
            <w:r>
              <w:rPr>
                <w:sz w:val="18"/>
              </w:rPr>
              <w:t>Recurring nutrition, exercise and recovery programmes with member feedback, facilitation and moderation.</w:t>
            </w:r>
          </w:p>
        </w:tc>
        <w:tc>
          <w:tcPr>
            <w:tcW w:type="dxa" w:w="2805"/>
            <w:vAlign w:val="center"/>
            <w:tcMar>
              <w:top w:w="75" w:type="dxa"/>
              <w:bottom w:w="75" w:type="dxa"/>
              <w:left w:w="85" w:type="dxa"/>
              <w:right w:w="85" w:type="dxa"/>
            </w:tcMar>
          </w:tcPr>
          <w:p>
            <w:pPr>
              <w:spacing w:after="0" w:line="250" w:lineRule="auto"/>
            </w:pPr>
            <w:r>
              <w:rPr>
                <w:sz w:val="18"/>
              </w:rPr>
              <w:t>Richer programmes and supported communities, with local-language adaptation for approved markets.</w:t>
            </w:r>
          </w:p>
        </w:tc>
      </w:tr>
      <w:tr>
        <w:trPr>
          <w:cantSplit/>
        </w:trPr>
        <w:tc>
          <w:tcPr>
            <w:tcW w:type="dxa" w:w="1656"/>
            <w:vAlign w:val="center"/>
            <w:tcMar>
              <w:top w:w="75" w:type="dxa"/>
              <w:bottom w:w="75" w:type="dxa"/>
              <w:left w:w="85" w:type="dxa"/>
              <w:right w:w="85" w:type="dxa"/>
            </w:tcMar>
            <w:shd w:fill="F8F1E9"/>
          </w:tcPr>
          <w:p>
            <w:pPr>
              <w:spacing w:after="0" w:line="250" w:lineRule="auto"/>
            </w:pPr>
            <w:r>
              <w:rPr>
                <w:sz w:val="18"/>
              </w:rPr>
              <w:t>Distribution</w:t>
            </w:r>
          </w:p>
        </w:tc>
        <w:tc>
          <w:tcPr>
            <w:tcW w:type="dxa" w:w="2693"/>
            <w:vAlign w:val="center"/>
            <w:tcMar>
              <w:top w:w="75" w:type="dxa"/>
              <w:bottom w:w="75" w:type="dxa"/>
              <w:left w:w="85" w:type="dxa"/>
              <w:right w:w="85" w:type="dxa"/>
            </w:tcMar>
            <w:shd w:fill="F8F1E9"/>
          </w:tcPr>
          <w:p>
            <w:pPr>
              <w:spacing w:after="0" w:line="250" w:lineRule="auto"/>
            </w:pPr>
            <w:r>
              <w:rPr>
                <w:sz w:val="18"/>
              </w:rPr>
              <w:t>A few founder-led pilots.</w:t>
            </w:r>
          </w:p>
        </w:tc>
        <w:tc>
          <w:tcPr>
            <w:tcW w:type="dxa" w:w="2794"/>
            <w:vAlign w:val="center"/>
            <w:tcMar>
              <w:top w:w="75" w:type="dxa"/>
              <w:bottom w:w="75" w:type="dxa"/>
              <w:left w:w="85" w:type="dxa"/>
              <w:right w:w="85" w:type="dxa"/>
            </w:tcMar>
            <w:shd w:fill="F8F1E9"/>
          </w:tcPr>
          <w:p>
            <w:pPr>
              <w:spacing w:after="0" w:line="250" w:lineRule="auto"/>
            </w:pPr>
            <w:r>
              <w:rPr>
                <w:sz w:val="18"/>
              </w:rPr>
              <w:t>A dedicated onboarding and account-management process.</w:t>
            </w:r>
          </w:p>
        </w:tc>
        <w:tc>
          <w:tcPr>
            <w:tcW w:type="dxa" w:w="2805"/>
            <w:vAlign w:val="center"/>
            <w:tcMar>
              <w:top w:w="75" w:type="dxa"/>
              <w:bottom w:w="75" w:type="dxa"/>
              <w:left w:w="85" w:type="dxa"/>
              <w:right w:w="85" w:type="dxa"/>
            </w:tcMar>
            <w:shd w:fill="F8F1E9"/>
          </w:tcPr>
          <w:p>
            <w:pPr>
              <w:spacing w:after="0" w:line="250" w:lineRule="auto"/>
            </w:pPr>
            <w:r>
              <w:rPr>
                <w:sz w:val="18"/>
              </w:rPr>
              <w:t>Network-level sales and delivery capacity across approved markets.</w:t>
            </w:r>
          </w:p>
        </w:tc>
      </w:tr>
      <w:tr>
        <w:trPr>
          <w:cantSplit/>
        </w:trPr>
        <w:tc>
          <w:tcPr>
            <w:tcW w:type="dxa" w:w="1656"/>
            <w:vAlign w:val="center"/>
            <w:tcMar>
              <w:top w:w="75" w:type="dxa"/>
              <w:bottom w:w="75" w:type="dxa"/>
              <w:left w:w="85" w:type="dxa"/>
              <w:right w:w="85" w:type="dxa"/>
            </w:tcMar>
          </w:tcPr>
          <w:p>
            <w:pPr>
              <w:spacing w:after="0" w:line="250" w:lineRule="auto"/>
            </w:pPr>
            <w:r>
              <w:rPr>
                <w:sz w:val="18"/>
              </w:rPr>
              <w:t>Marketing</w:t>
            </w:r>
          </w:p>
        </w:tc>
        <w:tc>
          <w:tcPr>
            <w:tcW w:type="dxa" w:w="2693"/>
            <w:vAlign w:val="center"/>
            <w:tcMar>
              <w:top w:w="75" w:type="dxa"/>
              <w:bottom w:w="75" w:type="dxa"/>
              <w:left w:w="85" w:type="dxa"/>
              <w:right w:w="85" w:type="dxa"/>
            </w:tcMar>
          </w:tcPr>
          <w:p>
            <w:pPr>
              <w:spacing w:after="0" w:line="250" w:lineRule="auto"/>
            </w:pPr>
            <w:r>
              <w:rPr>
                <w:sz w:val="18"/>
              </w:rPr>
              <w:t>Small experiments and founder-led channels.</w:t>
            </w:r>
          </w:p>
        </w:tc>
        <w:tc>
          <w:tcPr>
            <w:tcW w:type="dxa" w:w="2794"/>
            <w:vAlign w:val="center"/>
            <w:tcMar>
              <w:top w:w="75" w:type="dxa"/>
              <w:bottom w:w="75" w:type="dxa"/>
              <w:left w:w="85" w:type="dxa"/>
              <w:right w:w="85" w:type="dxa"/>
            </w:tcMar>
          </w:tcPr>
          <w:p>
            <w:pPr>
              <w:spacing w:after="0" w:line="250" w:lineRule="auto"/>
            </w:pPr>
            <w:r>
              <w:rPr>
                <w:sz w:val="18"/>
              </w:rPr>
              <w:t>Proven local campaigns with disciplined spending releases.</w:t>
            </w:r>
          </w:p>
        </w:tc>
        <w:tc>
          <w:tcPr>
            <w:tcW w:type="dxa" w:w="2805"/>
            <w:vAlign w:val="center"/>
            <w:tcMar>
              <w:top w:w="75" w:type="dxa"/>
              <w:bottom w:w="75" w:type="dxa"/>
              <w:left w:w="85" w:type="dxa"/>
              <w:right w:w="85" w:type="dxa"/>
            </w:tcMar>
          </w:tcPr>
          <w:p>
            <w:pPr>
              <w:spacing w:after="0" w:line="250" w:lineRule="auto"/>
            </w:pPr>
            <w:r>
              <w:rPr>
                <w:sz w:val="18"/>
              </w:rPr>
              <w:t>Replication of successful campaigns and broader awareness where capacity can convert demand.</w:t>
            </w:r>
          </w:p>
        </w:tc>
      </w:tr>
      <w:tr>
        <w:trPr>
          <w:cantSplit/>
        </w:trPr>
        <w:tc>
          <w:tcPr>
            <w:tcW w:type="dxa" w:w="1656"/>
            <w:vAlign w:val="center"/>
            <w:tcMar>
              <w:top w:w="75" w:type="dxa"/>
              <w:bottom w:w="75" w:type="dxa"/>
              <w:left w:w="85" w:type="dxa"/>
              <w:right w:w="85" w:type="dxa"/>
            </w:tcMar>
            <w:shd w:fill="F8F1E9"/>
          </w:tcPr>
          <w:p>
            <w:pPr>
              <w:spacing w:after="0" w:line="250" w:lineRule="auto"/>
            </w:pPr>
            <w:r>
              <w:rPr>
                <w:sz w:val="18"/>
              </w:rPr>
              <w:t>Pregnancy</w:t>
            </w:r>
          </w:p>
        </w:tc>
        <w:tc>
          <w:tcPr>
            <w:tcW w:type="dxa" w:w="2693"/>
            <w:vAlign w:val="center"/>
            <w:tcMar>
              <w:top w:w="75" w:type="dxa"/>
              <w:bottom w:w="75" w:type="dxa"/>
              <w:left w:w="85" w:type="dxa"/>
              <w:right w:w="85" w:type="dxa"/>
            </w:tcMar>
            <w:shd w:fill="F8F1E9"/>
          </w:tcPr>
          <w:p>
            <w:pPr>
              <w:spacing w:after="0" w:line="250" w:lineRule="auto"/>
            </w:pPr>
            <w:r>
              <w:rPr>
                <w:sz w:val="18"/>
              </w:rPr>
              <w:t>Discovery and intended-purpose assessment; not a launch commitment.</w:t>
            </w:r>
          </w:p>
        </w:tc>
        <w:tc>
          <w:tcPr>
            <w:tcW w:type="dxa" w:w="2794"/>
            <w:vAlign w:val="center"/>
            <w:tcMar>
              <w:top w:w="75" w:type="dxa"/>
              <w:bottom w:w="75" w:type="dxa"/>
              <w:left w:w="85" w:type="dxa"/>
              <w:right w:w="85" w:type="dxa"/>
            </w:tcMar>
            <w:shd w:fill="F8F1E9"/>
          </w:tcPr>
          <w:p>
            <w:pPr>
              <w:spacing w:after="0" w:line="250" w:lineRule="auto"/>
            </w:pPr>
            <w:r>
              <w:rPr>
                <w:sz w:val="18"/>
              </w:rPr>
              <w:t>Specialist co-design and a bounded, reviewed pilot.</w:t>
            </w:r>
          </w:p>
        </w:tc>
        <w:tc>
          <w:tcPr>
            <w:tcW w:type="dxa" w:w="2805"/>
            <w:vAlign w:val="center"/>
            <w:tcMar>
              <w:top w:w="75" w:type="dxa"/>
              <w:bottom w:w="75" w:type="dxa"/>
              <w:left w:w="85" w:type="dxa"/>
              <w:right w:w="85" w:type="dxa"/>
            </w:tcMar>
            <w:shd w:fill="F8F1E9"/>
          </w:tcPr>
          <w:p>
            <w:pPr>
              <w:spacing w:after="0" w:line="250" w:lineRule="auto"/>
            </w:pPr>
            <w:r>
              <w:rPr>
                <w:sz w:val="18"/>
              </w:rPr>
              <w:t>Broader product development and evaluation, still gated before release.</w:t>
            </w:r>
          </w:p>
        </w:tc>
      </w:tr>
      <w:tr>
        <w:trPr>
          <w:cantSplit/>
        </w:trPr>
        <w:tc>
          <w:tcPr>
            <w:tcW w:type="dxa" w:w="1656"/>
            <w:vAlign w:val="center"/>
            <w:tcMar>
              <w:top w:w="75" w:type="dxa"/>
              <w:bottom w:w="75" w:type="dxa"/>
              <w:left w:w="85" w:type="dxa"/>
              <w:right w:w="85" w:type="dxa"/>
            </w:tcMar>
          </w:tcPr>
          <w:p>
            <w:pPr>
              <w:spacing w:after="0" w:line="250" w:lineRule="auto"/>
            </w:pPr>
            <w:r>
              <w:rPr>
                <w:sz w:val="18"/>
              </w:rPr>
              <w:t>International</w:t>
            </w:r>
          </w:p>
        </w:tc>
        <w:tc>
          <w:tcPr>
            <w:tcW w:type="dxa" w:w="2693"/>
            <w:vAlign w:val="center"/>
            <w:tcMar>
              <w:top w:w="75" w:type="dxa"/>
              <w:bottom w:w="75" w:type="dxa"/>
              <w:left w:w="85" w:type="dxa"/>
              <w:right w:w="85" w:type="dxa"/>
            </w:tcMar>
          </w:tcPr>
          <w:p>
            <w:pPr>
              <w:spacing w:after="0" w:line="250" w:lineRule="auto"/>
            </w:pPr>
            <w:r>
              <w:rPr>
                <w:sz w:val="18"/>
              </w:rPr>
              <w:t>Low-cost discovery only.</w:t>
            </w:r>
          </w:p>
        </w:tc>
        <w:tc>
          <w:tcPr>
            <w:tcW w:type="dxa" w:w="2794"/>
            <w:vAlign w:val="center"/>
            <w:tcMar>
              <w:top w:w="75" w:type="dxa"/>
              <w:bottom w:w="75" w:type="dxa"/>
              <w:left w:w="85" w:type="dxa"/>
              <w:right w:w="85" w:type="dxa"/>
            </w:tcMar>
          </w:tcPr>
          <w:p>
            <w:pPr>
              <w:spacing w:after="0" w:line="250" w:lineRule="auto"/>
            </w:pPr>
            <w:r>
              <w:rPr>
                <w:sz w:val="18"/>
              </w:rPr>
              <w:t>Comparative exploration of Australia, Singapore and selected other candidates.</w:t>
            </w:r>
          </w:p>
        </w:tc>
        <w:tc>
          <w:tcPr>
            <w:tcW w:type="dxa" w:w="2805"/>
            <w:vAlign w:val="center"/>
            <w:tcMar>
              <w:top w:w="75" w:type="dxa"/>
              <w:bottom w:w="75" w:type="dxa"/>
              <w:left w:w="85" w:type="dxa"/>
              <w:right w:w="85" w:type="dxa"/>
            </w:tcMar>
          </w:tcPr>
          <w:p>
            <w:pPr>
              <w:spacing w:after="0" w:line="250" w:lineRule="auto"/>
            </w:pPr>
            <w:r>
              <w:rPr>
                <w:sz w:val="18"/>
              </w:rPr>
              <w:t>Country readiness and one or a small number of approved pilots, not simultaneous global launch.</w:t>
            </w:r>
          </w:p>
        </w:tc>
      </w:tr>
    </w:tbl>
    <w:p>
      <w:pPr>
        <w:spacing w:after="20" w:before="0" w:line="72" w:lineRule="auto"/>
      </w:pPr>
      <w:r>
        <w:rPr>
          <w:sz w:val="4"/>
        </w:rPr>
      </w:r>
    </w:p>
    <w:p>
      <w:r>
        <w:rPr/>
        <w:t>For workforce planning, the €2M case should be scoped around roughly 6–8 average paid full-time-equivalent roles across functions, with specialist contractors; the €5M case around 12–15. These are staffing design limits, not commitments or market salary benchmarks. Contractor production and clinical review are additional capacities already funded in their workstream lines. A salary-and-start-date model must validate the mix before hiring.</w:t>
      </w:r>
    </w:p>
    <w:p>
      <w:r>
        <w:rPr/>
        <w:t>More funding cannot compress the passage of time needed to observe repeat behaviour, remove the need for clinical review or guarantee institutional procurement. It buys execution capacity and room to learn—not certainty.</w:t>
      </w:r>
    </w:p>
    <w:p>
      <w:pPr>
        <w:pStyle w:val="Heading1"/>
      </w:pPr>
      <w:bookmarkStart w:id="7" w:name="section_7"/>
      <w:r>
        <w:t>7. Expert content and community: built around her cycle</w:t>
      </w:r>
      <w:bookmarkEnd w:id="7"/>
    </w:p>
    <w:p>
      <w:r>
        <w:t xml:space="preserve">The content system should answer </w:t>
      </w:r>
      <w:r>
        <w:rPr>
          <w:b/>
        </w:rPr>
        <w:t>what matters to this woman, at this point in her cycle and in her actual life</w:t>
      </w:r>
      <w:r>
        <w:t>. It connects cycle literacy, food choices, cooking, exercise, movement, sleep, recovery and self-reported wellbeing, with appropriate opportunities to learn from other women. Photos, videos and practical guides turn support into achievable actions. These are connected capabilities beneath the brand promise—not replacement taglines. Guidance must account for individual variation, available time and preferences rather than prescribe a universal phase-based routine. [S01, S03, S11]</w:t>
      </w:r>
    </w:p>
    <w:tbl>
      <w:tblPr>
        <w:tblW w:type="auto" w:w="0"/>
        <w:jc w:val="center"/>
        <w:tblLayout w:type="fixed"/>
        <w:tblLook w:firstColumn="1" w:firstRow="1" w:lastColumn="0" w:lastRow="0" w:noHBand="0" w:noVBand="1" w:val="04A0"/>
      </w:tblPr>
      <w:tblGrid>
        <w:gridCol w:w="2419"/>
        <w:gridCol w:w="3773"/>
        <w:gridCol w:w="3755"/>
      </w:tblGrid>
      <w:tr>
        <w:trPr>
          <w:cantSplit/>
          <w:tblHeader/>
        </w:trPr>
        <w:tc>
          <w:tcPr>
            <w:tcW w:type="dxa" w:w="2419"/>
            <w:vAlign w:val="center"/>
            <w:tcMar>
              <w:top w:w="75" w:type="dxa"/>
              <w:bottom w:w="75" w:type="dxa"/>
              <w:left w:w="85" w:type="dxa"/>
              <w:right w:w="85" w:type="dxa"/>
            </w:tcMar>
            <w:shd w:fill="282220"/>
          </w:tcPr>
          <w:p>
            <w:pPr>
              <w:spacing w:after="0" w:line="250" w:lineRule="auto"/>
            </w:pPr>
            <w:r>
              <w:rPr>
                <w:b/>
                <w:color w:val="FFFFFF"/>
                <w:sz w:val="18"/>
              </w:rPr>
              <w:t>Domain</w:t>
            </w:r>
          </w:p>
        </w:tc>
        <w:tc>
          <w:tcPr>
            <w:tcW w:type="dxa" w:w="3773"/>
            <w:vAlign w:val="center"/>
            <w:tcMar>
              <w:top w:w="75" w:type="dxa"/>
              <w:bottom w:w="75" w:type="dxa"/>
              <w:left w:w="85" w:type="dxa"/>
              <w:right w:w="85" w:type="dxa"/>
            </w:tcMar>
            <w:shd w:fill="282220"/>
          </w:tcPr>
          <w:p>
            <w:pPr>
              <w:spacing w:after="0" w:line="250" w:lineRule="auto"/>
            </w:pPr>
            <w:r>
              <w:rPr>
                <w:b/>
                <w:color w:val="FFFFFF"/>
                <w:sz w:val="18"/>
              </w:rPr>
              <w:t>Collaborators</w:t>
            </w:r>
          </w:p>
        </w:tc>
        <w:tc>
          <w:tcPr>
            <w:tcW w:type="dxa" w:w="3755"/>
            <w:vAlign w:val="center"/>
            <w:tcMar>
              <w:top w:w="75" w:type="dxa"/>
              <w:bottom w:w="75" w:type="dxa"/>
              <w:left w:w="85" w:type="dxa"/>
              <w:right w:w="85" w:type="dxa"/>
            </w:tcMar>
            <w:shd w:fill="282220"/>
          </w:tcPr>
          <w:p>
            <w:pPr>
              <w:spacing w:after="0" w:line="250" w:lineRule="auto"/>
            </w:pPr>
            <w:r>
              <w:rPr>
                <w:b/>
                <w:color w:val="FFFFFF"/>
                <w:sz w:val="18"/>
              </w:rPr>
              <w:t>Concrete deliverables</w:t>
            </w:r>
          </w:p>
        </w:tc>
      </w:tr>
      <w:tr>
        <w:trPr>
          <w:cantSplit/>
        </w:trPr>
        <w:tc>
          <w:tcPr>
            <w:tcW w:type="dxa" w:w="2419"/>
            <w:vAlign w:val="center"/>
            <w:tcMar>
              <w:top w:w="75" w:type="dxa"/>
              <w:bottom w:w="75" w:type="dxa"/>
              <w:left w:w="85" w:type="dxa"/>
              <w:right w:w="85" w:type="dxa"/>
            </w:tcMar>
            <w:shd w:fill="F8F1E9"/>
          </w:tcPr>
          <w:p>
            <w:pPr>
              <w:spacing w:after="0" w:line="250" w:lineRule="auto"/>
            </w:pPr>
            <w:r>
              <w:rPr>
                <w:sz w:val="18"/>
              </w:rPr>
              <w:t>Nutrition and everyday cooking</w:t>
            </w:r>
          </w:p>
        </w:tc>
        <w:tc>
          <w:tcPr>
            <w:tcW w:type="dxa" w:w="3773"/>
            <w:vAlign w:val="center"/>
            <w:tcMar>
              <w:top w:w="75" w:type="dxa"/>
              <w:bottom w:w="75" w:type="dxa"/>
              <w:left w:w="85" w:type="dxa"/>
              <w:right w:w="85" w:type="dxa"/>
            </w:tcMar>
            <w:shd w:fill="F8F1E9"/>
          </w:tcPr>
          <w:p>
            <w:pPr>
              <w:spacing w:after="0" w:line="250" w:lineRule="auto"/>
            </w:pPr>
            <w:r>
              <w:rPr>
                <w:sz w:val="18"/>
              </w:rPr>
              <w:t>Dietitians/nutritionists and chefs.</w:t>
            </w:r>
          </w:p>
        </w:tc>
        <w:tc>
          <w:tcPr>
            <w:tcW w:type="dxa" w:w="3755"/>
            <w:vAlign w:val="center"/>
            <w:tcMar>
              <w:top w:w="75" w:type="dxa"/>
              <w:bottom w:w="75" w:type="dxa"/>
              <w:left w:w="85" w:type="dxa"/>
              <w:right w:w="85" w:type="dxa"/>
            </w:tcMar>
            <w:shd w:fill="F8F1E9"/>
          </w:tcPr>
          <w:p>
            <w:pPr>
              <w:spacing w:after="0" w:line="250" w:lineRule="auto"/>
            </w:pPr>
            <w:r>
              <w:rPr>
                <w:sz w:val="18"/>
              </w:rPr>
              <w:t>Practical recipes, ingredient photographs, step-by-step preparation, substitutions, shopping guides and budget-conscious options.</w:t>
            </w:r>
          </w:p>
        </w:tc>
      </w:tr>
      <w:tr>
        <w:trPr>
          <w:cantSplit/>
        </w:trPr>
        <w:tc>
          <w:tcPr>
            <w:tcW w:type="dxa" w:w="2419"/>
            <w:vAlign w:val="center"/>
            <w:tcMar>
              <w:top w:w="75" w:type="dxa"/>
              <w:bottom w:w="75" w:type="dxa"/>
              <w:left w:w="85" w:type="dxa"/>
              <w:right w:w="85" w:type="dxa"/>
            </w:tcMar>
          </w:tcPr>
          <w:p>
            <w:pPr>
              <w:spacing w:after="0" w:line="250" w:lineRule="auto"/>
            </w:pPr>
            <w:r>
              <w:rPr>
                <w:sz w:val="18"/>
              </w:rPr>
              <w:t>Strength and structured exercise</w:t>
            </w:r>
          </w:p>
        </w:tc>
        <w:tc>
          <w:tcPr>
            <w:tcW w:type="dxa" w:w="3773"/>
            <w:vAlign w:val="center"/>
            <w:tcMar>
              <w:top w:w="75" w:type="dxa"/>
              <w:bottom w:w="75" w:type="dxa"/>
              <w:left w:w="85" w:type="dxa"/>
              <w:right w:w="85" w:type="dxa"/>
            </w:tcMar>
          </w:tcPr>
          <w:p>
            <w:pPr>
              <w:spacing w:after="0" w:line="250" w:lineRule="auto"/>
            </w:pPr>
            <w:r>
              <w:rPr>
                <w:sz w:val="18"/>
              </w:rPr>
              <w:t>Qualified trainers, exercise professionals and gyms.</w:t>
            </w:r>
          </w:p>
        </w:tc>
        <w:tc>
          <w:tcPr>
            <w:tcW w:type="dxa" w:w="3755"/>
            <w:vAlign w:val="center"/>
            <w:tcMar>
              <w:top w:w="75" w:type="dxa"/>
              <w:bottom w:w="75" w:type="dxa"/>
              <w:left w:w="85" w:type="dxa"/>
              <w:right w:w="85" w:type="dxa"/>
            </w:tcMar>
          </w:tcPr>
          <w:p>
            <w:pPr>
              <w:spacing w:after="0" w:line="250" w:lineRule="auto"/>
            </w:pPr>
            <w:r>
              <w:rPr>
                <w:sz w:val="18"/>
              </w:rPr>
              <w:t>Demonstration videos, technique photographs, home/gym alternatives, beginner progressions and equipment variants.</w:t>
            </w:r>
          </w:p>
        </w:tc>
      </w:tr>
      <w:tr>
        <w:trPr>
          <w:cantSplit/>
        </w:trPr>
        <w:tc>
          <w:tcPr>
            <w:tcW w:type="dxa" w:w="2419"/>
            <w:vAlign w:val="center"/>
            <w:tcMar>
              <w:top w:w="75" w:type="dxa"/>
              <w:bottom w:w="75" w:type="dxa"/>
              <w:left w:w="85" w:type="dxa"/>
              <w:right w:w="85" w:type="dxa"/>
            </w:tcMar>
            <w:shd w:fill="F8F1E9"/>
          </w:tcPr>
          <w:p>
            <w:pPr>
              <w:spacing w:after="0" w:line="250" w:lineRule="auto"/>
            </w:pPr>
            <w:r>
              <w:rPr>
                <w:sz w:val="18"/>
              </w:rPr>
              <w:t>Cardio and everyday movement</w:t>
            </w:r>
          </w:p>
        </w:tc>
        <w:tc>
          <w:tcPr>
            <w:tcW w:type="dxa" w:w="3773"/>
            <w:vAlign w:val="center"/>
            <w:tcMar>
              <w:top w:w="75" w:type="dxa"/>
              <w:bottom w:w="75" w:type="dxa"/>
              <w:left w:w="85" w:type="dxa"/>
              <w:right w:w="85" w:type="dxa"/>
            </w:tcMar>
            <w:shd w:fill="F8F1E9"/>
          </w:tcPr>
          <w:p>
            <w:pPr>
              <w:spacing w:after="0" w:line="250" w:lineRule="auto"/>
            </w:pPr>
            <w:r>
              <w:rPr>
                <w:sz w:val="18"/>
              </w:rPr>
              <w:t>Trainers, running/walking communities and studios.</w:t>
            </w:r>
          </w:p>
        </w:tc>
        <w:tc>
          <w:tcPr>
            <w:tcW w:type="dxa" w:w="3755"/>
            <w:vAlign w:val="center"/>
            <w:tcMar>
              <w:top w:w="75" w:type="dxa"/>
              <w:bottom w:w="75" w:type="dxa"/>
              <w:left w:w="85" w:type="dxa"/>
              <w:right w:w="85" w:type="dxa"/>
            </w:tcMar>
            <w:shd w:fill="F8F1E9"/>
          </w:tcPr>
          <w:p>
            <w:pPr>
              <w:spacing w:after="0" w:line="250" w:lineRule="auto"/>
            </w:pPr>
            <w:r>
              <w:rPr>
                <w:sz w:val="18"/>
              </w:rPr>
              <w:t>Walking, running, cycling and mixed-activity programmes suited to different starting points and available time.</w:t>
            </w:r>
          </w:p>
        </w:tc>
      </w:tr>
      <w:tr>
        <w:trPr>
          <w:cantSplit/>
        </w:trPr>
        <w:tc>
          <w:tcPr>
            <w:tcW w:type="dxa" w:w="2419"/>
            <w:vAlign w:val="center"/>
            <w:tcMar>
              <w:top w:w="75" w:type="dxa"/>
              <w:bottom w:w="75" w:type="dxa"/>
              <w:left w:w="85" w:type="dxa"/>
              <w:right w:w="85" w:type="dxa"/>
            </w:tcMar>
          </w:tcPr>
          <w:p>
            <w:pPr>
              <w:spacing w:after="0" w:line="250" w:lineRule="auto"/>
            </w:pPr>
            <w:r>
              <w:rPr>
                <w:sz w:val="18"/>
              </w:rPr>
              <w:t>Mobility and recovery</w:t>
            </w:r>
          </w:p>
        </w:tc>
        <w:tc>
          <w:tcPr>
            <w:tcW w:type="dxa" w:w="3773"/>
            <w:vAlign w:val="center"/>
            <w:tcMar>
              <w:top w:w="75" w:type="dxa"/>
              <w:bottom w:w="75" w:type="dxa"/>
              <w:left w:w="85" w:type="dxa"/>
              <w:right w:w="85" w:type="dxa"/>
            </w:tcMar>
          </w:tcPr>
          <w:p>
            <w:pPr>
              <w:spacing w:after="0" w:line="250" w:lineRule="auto"/>
            </w:pPr>
            <w:r>
              <w:rPr>
                <w:sz w:val="18"/>
              </w:rPr>
              <w:t>Physiotherapists and appropriately qualified movement specialists.</w:t>
            </w:r>
          </w:p>
        </w:tc>
        <w:tc>
          <w:tcPr>
            <w:tcW w:type="dxa" w:w="3755"/>
            <w:vAlign w:val="center"/>
            <w:tcMar>
              <w:top w:w="75" w:type="dxa"/>
              <w:bottom w:w="75" w:type="dxa"/>
              <w:left w:w="85" w:type="dxa"/>
              <w:right w:w="85" w:type="dxa"/>
            </w:tcMar>
          </w:tcPr>
          <w:p>
            <w:pPr>
              <w:spacing w:after="0" w:line="250" w:lineRule="auto"/>
            </w:pPr>
            <w:r>
              <w:rPr>
                <w:sz w:val="18"/>
              </w:rPr>
              <w:t>Mobility sequences, warm-up/cool-down content and non-diagnostic recovery education.</w:t>
            </w:r>
          </w:p>
        </w:tc>
      </w:tr>
      <w:tr>
        <w:trPr>
          <w:cantSplit/>
        </w:trPr>
        <w:tc>
          <w:tcPr>
            <w:tcW w:type="dxa" w:w="2419"/>
            <w:vAlign w:val="center"/>
            <w:tcMar>
              <w:top w:w="75" w:type="dxa"/>
              <w:bottom w:w="75" w:type="dxa"/>
              <w:left w:w="85" w:type="dxa"/>
              <w:right w:w="85" w:type="dxa"/>
            </w:tcMar>
            <w:shd w:fill="F8F1E9"/>
          </w:tcPr>
          <w:p>
            <w:pPr>
              <w:spacing w:after="0" w:line="250" w:lineRule="auto"/>
            </w:pPr>
            <w:r>
              <w:rPr>
                <w:sz w:val="18"/>
              </w:rPr>
              <w:t>Sleep, self-reported wellbeing and routines</w:t>
            </w:r>
          </w:p>
        </w:tc>
        <w:tc>
          <w:tcPr>
            <w:tcW w:type="dxa" w:w="3773"/>
            <w:vAlign w:val="center"/>
            <w:tcMar>
              <w:top w:w="75" w:type="dxa"/>
              <w:bottom w:w="75" w:type="dxa"/>
              <w:left w:w="85" w:type="dxa"/>
              <w:right w:w="85" w:type="dxa"/>
            </w:tcMar>
            <w:shd w:fill="F8F1E9"/>
          </w:tcPr>
          <w:p>
            <w:pPr>
              <w:spacing w:after="0" w:line="250" w:lineRule="auto"/>
            </w:pPr>
            <w:r>
              <w:rPr>
                <w:sz w:val="18"/>
              </w:rPr>
              <w:t>Appropriately qualified wellbeing and behavioural specialists.</w:t>
            </w:r>
          </w:p>
        </w:tc>
        <w:tc>
          <w:tcPr>
            <w:tcW w:type="dxa" w:w="3755"/>
            <w:vAlign w:val="center"/>
            <w:tcMar>
              <w:top w:w="75" w:type="dxa"/>
              <w:bottom w:w="75" w:type="dxa"/>
              <w:left w:w="85" w:type="dxa"/>
              <w:right w:w="85" w:type="dxa"/>
            </w:tcMar>
            <w:shd w:fill="F8F1E9"/>
          </w:tcPr>
          <w:p>
            <w:pPr>
              <w:spacing w:after="0" w:line="250" w:lineRule="auto"/>
            </w:pPr>
            <w:r>
              <w:rPr>
                <w:sz w:val="18"/>
              </w:rPr>
              <w:t>Routine guides, reflection on energy and mood, and habit support; no diagnostic or treatment claims.</w:t>
            </w:r>
          </w:p>
        </w:tc>
      </w:tr>
      <w:tr>
        <w:trPr>
          <w:cantSplit/>
        </w:trPr>
        <w:tc>
          <w:tcPr>
            <w:tcW w:type="dxa" w:w="2419"/>
            <w:vAlign w:val="center"/>
            <w:tcMar>
              <w:top w:w="75" w:type="dxa"/>
              <w:bottom w:w="75" w:type="dxa"/>
              <w:left w:w="85" w:type="dxa"/>
              <w:right w:w="85" w:type="dxa"/>
            </w:tcMar>
          </w:tcPr>
          <w:p>
            <w:pPr>
              <w:spacing w:after="0" w:line="250" w:lineRule="auto"/>
            </w:pPr>
            <w:r>
              <w:rPr>
                <w:sz w:val="18"/>
              </w:rPr>
              <w:t>Maternal wellbeing</w:t>
            </w:r>
          </w:p>
        </w:tc>
        <w:tc>
          <w:tcPr>
            <w:tcW w:type="dxa" w:w="3773"/>
            <w:vAlign w:val="center"/>
            <w:tcMar>
              <w:top w:w="75" w:type="dxa"/>
              <w:bottom w:w="75" w:type="dxa"/>
              <w:left w:w="85" w:type="dxa"/>
              <w:right w:w="85" w:type="dxa"/>
            </w:tcMar>
          </w:tcPr>
          <w:p>
            <w:pPr>
              <w:spacing w:after="0" w:line="250" w:lineRule="auto"/>
            </w:pPr>
            <w:r>
              <w:rPr>
                <w:sz w:val="18"/>
              </w:rPr>
              <w:t>Midwives, obstetric specialists, maternal-health dietitians and pregnancy-qualified exercise professionals.</w:t>
            </w:r>
          </w:p>
        </w:tc>
        <w:tc>
          <w:tcPr>
            <w:tcW w:type="dxa" w:w="3755"/>
            <w:vAlign w:val="center"/>
            <w:tcMar>
              <w:top w:w="75" w:type="dxa"/>
              <w:bottom w:w="75" w:type="dxa"/>
              <w:left w:w="85" w:type="dxa"/>
              <w:right w:w="85" w:type="dxa"/>
            </w:tcMar>
          </w:tcPr>
          <w:p>
            <w:pPr>
              <w:spacing w:after="0" w:line="250" w:lineRule="auto"/>
            </w:pPr>
            <w:r>
              <w:rPr>
                <w:sz w:val="18"/>
              </w:rPr>
              <w:t>Separately governed pregnancy/postpartum education and approved movement content.</w:t>
            </w:r>
          </w:p>
        </w:tc>
      </w:tr>
      <w:tr>
        <w:trPr>
          <w:cantSplit/>
        </w:trPr>
        <w:tc>
          <w:tcPr>
            <w:tcW w:type="dxa" w:w="2419"/>
            <w:vAlign w:val="center"/>
            <w:tcMar>
              <w:top w:w="75" w:type="dxa"/>
              <w:bottom w:w="75" w:type="dxa"/>
              <w:left w:w="85" w:type="dxa"/>
              <w:right w:w="85" w:type="dxa"/>
            </w:tcMar>
            <w:shd w:fill="F8F1E9"/>
          </w:tcPr>
          <w:p>
            <w:pPr>
              <w:spacing w:after="0" w:line="250" w:lineRule="auto"/>
            </w:pPr>
            <w:r>
              <w:rPr>
                <w:sz w:val="18"/>
              </w:rPr>
              <w:t>Explanation and reach</w:t>
            </w:r>
          </w:p>
        </w:tc>
        <w:tc>
          <w:tcPr>
            <w:tcW w:type="dxa" w:w="3773"/>
            <w:vAlign w:val="center"/>
            <w:tcMar>
              <w:top w:w="75" w:type="dxa"/>
              <w:bottom w:w="75" w:type="dxa"/>
              <w:left w:w="85" w:type="dxa"/>
              <w:right w:w="85" w:type="dxa"/>
            </w:tcMar>
            <w:shd w:fill="F8F1E9"/>
          </w:tcPr>
          <w:p>
            <w:pPr>
              <w:spacing w:after="0" w:line="250" w:lineRule="auto"/>
            </w:pPr>
            <w:r>
              <w:rPr>
                <w:sz w:val="18"/>
              </w:rPr>
              <w:t>Credible creators, influencers and ambassadors.</w:t>
            </w:r>
          </w:p>
        </w:tc>
        <w:tc>
          <w:tcPr>
            <w:tcW w:type="dxa" w:w="3755"/>
            <w:vAlign w:val="center"/>
            <w:tcMar>
              <w:top w:w="75" w:type="dxa"/>
              <w:bottom w:w="75" w:type="dxa"/>
              <w:left w:w="85" w:type="dxa"/>
              <w:right w:w="85" w:type="dxa"/>
            </w:tcMar>
            <w:shd w:fill="F8F1E9"/>
          </w:tcPr>
          <w:p>
            <w:pPr>
              <w:spacing w:after="0" w:line="250" w:lineRule="auto"/>
            </w:pPr>
            <w:r>
              <w:rPr>
                <w:sz w:val="18"/>
              </w:rPr>
              <w:t>Accessible explanations, interviews, facilitated conversations and campaigns; expert review remains separate.</w:t>
            </w:r>
          </w:p>
        </w:tc>
      </w:tr>
      <w:tr>
        <w:trPr>
          <w:cantSplit/>
        </w:trPr>
        <w:tc>
          <w:tcPr>
            <w:tcW w:type="dxa" w:w="2419"/>
            <w:vAlign w:val="center"/>
            <w:tcMar>
              <w:top w:w="75" w:type="dxa"/>
              <w:bottom w:w="75" w:type="dxa"/>
              <w:left w:w="85" w:type="dxa"/>
              <w:right w:w="85" w:type="dxa"/>
            </w:tcMar>
          </w:tcPr>
          <w:p>
            <w:pPr>
              <w:spacing w:after="0" w:line="250" w:lineRule="auto"/>
            </w:pPr>
            <w:r>
              <w:rPr>
                <w:sz w:val="18"/>
              </w:rPr>
              <w:t>Wearable literacy</w:t>
            </w:r>
          </w:p>
        </w:tc>
        <w:tc>
          <w:tcPr>
            <w:tcW w:type="dxa" w:w="3773"/>
            <w:vAlign w:val="center"/>
            <w:tcMar>
              <w:top w:w="75" w:type="dxa"/>
              <w:bottom w:w="75" w:type="dxa"/>
              <w:left w:w="85" w:type="dxa"/>
              <w:right w:w="85" w:type="dxa"/>
            </w:tcMar>
          </w:tcPr>
          <w:p>
            <w:pPr>
              <w:spacing w:after="0" w:line="250" w:lineRule="auto"/>
            </w:pPr>
            <w:r>
              <w:rPr>
                <w:sz w:val="18"/>
              </w:rPr>
              <w:t>Product specialists and approved ecosystem collaborators.</w:t>
            </w:r>
          </w:p>
        </w:tc>
        <w:tc>
          <w:tcPr>
            <w:tcW w:type="dxa" w:w="3755"/>
            <w:vAlign w:val="center"/>
            <w:tcMar>
              <w:top w:w="75" w:type="dxa"/>
              <w:bottom w:w="75" w:type="dxa"/>
              <w:left w:w="85" w:type="dxa"/>
              <w:right w:w="85" w:type="dxa"/>
            </w:tcMar>
          </w:tcPr>
          <w:p>
            <w:pPr>
              <w:spacing w:after="0" w:line="250" w:lineRule="auto"/>
            </w:pPr>
            <w:r>
              <w:rPr>
                <w:sz w:val="18"/>
              </w:rPr>
              <w:t>Connection guides, explanation of source metrics and limitations, and useful non-wearable alternatives.</w:t>
            </w:r>
          </w:p>
        </w:tc>
      </w:tr>
    </w:tbl>
    <w:p>
      <w:pPr>
        <w:spacing w:after="20" w:before="0" w:line="72" w:lineRule="auto"/>
      </w:pPr>
      <w:r>
        <w:rPr>
          <w:sz w:val="4"/>
        </w:rPr>
      </w:r>
    </w:p>
    <w:p>
      <w:r>
        <w:rPr>
          <w:b/>
        </w:rPr>
        <w:t>Proposed content allocation:</w:t>
      </w:r>
      <w:r>
        <w:rPr/>
        <w:t xml:space="preserve"> in the €2M case, €70K for nutrition/cooking, €80K for exercise/movement, €35K for recovery and €55K for shared production, editorial work and rights. In the €5M case, the corresponding figures are €170K, €200K, €85K and €145K. Pregnancy-specific clinical design and evaluation sit in the separate clinical line to avoid double counting.</w:t>
      </w:r>
    </w:p>
    <w:p>
      <w:r>
        <w:rPr/>
        <w:t>For production planning, begin with a release package of 30 reviewed food assets, 30 exercise/movement assets and 15 recovery guides. This is a proposed initial deliverable, not an assertion that the assets exist. Scale options can commission successive packages after completion, usefulness and quality are measured; translated, subtitled and shortened versions must not be counted as new original programmes.</w:t>
      </w:r>
    </w:p>
    <w:p>
      <w:r>
        <w:t>Every asset requires an author, qualified reviewer where appropriate, publication/review date, version, intended audience, limitation tags, sources and documented rights. Contracts cover territory, language, duration, adaptation, image consent and withdrawal. Expert-reviewed material and member experience must be labelled differently. Members' stories or photos require separate permission for commercial reuse; joining the community does not grant it. Editorial judgement remains independent of sponsorship.</w:t>
      </w:r>
    </w:p>
    <w:p>
      <w:r>
        <w:rPr/>
        <w:t>Meal photography and exercise demonstrations need different controls. Meal images produce editable estimates, not precise nutrient measurements. Exercise photos and video teach a movement; automated camera-based diagnosis or injury assessment is not part of this funding case. The user can correct or decline an inference. [S01]</w:t>
      </w:r>
    </w:p>
    <w:p>
      <w:pPr>
        <w:pStyle w:val="Heading2"/>
      </w:pPr>
      <w:r>
        <w:t>7.1 Community-led design, participation and care</w:t>
      </w:r>
    </w:p>
    <w:p>
      <w:pPr/>
      <w:r>
        <w:rPr>
          <w:b/>
        </w:rPr>
        <w:t>Design with women, not only for them.</w:t>
      </w:r>
      <w:r>
        <w:t xml:space="preserve"> Establish a small member advisory group, recurring feedback sessions and a visible 'you said / we changed' record. Include different routines, preferences, cycle experiences and accessibility needs. Let women influence content priorities and experience design; do not infer their needs from age or require intimate disclosure to participate.</w:t>
      </w:r>
    </w:p>
    <w:p>
      <w:pPr/>
      <w:r>
        <w:rPr>
          <w:b/>
        </w:rPr>
        <w:t>Belonging without pressure.</w:t>
      </w:r>
      <w:r>
        <w:t xml:space="preserve"> Offer optional facilitated circles, expert Q&amp;A, shared recipes and movement experiences, local events and peer encouragement. Organise groups around interests members choose, not inferred symptoms or pregnancy. Each woman decides whether to read, contribute or use the app privately. Shared experiences should complement practical support rather than become another comparison feed.</w:t>
      </w:r>
    </w:p>
    <w:p>
      <w:pPr/>
      <w:r>
        <w:rPr>
          <w:b/>
        </w:rPr>
        <w:t>Safety and privacy are part of the service.</w:t>
      </w:r>
      <w:r>
        <w:t xml:space="preserve"> Provide community standards, named moderation ownership, reporting and blocking, and clear routes for concerns that need professional care. Peer posts are not clinical advice. Private cycle logs, meals, mood entries and wearable records remain private unless the woman explicitly chooses a specific item to share. Sponsors, employers and partner organisations do not receive those records.</w:t>
      </w:r>
    </w:p>
    <w:p>
      <w:pPr/>
      <w:r>
        <w:rPr>
          <w:b/>
        </w:rPr>
        <w:t>Scale the community deliberately.</w:t>
      </w:r>
      <w:r>
        <w:t xml:space="preserve"> Founder-led work begins with small facilitated sessions; €250–350K supports a manageable pilot community; €2M adds recurring facilitation and moderation; €5M may add local-language capacity where a market is approved. Allocate co-design/editorial work to content, facilitation and member support to delivery, campaign activity to marketing, and platform controls to engineering. Track helpfulness, voluntary repeat participation, safety response and incremental paid retention—not posts or member counts alone.</w:t>
      </w:r>
    </w:p>
    <w:p>
      <w:bookmarkStart w:id="8" w:name="section_8"/>
      <w:pPr>
        <w:pStyle w:val="Heading1"/>
      </w:pPr>
      <w:r>
        <w:rPr/>
        <w:t>8. Distribution: how the proposition reaches users</w:t>
      </w:r>
      <w:bookmarkEnd w:id="8"/>
    </w:p>
    <w:p>
      <w:r>
        <w:t>Distribution should introduce women to a cycle-aware experience and a community they may choose to join—not simply generate app installs. Each route has a distinct buyer, introduction mechanism and adoption barrier. A technical integration is not a marketing partnership; a signed institution is not an activated population; a clinician's recommendation is not a paid contract.</w:t>
      </w:r>
    </w:p>
    <w:tbl>
      <w:tblPr>
        <w:tblW w:type="auto" w:w="0"/>
        <w:jc w:val="center"/>
        <w:tblLayout w:type="fixed"/>
        <w:tblLook w:firstColumn="1" w:firstRow="1" w:lastColumn="0" w:lastRow="0" w:noHBand="0" w:noVBand="1" w:val="04A0"/>
      </w:tblPr>
      <w:tblGrid>
        <w:gridCol w:w="2419"/>
        <w:gridCol w:w="3773"/>
        <w:gridCol w:w="3755"/>
      </w:tblGrid>
      <w:tr>
        <w:trPr>
          <w:cantSplit/>
          <w:tblHeader/>
        </w:trPr>
        <w:tc>
          <w:tcPr>
            <w:tcW w:type="dxa" w:w="2419"/>
            <w:vAlign w:val="center"/>
            <w:tcMar>
              <w:top w:w="75" w:type="dxa"/>
              <w:bottom w:w="75" w:type="dxa"/>
              <w:left w:w="85" w:type="dxa"/>
              <w:right w:w="85" w:type="dxa"/>
            </w:tcMar>
            <w:shd w:fill="282220"/>
          </w:tcPr>
          <w:p>
            <w:pPr>
              <w:spacing w:after="0" w:line="250" w:lineRule="auto"/>
            </w:pPr>
            <w:r>
              <w:rPr>
                <w:b/>
                <w:color w:val="FFFFFF"/>
                <w:sz w:val="18"/>
              </w:rPr>
              <w:t>Route</w:t>
            </w:r>
          </w:p>
        </w:tc>
        <w:tc>
          <w:tcPr>
            <w:tcW w:type="dxa" w:w="3773"/>
            <w:vAlign w:val="center"/>
            <w:tcMar>
              <w:top w:w="75" w:type="dxa"/>
              <w:bottom w:w="75" w:type="dxa"/>
              <w:left w:w="85" w:type="dxa"/>
              <w:right w:w="85" w:type="dxa"/>
            </w:tcMar>
            <w:shd w:fill="282220"/>
          </w:tcPr>
          <w:p>
            <w:pPr>
              <w:spacing w:after="0" w:line="250" w:lineRule="auto"/>
            </w:pPr>
            <w:r>
              <w:rPr>
                <w:b/>
                <w:color w:val="FFFFFF"/>
                <w:sz w:val="18"/>
              </w:rPr>
              <w:t>Initial offer and mechanism</w:t>
            </w:r>
          </w:p>
        </w:tc>
        <w:tc>
          <w:tcPr>
            <w:tcW w:type="dxa" w:w="3755"/>
            <w:vAlign w:val="center"/>
            <w:tcMar>
              <w:top w:w="75" w:type="dxa"/>
              <w:bottom w:w="75" w:type="dxa"/>
              <w:left w:w="85" w:type="dxa"/>
              <w:right w:w="85" w:type="dxa"/>
            </w:tcMar>
            <w:shd w:fill="282220"/>
          </w:tcPr>
          <w:p>
            <w:pPr>
              <w:spacing w:after="0" w:line="250" w:lineRule="auto"/>
            </w:pPr>
            <w:r>
              <w:rPr>
                <w:b/>
                <w:color w:val="FFFFFF"/>
                <w:sz w:val="18"/>
              </w:rPr>
              <w:t>Commercial treatment and proof</w:t>
            </w:r>
          </w:p>
        </w:tc>
      </w:tr>
      <w:tr>
        <w:trPr>
          <w:cantSplit/>
        </w:trPr>
        <w:tc>
          <w:tcPr>
            <w:tcW w:type="dxa" w:w="2419"/>
            <w:vAlign w:val="center"/>
            <w:tcMar>
              <w:top w:w="75" w:type="dxa"/>
              <w:bottom w:w="75" w:type="dxa"/>
              <w:left w:w="85" w:type="dxa"/>
              <w:right w:w="85" w:type="dxa"/>
            </w:tcMar>
            <w:shd w:fill="F8F1E9"/>
          </w:tcPr>
          <w:p>
            <w:pPr>
              <w:spacing w:after="0" w:line="250" w:lineRule="auto"/>
            </w:pPr>
            <w:r>
              <w:rPr>
                <w:sz w:val="18"/>
              </w:rPr>
              <w:t>Nutritionists, trainers and physiotherapists</w:t>
            </w:r>
          </w:p>
        </w:tc>
        <w:tc>
          <w:tcPr>
            <w:tcW w:type="dxa" w:w="3773"/>
            <w:vAlign w:val="center"/>
            <w:tcMar>
              <w:top w:w="75" w:type="dxa"/>
              <w:bottom w:w="75" w:type="dxa"/>
              <w:left w:w="85" w:type="dxa"/>
              <w:right w:w="85" w:type="dxa"/>
            </w:tcMar>
            <w:shd w:fill="F8F1E9"/>
          </w:tcPr>
          <w:p>
            <w:pPr>
              <w:spacing w:after="0" w:line="250" w:lineRule="auto"/>
            </w:pPr>
            <w:r>
              <w:rPr>
                <w:sz w:val="18"/>
              </w:rPr>
              <w:t>Reviewed programme and voluntary access code; introductory session.</w:t>
            </w:r>
          </w:p>
        </w:tc>
        <w:tc>
          <w:tcPr>
            <w:tcW w:type="dxa" w:w="3755"/>
            <w:vAlign w:val="center"/>
            <w:tcMar>
              <w:top w:w="75" w:type="dxa"/>
              <w:bottom w:w="75" w:type="dxa"/>
              <w:left w:w="85" w:type="dxa"/>
              <w:right w:w="85" w:type="dxa"/>
            </w:tcMar>
            <w:shd w:fill="F8F1E9"/>
          </w:tcPr>
          <w:p>
            <w:pPr>
              <w:spacing w:after="0" w:line="250" w:lineRule="auto"/>
            </w:pPr>
            <w:r>
              <w:rPr>
                <w:sz w:val="18"/>
              </w:rPr>
              <w:t>Track productive referrers, consented registrations and retained users. Pay for defined services rather than assume referral commissions are appropriate.</w:t>
            </w:r>
          </w:p>
        </w:tc>
      </w:tr>
      <w:tr>
        <w:trPr>
          <w:cantSplit/>
        </w:trPr>
        <w:tc>
          <w:tcPr>
            <w:tcW w:type="dxa" w:w="2419"/>
            <w:vAlign w:val="center"/>
            <w:tcMar>
              <w:top w:w="75" w:type="dxa"/>
              <w:bottom w:w="75" w:type="dxa"/>
              <w:left w:w="85" w:type="dxa"/>
              <w:right w:w="85" w:type="dxa"/>
            </w:tcMar>
          </w:tcPr>
          <w:p>
            <w:pPr>
              <w:spacing w:after="0" w:line="250" w:lineRule="auto"/>
            </w:pPr>
            <w:r>
              <w:rPr>
                <w:sz w:val="18"/>
              </w:rPr>
              <w:t>Gyms and studios</w:t>
            </w:r>
          </w:p>
        </w:tc>
        <w:tc>
          <w:tcPr>
            <w:tcW w:type="dxa" w:w="3773"/>
            <w:vAlign w:val="center"/>
            <w:tcMar>
              <w:top w:w="75" w:type="dxa"/>
              <w:bottom w:w="75" w:type="dxa"/>
              <w:left w:w="85" w:type="dxa"/>
              <w:right w:w="85" w:type="dxa"/>
            </w:tcMar>
          </w:tcPr>
          <w:p>
            <w:pPr>
              <w:spacing w:after="0" w:line="250" w:lineRule="auto"/>
            </w:pPr>
            <w:r>
              <w:rPr>
                <w:sz w:val="18"/>
              </w:rPr>
              <w:t>Cycle-aware member programme, instructor demonstration, community introduction and optional access bundle.</w:t>
            </w:r>
          </w:p>
        </w:tc>
        <w:tc>
          <w:tcPr>
            <w:tcW w:type="dxa" w:w="3755"/>
            <w:vAlign w:val="center"/>
            <w:tcMar>
              <w:top w:w="75" w:type="dxa"/>
              <w:bottom w:w="75" w:type="dxa"/>
              <w:left w:w="85" w:type="dxa"/>
              <w:right w:w="85" w:type="dxa"/>
            </w:tcMar>
          </w:tcPr>
          <w:p>
            <w:pPr>
              <w:spacing w:after="0" w:line="250" w:lineRule="auto"/>
            </w:pPr>
            <w:r>
              <w:rPr>
                <w:sz w:val="18"/>
              </w:rPr>
              <w:t>Organisation contract or user subscription; track incremental activation and renewal.</w:t>
            </w:r>
          </w:p>
        </w:tc>
      </w:tr>
      <w:tr>
        <w:trPr>
          <w:cantSplit/>
        </w:trPr>
        <w:tc>
          <w:tcPr>
            <w:tcW w:type="dxa" w:w="2419"/>
            <w:vAlign w:val="center"/>
            <w:tcMar>
              <w:top w:w="75" w:type="dxa"/>
              <w:bottom w:w="75" w:type="dxa"/>
              <w:left w:w="85" w:type="dxa"/>
              <w:right w:w="85" w:type="dxa"/>
            </w:tcMar>
            <w:shd w:fill="F8F1E9"/>
          </w:tcPr>
          <w:p>
            <w:pPr>
              <w:spacing w:after="0" w:line="250" w:lineRule="auto"/>
            </w:pPr>
            <w:r>
              <w:rPr>
                <w:sz w:val="18"/>
              </w:rPr>
              <w:t>Hospitals and primary care</w:t>
            </w:r>
          </w:p>
        </w:tc>
        <w:tc>
          <w:tcPr>
            <w:tcW w:type="dxa" w:w="3773"/>
            <w:vAlign w:val="center"/>
            <w:tcMar>
              <w:top w:w="75" w:type="dxa"/>
              <w:bottom w:w="75" w:type="dxa"/>
              <w:left w:w="85" w:type="dxa"/>
              <w:right w:w="85" w:type="dxa"/>
            </w:tcMar>
            <w:shd w:fill="F8F1E9"/>
          </w:tcPr>
          <w:p>
            <w:pPr>
              <w:spacing w:after="0" w:line="250" w:lineRule="auto"/>
            </w:pPr>
            <w:r>
              <w:rPr>
                <w:sz w:val="18"/>
              </w:rPr>
              <w:t>Approved educational pilot through a named service lead.</w:t>
            </w:r>
          </w:p>
        </w:tc>
        <w:tc>
          <w:tcPr>
            <w:tcW w:type="dxa" w:w="3755"/>
            <w:vAlign w:val="center"/>
            <w:tcMar>
              <w:top w:w="75" w:type="dxa"/>
              <w:bottom w:w="75" w:type="dxa"/>
              <w:left w:w="85" w:type="dxa"/>
              <w:right w:w="85" w:type="dxa"/>
            </w:tcMar>
            <w:shd w:fill="F8F1E9"/>
          </w:tcPr>
          <w:p>
            <w:pPr>
              <w:spacing w:after="0" w:line="250" w:lineRule="auto"/>
            </w:pPr>
            <w:r>
              <w:rPr>
                <w:sz w:val="18"/>
              </w:rPr>
              <w:t>Separate institutional approval, procurement and implementation. No assumed health-system contract in the early revenue case.</w:t>
            </w:r>
          </w:p>
        </w:tc>
      </w:tr>
      <w:tr>
        <w:trPr>
          <w:cantSplit/>
        </w:trPr>
        <w:tc>
          <w:tcPr>
            <w:tcW w:type="dxa" w:w="2419"/>
            <w:vAlign w:val="center"/>
            <w:tcMar>
              <w:top w:w="75" w:type="dxa"/>
              <w:bottom w:w="75" w:type="dxa"/>
              <w:left w:w="85" w:type="dxa"/>
              <w:right w:w="85" w:type="dxa"/>
            </w:tcMar>
          </w:tcPr>
          <w:p>
            <w:pPr>
              <w:spacing w:after="0" w:line="250" w:lineRule="auto"/>
            </w:pPr>
            <w:r>
              <w:rPr>
                <w:sz w:val="18"/>
              </w:rPr>
              <w:t>Midwives and obstetric services</w:t>
            </w:r>
          </w:p>
        </w:tc>
        <w:tc>
          <w:tcPr>
            <w:tcW w:type="dxa" w:w="3773"/>
            <w:vAlign w:val="center"/>
            <w:tcMar>
              <w:top w:w="75" w:type="dxa"/>
              <w:bottom w:w="75" w:type="dxa"/>
              <w:left w:w="85" w:type="dxa"/>
              <w:right w:w="85" w:type="dxa"/>
            </w:tcMar>
          </w:tcPr>
          <w:p>
            <w:pPr>
              <w:spacing w:after="0" w:line="250" w:lineRule="auto"/>
            </w:pPr>
            <w:r>
              <w:rPr>
                <w:sz w:val="18"/>
              </w:rPr>
              <w:t>Pregnancy education and support between appointments, only after the dedicated mode is approved.</w:t>
            </w:r>
          </w:p>
        </w:tc>
        <w:tc>
          <w:tcPr>
            <w:tcW w:type="dxa" w:w="3755"/>
            <w:vAlign w:val="center"/>
            <w:tcMar>
              <w:top w:w="75" w:type="dxa"/>
              <w:bottom w:w="75" w:type="dxa"/>
              <w:left w:w="85" w:type="dxa"/>
              <w:right w:w="85" w:type="dxa"/>
            </w:tcMar>
          </w:tcPr>
          <w:p>
            <w:pPr>
              <w:spacing w:after="0" w:line="250" w:lineRule="auto"/>
            </w:pPr>
            <w:r>
              <w:rPr>
                <w:sz w:val="18"/>
              </w:rPr>
              <w:t>Clinically reviewed pathway; no automatic enrolment, diagnosis or patient-data sharing.</w:t>
            </w:r>
          </w:p>
        </w:tc>
      </w:tr>
      <w:tr>
        <w:trPr>
          <w:cantSplit/>
        </w:trPr>
        <w:tc>
          <w:tcPr>
            <w:tcW w:type="dxa" w:w="2419"/>
            <w:vAlign w:val="center"/>
            <w:tcMar>
              <w:top w:w="75" w:type="dxa"/>
              <w:bottom w:w="75" w:type="dxa"/>
              <w:left w:w="85" w:type="dxa"/>
              <w:right w:w="85" w:type="dxa"/>
            </w:tcMar>
            <w:shd w:fill="F8F1E9"/>
          </w:tcPr>
          <w:p>
            <w:pPr>
              <w:spacing w:after="0" w:line="250" w:lineRule="auto"/>
            </w:pPr>
            <w:r>
              <w:rPr>
                <w:sz w:val="18"/>
              </w:rPr>
              <w:t>Endocrinologists and women's-health specialists</w:t>
            </w:r>
          </w:p>
        </w:tc>
        <w:tc>
          <w:tcPr>
            <w:tcW w:type="dxa" w:w="3773"/>
            <w:vAlign w:val="center"/>
            <w:tcMar>
              <w:top w:w="75" w:type="dxa"/>
              <w:bottom w:w="75" w:type="dxa"/>
              <w:left w:w="85" w:type="dxa"/>
              <w:right w:w="85" w:type="dxa"/>
            </w:tcMar>
            <w:shd w:fill="F8F1E9"/>
          </w:tcPr>
          <w:p>
            <w:pPr>
              <w:spacing w:after="0" w:line="250" w:lineRule="auto"/>
            </w:pPr>
            <w:r>
              <w:rPr>
                <w:sz w:val="18"/>
              </w:rPr>
              <w:t>User-controlled wellbeing records and general education within approved boundaries.</w:t>
            </w:r>
          </w:p>
        </w:tc>
        <w:tc>
          <w:tcPr>
            <w:tcW w:type="dxa" w:w="3755"/>
            <w:vAlign w:val="center"/>
            <w:tcMar>
              <w:top w:w="75" w:type="dxa"/>
              <w:bottom w:w="75" w:type="dxa"/>
              <w:left w:w="85" w:type="dxa"/>
              <w:right w:w="85" w:type="dxa"/>
            </w:tcMar>
            <w:shd w:fill="F8F1E9"/>
          </w:tcPr>
          <w:p>
            <w:pPr>
              <w:spacing w:after="0" w:line="250" w:lineRule="auto"/>
            </w:pPr>
            <w:r>
              <w:rPr>
                <w:sz w:val="18"/>
              </w:rPr>
              <w:t>No treatment recommendations or laboratory interpretation without a separately assessed product pathway.</w:t>
            </w:r>
          </w:p>
        </w:tc>
      </w:tr>
      <w:tr>
        <w:trPr>
          <w:cantSplit/>
        </w:trPr>
        <w:tc>
          <w:tcPr>
            <w:tcW w:type="dxa" w:w="2419"/>
            <w:vAlign w:val="center"/>
            <w:tcMar>
              <w:top w:w="75" w:type="dxa"/>
              <w:bottom w:w="75" w:type="dxa"/>
              <w:left w:w="85" w:type="dxa"/>
              <w:right w:w="85" w:type="dxa"/>
            </w:tcMar>
          </w:tcPr>
          <w:p>
            <w:pPr>
              <w:spacing w:after="0" w:line="250" w:lineRule="auto"/>
            </w:pPr>
            <w:r>
              <w:rPr>
                <w:sz w:val="18"/>
              </w:rPr>
              <w:t>Professional and nursing bodies</w:t>
            </w:r>
          </w:p>
        </w:tc>
        <w:tc>
          <w:tcPr>
            <w:tcW w:type="dxa" w:w="3773"/>
            <w:vAlign w:val="center"/>
            <w:tcMar>
              <w:top w:w="75" w:type="dxa"/>
              <w:bottom w:w="75" w:type="dxa"/>
              <w:left w:w="85" w:type="dxa"/>
              <w:right w:w="85" w:type="dxa"/>
            </w:tcMar>
          </w:tcPr>
          <w:p>
            <w:pPr>
              <w:spacing w:after="0" w:line="250" w:lineRule="auto"/>
            </w:pPr>
            <w:r>
              <w:rPr>
                <w:sz w:val="18"/>
              </w:rPr>
              <w:t>Educational webinars, professional materials, member information and workshops.</w:t>
            </w:r>
          </w:p>
        </w:tc>
        <w:tc>
          <w:tcPr>
            <w:tcW w:type="dxa" w:w="3755"/>
            <w:vAlign w:val="center"/>
            <w:tcMar>
              <w:top w:w="75" w:type="dxa"/>
              <w:bottom w:w="75" w:type="dxa"/>
              <w:left w:w="85" w:type="dxa"/>
              <w:right w:w="85" w:type="dxa"/>
            </w:tcMar>
          </w:tcPr>
          <w:p>
            <w:pPr>
              <w:spacing w:after="0" w:line="250" w:lineRule="auto"/>
            </w:pPr>
            <w:r>
              <w:rPr>
                <w:sz w:val="18"/>
              </w:rPr>
              <w:t>Endorsement and distribution rights agreed expressly; a logo is not permission.</w:t>
            </w:r>
          </w:p>
        </w:tc>
      </w:tr>
      <w:tr>
        <w:trPr>
          <w:cantSplit/>
        </w:trPr>
        <w:tc>
          <w:tcPr>
            <w:tcW w:type="dxa" w:w="2419"/>
            <w:vAlign w:val="center"/>
            <w:tcMar>
              <w:top w:w="75" w:type="dxa"/>
              <w:bottom w:w="75" w:type="dxa"/>
              <w:left w:w="85" w:type="dxa"/>
              <w:right w:w="85" w:type="dxa"/>
            </w:tcMar>
            <w:shd w:fill="F8F1E9"/>
          </w:tcPr>
          <w:p>
            <w:pPr>
              <w:spacing w:after="0" w:line="250" w:lineRule="auto"/>
            </w:pPr>
            <w:r>
              <w:rPr>
                <w:sz w:val="18"/>
              </w:rPr>
              <w:t>Employers and universities</w:t>
            </w:r>
          </w:p>
        </w:tc>
        <w:tc>
          <w:tcPr>
            <w:tcW w:type="dxa" w:w="3773"/>
            <w:vAlign w:val="center"/>
            <w:tcMar>
              <w:top w:w="75" w:type="dxa"/>
              <w:bottom w:w="75" w:type="dxa"/>
              <w:left w:w="85" w:type="dxa"/>
              <w:right w:w="85" w:type="dxa"/>
            </w:tcMar>
            <w:shd w:fill="F8F1E9"/>
          </w:tcPr>
          <w:p>
            <w:pPr>
              <w:spacing w:after="0" w:line="250" w:lineRule="auto"/>
            </w:pPr>
            <w:r>
              <w:rPr>
                <w:sz w:val="18"/>
              </w:rPr>
              <w:t>Time-bounded voluntary wellbeing programme and licences.</w:t>
            </w:r>
          </w:p>
        </w:tc>
        <w:tc>
          <w:tcPr>
            <w:tcW w:type="dxa" w:w="3755"/>
            <w:vAlign w:val="center"/>
            <w:tcMar>
              <w:top w:w="75" w:type="dxa"/>
              <w:bottom w:w="75" w:type="dxa"/>
              <w:left w:w="85" w:type="dxa"/>
              <w:right w:w="85" w:type="dxa"/>
            </w:tcMar>
            <w:shd w:fill="F8F1E9"/>
          </w:tcPr>
          <w:p>
            <w:pPr>
              <w:spacing w:after="0" w:line="250" w:lineRule="auto"/>
            </w:pPr>
            <w:r>
              <w:rPr>
                <w:sz w:val="18"/>
              </w:rPr>
              <w:t>Contracted, activated and regularly active seats reported separately; no employer access to individual health records.</w:t>
            </w:r>
          </w:p>
        </w:tc>
      </w:tr>
      <w:tr>
        <w:trPr>
          <w:cantSplit/>
        </w:trPr>
        <w:tc>
          <w:tcPr>
            <w:tcW w:type="dxa" w:w="2419"/>
            <w:vAlign w:val="center"/>
            <w:tcMar>
              <w:top w:w="75" w:type="dxa"/>
              <w:bottom w:w="75" w:type="dxa"/>
              <w:left w:w="85" w:type="dxa"/>
              <w:right w:w="85" w:type="dxa"/>
            </w:tcMar>
          </w:tcPr>
          <w:p>
            <w:pPr>
              <w:spacing w:after="0" w:line="250" w:lineRule="auto"/>
            </w:pPr>
            <w:r>
              <w:rPr>
                <w:sz w:val="18"/>
              </w:rPr>
              <w:t>Wearable ecosystems</w:t>
            </w:r>
          </w:p>
        </w:tc>
        <w:tc>
          <w:tcPr>
            <w:tcW w:type="dxa" w:w="3773"/>
            <w:vAlign w:val="center"/>
            <w:tcMar>
              <w:top w:w="75" w:type="dxa"/>
              <w:bottom w:w="75" w:type="dxa"/>
              <w:left w:w="85" w:type="dxa"/>
              <w:right w:w="85" w:type="dxa"/>
            </w:tcMar>
          </w:tcPr>
          <w:p>
            <w:pPr>
              <w:spacing w:after="0" w:line="250" w:lineRule="auto"/>
            </w:pPr>
            <w:r>
              <w:rPr>
                <w:sz w:val="18"/>
              </w:rPr>
              <w:t>User-authorised connections and, separately, possible ecosystem listings or co-marketing.</w:t>
            </w:r>
          </w:p>
        </w:tc>
        <w:tc>
          <w:tcPr>
            <w:tcW w:type="dxa" w:w="3755"/>
            <w:vAlign w:val="center"/>
            <w:tcMar>
              <w:top w:w="75" w:type="dxa"/>
              <w:bottom w:w="75" w:type="dxa"/>
              <w:left w:w="85" w:type="dxa"/>
              <w:right w:w="85" w:type="dxa"/>
            </w:tcMar>
          </w:tcPr>
          <w:p>
            <w:pPr>
              <w:spacing w:after="0" w:line="250" w:lineRule="auto"/>
            </w:pPr>
            <w:r>
              <w:rPr>
                <w:sz w:val="18"/>
              </w:rPr>
              <w:t>Provider permission and terms first; no assumed distribution to an installed device base.</w:t>
            </w:r>
          </w:p>
        </w:tc>
      </w:tr>
      <w:tr>
        <w:trPr>
          <w:cantSplit/>
        </w:trPr>
        <w:tc>
          <w:tcPr>
            <w:tcW w:type="dxa" w:w="2419"/>
            <w:vAlign w:val="center"/>
            <w:tcMar>
              <w:top w:w="75" w:type="dxa"/>
              <w:bottom w:w="75" w:type="dxa"/>
              <w:left w:w="85" w:type="dxa"/>
              <w:right w:w="85" w:type="dxa"/>
            </w:tcMar>
            <w:shd w:fill="F8F1E9"/>
          </w:tcPr>
          <w:p>
            <w:pPr>
              <w:spacing w:after="0" w:line="250" w:lineRule="auto"/>
            </w:pPr>
            <w:r>
              <w:rPr>
                <w:sz w:val="18"/>
              </w:rPr>
              <w:t>Fashion, activewear and lifestyle retail</w:t>
            </w:r>
          </w:p>
        </w:tc>
        <w:tc>
          <w:tcPr>
            <w:tcW w:type="dxa" w:w="3773"/>
            <w:vAlign w:val="center"/>
            <w:tcMar>
              <w:top w:w="75" w:type="dxa"/>
              <w:bottom w:w="75" w:type="dxa"/>
              <w:left w:w="85" w:type="dxa"/>
              <w:right w:w="85" w:type="dxa"/>
            </w:tcMar>
            <w:shd w:fill="F8F1E9"/>
          </w:tcPr>
          <w:p>
            <w:pPr>
              <w:spacing w:after="0" w:line="250" w:lineRule="auto"/>
            </w:pPr>
            <w:r>
              <w:rPr>
                <w:sz w:val="18"/>
              </w:rPr>
              <w:t>Cycle-aware everyday comfort, movement and community activities through stores or voluntary loyalty offers.</w:t>
            </w:r>
          </w:p>
        </w:tc>
        <w:tc>
          <w:tcPr>
            <w:tcW w:type="dxa" w:w="3755"/>
            <w:vAlign w:val="center"/>
            <w:tcMar>
              <w:top w:w="75" w:type="dxa"/>
              <w:bottom w:w="75" w:type="dxa"/>
              <w:left w:w="85" w:type="dxa"/>
              <w:right w:w="85" w:type="dxa"/>
            </w:tcMar>
            <w:shd w:fill="F8F1E9"/>
          </w:tcPr>
          <w:p>
            <w:pPr>
              <w:spacing w:after="0" w:line="250" w:lineRule="auto"/>
            </w:pPr>
            <w:r>
              <w:rPr>
                <w:sz w:val="18"/>
              </w:rPr>
              <w:t>Campaign or distribution contract; no body-shaming or health-data matching with retail profiles.</w:t>
            </w:r>
          </w:p>
        </w:tc>
      </w:tr>
      <w:tr>
        <w:trPr>
          <w:cantSplit/>
        </w:trPr>
        <w:tc>
          <w:tcPr>
            <w:tcW w:type="dxa" w:w="2419"/>
            <w:vAlign w:val="center"/>
            <w:tcMar>
              <w:top w:w="75" w:type="dxa"/>
              <w:bottom w:w="75" w:type="dxa"/>
              <w:left w:w="85" w:type="dxa"/>
              <w:right w:w="85" w:type="dxa"/>
            </w:tcMar>
          </w:tcPr>
          <w:p>
            <w:pPr>
              <w:spacing w:after="0" w:line="250" w:lineRule="auto"/>
            </w:pPr>
            <w:r>
              <w:rPr>
                <w:sz w:val="18"/>
              </w:rPr>
              <w:t>Sports events and clubs</w:t>
            </w:r>
          </w:p>
        </w:tc>
        <w:tc>
          <w:tcPr>
            <w:tcW w:type="dxa" w:w="3773"/>
            <w:vAlign w:val="center"/>
            <w:tcMar>
              <w:top w:w="75" w:type="dxa"/>
              <w:bottom w:w="75" w:type="dxa"/>
              <w:left w:w="85" w:type="dxa"/>
              <w:right w:w="85" w:type="dxa"/>
            </w:tcMar>
          </w:tcPr>
          <w:p>
            <w:pPr>
              <w:spacing w:after="0" w:line="250" w:lineRule="auto"/>
            </w:pPr>
            <w:r>
              <w:rPr>
                <w:sz w:val="18"/>
              </w:rPr>
              <w:t>Pre-event education, accessible movement sessions and post-event guides.</w:t>
            </w:r>
          </w:p>
        </w:tc>
        <w:tc>
          <w:tcPr>
            <w:tcW w:type="dxa" w:w="3755"/>
            <w:vAlign w:val="center"/>
            <w:tcMar>
              <w:top w:w="75" w:type="dxa"/>
              <w:bottom w:w="75" w:type="dxa"/>
              <w:left w:w="85" w:type="dxa"/>
              <w:right w:w="85" w:type="dxa"/>
            </w:tcMar>
          </w:tcPr>
          <w:p>
            <w:pPr>
              <w:spacing w:after="0" w:line="250" w:lineRule="auto"/>
            </w:pPr>
            <w:r>
              <w:rPr>
                <w:sz w:val="18"/>
              </w:rPr>
              <w:t>Event-specific codes, activation cohorts and full event cost.</w:t>
            </w:r>
          </w:p>
        </w:tc>
      </w:tr>
      <w:tr>
        <w:trPr>
          <w:cantSplit/>
        </w:trPr>
        <w:tc>
          <w:tcPr>
            <w:tcW w:type="dxa" w:w="2419"/>
            <w:vAlign w:val="center"/>
            <w:tcMar>
              <w:top w:w="75" w:type="dxa"/>
              <w:bottom w:w="75" w:type="dxa"/>
              <w:left w:w="85" w:type="dxa"/>
              <w:right w:w="85" w:type="dxa"/>
            </w:tcMar>
            <w:shd w:fill="F8F1E9"/>
          </w:tcPr>
          <w:p>
            <w:pPr>
              <w:spacing w:after="0" w:line="250" w:lineRule="auto"/>
            </w:pPr>
            <w:r>
              <w:rPr>
                <w:sz w:val="18"/>
              </w:rPr>
              <w:t>Internet and social networks</w:t>
            </w:r>
          </w:p>
        </w:tc>
        <w:tc>
          <w:tcPr>
            <w:tcW w:type="dxa" w:w="3773"/>
            <w:vAlign w:val="center"/>
            <w:tcMar>
              <w:top w:w="75" w:type="dxa"/>
              <w:bottom w:w="75" w:type="dxa"/>
              <w:left w:w="85" w:type="dxa"/>
              <w:right w:w="85" w:type="dxa"/>
            </w:tcMar>
            <w:shd w:fill="F8F1E9"/>
          </w:tcPr>
          <w:p>
            <w:pPr>
              <w:spacing w:after="0" w:line="250" w:lineRule="auto"/>
            </w:pPr>
            <w:r>
              <w:rPr>
                <w:sz w:val="18"/>
              </w:rPr>
              <w:t>Searchable content, app-store presence, creator demonstrations and direct discovery.</w:t>
            </w:r>
          </w:p>
        </w:tc>
        <w:tc>
          <w:tcPr>
            <w:tcW w:type="dxa" w:w="3755"/>
            <w:vAlign w:val="center"/>
            <w:tcMar>
              <w:top w:w="75" w:type="dxa"/>
              <w:bottom w:w="75" w:type="dxa"/>
              <w:left w:w="85" w:type="dxa"/>
              <w:right w:w="85" w:type="dxa"/>
            </w:tcMar>
            <w:shd w:fill="F8F1E9"/>
          </w:tcPr>
          <w:p>
            <w:pPr>
              <w:spacing w:after="0" w:line="250" w:lineRule="auto"/>
            </w:pPr>
            <w:r>
              <w:rPr>
                <w:sz w:val="18"/>
              </w:rPr>
              <w:t>Attribute to incremental activated/paying users, not follower totals.</w:t>
            </w:r>
          </w:p>
        </w:tc>
      </w:tr>
    </w:tbl>
    <w:p>
      <w:pPr>
        <w:spacing w:after="20" w:before="0" w:line="72" w:lineRule="auto"/>
      </w:pPr>
      <w:r>
        <w:rPr>
          <w:sz w:val="4"/>
        </w:rPr>
      </w:r>
    </w:p>
    <w:p>
      <w:r>
        <w:rPr/>
        <w:t>Distribution investment pays for business development, legal/commercial onboarding, training, materials, implementation and account management. For the €2M plan, propose €110K for relationship/account capacity, €40K for partner enablement, €30K for demos/travel and €20K for customer success. Under €5M, use €270K, €100K, €70K and €60K respectively.</w:t>
      </w:r>
    </w:p>
    <w:p>
      <w:r>
        <w:rPr/>
        <w:t>The initial commercial objective is to establish one repeatable direct route and one repeatable partner-funded or partner-introduced route. Hospitals remain strategically important, but the near-term plan must also function without hospital procurement closing on schedule. Partner agreements must prohibit uploading patient lists, employee health information or inferred pregnancy audiences into advertising systems.</w:t>
      </w:r>
    </w:p>
    <w:p>
      <w:bookmarkStart w:id="9" w:name="section_9"/>
      <w:pPr>
        <w:pStyle w:val="Heading1"/>
      </w:pPr>
      <w:r>
        <w:rPr/>
        <w:t>9. Marketing: ATL, BTL and the conversion journey</w:t>
      </w:r>
      <w:bookmarkEnd w:id="9"/>
    </w:p>
    <w:p>
      <w:r>
        <w:t xml:space="preserve">Marketing should make one proposition recognisable: </w:t>
      </w:r>
      <w:r>
        <w:rPr>
          <w:b/>
        </w:rPr>
        <w:t>Nutrition that moooves with your Cycle, within a community-led app for women</w:t>
      </w:r>
      <w:r>
        <w:t>. Campaigns begin with a woman's everyday needs and the support available, then demonstrate relevant capabilities. Marketing remains a core investment programme, linking awareness to useful participation, payment and retention. A broad channel menu is not permission to deploy everything simultaneously.</w:t>
      </w:r>
    </w:p>
    <w:p>
      <w:r>
        <w:rPr>
          <w:b/>
        </w:rPr>
        <w:t>ATL—broad awareness:</w:t>
      </w:r>
      <w:r>
        <w:rPr/>
        <w:t xml:space="preserve"> regional outdoor and transit placements, radio and audio, relevant media, selected print/digital publications, and larger-reach campaigns. Public relations and earned coverage support awareness but should be budgeted and measured separately from purchased media. National television or large celebrity contracts require evidence and a specific business case.</w:t>
      </w:r>
    </w:p>
    <w:p>
      <w:r>
        <w:rPr>
          <w:b/>
        </w:rPr>
        <w:t>BTL—direct activation:</w:t>
      </w:r>
      <w:r>
        <w:rPr/>
        <w:t xml:space="preserve"> professional workshops, gym/studio sessions, retailer demonstrations, shopping-mall pop-ups, university and workplace events, roadshows, sports events, community sessions, QR materials and invitation-based programmes. Each activation must connect to an actual useful experience in the app.</w:t>
      </w:r>
    </w:p>
    <w:p>
      <w:r>
        <w:rPr>
          <w:b/>
        </w:rPr>
        <w:t>TTL—integrated campaigns:</w:t>
      </w:r>
      <w:r>
        <w:rPr/>
        <w:t xml:space="preserve"> one theme carried from broad awareness through a creator or professional introduction, an event or landing page, a first useful app action and opt-in follow-up. TTL is a marketing concept; the product's personalisation feedback loop is a different system.</w:t>
      </w:r>
    </w:p>
    <w:tbl>
      <w:tblPr>
        <w:tblW w:type="auto" w:w="0"/>
        <w:jc w:val="center"/>
        <w:tblLayout w:type="fixed"/>
        <w:tblLook w:firstColumn="1" w:firstRow="1" w:lastColumn="0" w:lastRow="0" w:noHBand="0" w:noVBand="1" w:val="04A0"/>
      </w:tblPr>
      <w:tblGrid>
        <w:gridCol w:w="2419"/>
        <w:gridCol w:w="3773"/>
        <w:gridCol w:w="3755"/>
      </w:tblGrid>
      <w:tr>
        <w:trPr>
          <w:cantSplit/>
          <w:tblHeader/>
        </w:trPr>
        <w:tc>
          <w:tcPr>
            <w:tcW w:type="dxa" w:w="2419"/>
            <w:vAlign w:val="center"/>
            <w:tcMar>
              <w:top w:w="75" w:type="dxa"/>
              <w:bottom w:w="75" w:type="dxa"/>
              <w:left w:w="85" w:type="dxa"/>
              <w:right w:w="85" w:type="dxa"/>
            </w:tcMar>
            <w:shd w:fill="282220"/>
          </w:tcPr>
          <w:p>
            <w:pPr>
              <w:spacing w:after="0" w:line="250" w:lineRule="auto"/>
            </w:pPr>
            <w:r>
              <w:rPr>
                <w:b/>
                <w:color w:val="FFFFFF"/>
                <w:sz w:val="18"/>
              </w:rPr>
              <w:t>Marketing activity</w:t>
            </w:r>
          </w:p>
        </w:tc>
        <w:tc>
          <w:tcPr>
            <w:tcW w:type="dxa" w:w="3773"/>
            <w:vAlign w:val="center"/>
            <w:tcMar>
              <w:top w:w="75" w:type="dxa"/>
              <w:bottom w:w="75" w:type="dxa"/>
              <w:left w:w="85" w:type="dxa"/>
              <w:right w:w="85" w:type="dxa"/>
            </w:tcMar>
            <w:shd w:fill="282220"/>
          </w:tcPr>
          <w:p>
            <w:pPr>
              <w:spacing w:after="0" w:line="250" w:lineRule="auto"/>
            </w:pPr>
            <w:r>
              <w:rPr>
                <w:b/>
                <w:color w:val="FFFFFF"/>
                <w:sz w:val="18"/>
              </w:rPr>
              <w:t>€2M plan</w:t>
            </w:r>
          </w:p>
        </w:tc>
        <w:tc>
          <w:tcPr>
            <w:tcW w:type="dxa" w:w="3755"/>
            <w:vAlign w:val="center"/>
            <w:tcMar>
              <w:top w:w="75" w:type="dxa"/>
              <w:bottom w:w="75" w:type="dxa"/>
              <w:left w:w="85" w:type="dxa"/>
              <w:right w:w="85" w:type="dxa"/>
            </w:tcMar>
            <w:shd w:fill="282220"/>
          </w:tcPr>
          <w:p>
            <w:pPr>
              <w:spacing w:after="0" w:line="250" w:lineRule="auto"/>
            </w:pPr>
            <w:r>
              <w:rPr>
                <w:b/>
                <w:color w:val="FFFFFF"/>
                <w:sz w:val="18"/>
              </w:rPr>
              <w:t>€5M plan</w:t>
            </w:r>
          </w:p>
        </w:tc>
      </w:tr>
      <w:tr>
        <w:trPr>
          <w:cantSplit/>
        </w:trPr>
        <w:tc>
          <w:tcPr>
            <w:tcW w:type="dxa" w:w="2419"/>
            <w:vAlign w:val="center"/>
            <w:tcMar>
              <w:top w:w="75" w:type="dxa"/>
              <w:bottom w:w="75" w:type="dxa"/>
              <w:left w:w="85" w:type="dxa"/>
              <w:right w:w="85" w:type="dxa"/>
            </w:tcMar>
            <w:shd w:fill="F8F1E9"/>
          </w:tcPr>
          <w:p>
            <w:pPr>
              <w:spacing w:after="0" w:line="250" w:lineRule="auto"/>
            </w:pPr>
            <w:r>
              <w:rPr>
                <w:sz w:val="18"/>
              </w:rPr>
              <w:t>Paid digital acquisition and search/app-store tests</w:t>
            </w:r>
          </w:p>
        </w:tc>
        <w:tc>
          <w:tcPr>
            <w:tcW w:type="dxa" w:w="3773"/>
            <w:vAlign w:val="center"/>
            <w:tcMar>
              <w:top w:w="75" w:type="dxa"/>
              <w:bottom w:w="75" w:type="dxa"/>
              <w:left w:w="85" w:type="dxa"/>
              <w:right w:w="85" w:type="dxa"/>
            </w:tcMar>
            <w:shd w:fill="F8F1E9"/>
          </w:tcPr>
          <w:p>
            <w:pPr>
              <w:spacing w:after="0" w:line="250" w:lineRule="auto"/>
              <w:jc w:val="right"/>
            </w:pPr>
            <w:r>
              <w:rPr>
                <w:sz w:val="18"/>
              </w:rPr>
              <w:t>€180K</w:t>
            </w:r>
          </w:p>
        </w:tc>
        <w:tc>
          <w:tcPr>
            <w:tcW w:type="dxa" w:w="3755"/>
            <w:vAlign w:val="center"/>
            <w:tcMar>
              <w:top w:w="75" w:type="dxa"/>
              <w:bottom w:w="75" w:type="dxa"/>
              <w:left w:w="85" w:type="dxa"/>
              <w:right w:w="85" w:type="dxa"/>
            </w:tcMar>
            <w:shd w:fill="F8F1E9"/>
          </w:tcPr>
          <w:p>
            <w:pPr>
              <w:spacing w:after="0" w:line="250" w:lineRule="auto"/>
              <w:jc w:val="right"/>
            </w:pPr>
            <w:r>
              <w:rPr>
                <w:sz w:val="18"/>
              </w:rPr>
              <w:t>€650K</w:t>
            </w:r>
          </w:p>
        </w:tc>
      </w:tr>
      <w:tr>
        <w:trPr>
          <w:cantSplit/>
        </w:trPr>
        <w:tc>
          <w:tcPr>
            <w:tcW w:type="dxa" w:w="2419"/>
            <w:vAlign w:val="center"/>
            <w:tcMar>
              <w:top w:w="75" w:type="dxa"/>
              <w:bottom w:w="75" w:type="dxa"/>
              <w:left w:w="85" w:type="dxa"/>
              <w:right w:w="85" w:type="dxa"/>
            </w:tcMar>
          </w:tcPr>
          <w:p>
            <w:pPr>
              <w:spacing w:after="0" w:line="250" w:lineRule="auto"/>
            </w:pPr>
            <w:r>
              <w:rPr>
                <w:sz w:val="18"/>
              </w:rPr>
              <w:t>Creators and ambassadors; campaign usage rights</w:t>
            </w:r>
          </w:p>
        </w:tc>
        <w:tc>
          <w:tcPr>
            <w:tcW w:type="dxa" w:w="3773"/>
            <w:vAlign w:val="center"/>
            <w:tcMar>
              <w:top w:w="75" w:type="dxa"/>
              <w:bottom w:w="75" w:type="dxa"/>
              <w:left w:w="85" w:type="dxa"/>
              <w:right w:w="85" w:type="dxa"/>
            </w:tcMar>
          </w:tcPr>
          <w:p>
            <w:pPr>
              <w:spacing w:after="0" w:line="250" w:lineRule="auto"/>
              <w:jc w:val="right"/>
            </w:pPr>
            <w:r>
              <w:rPr>
                <w:sz w:val="18"/>
              </w:rPr>
              <w:t>€70K</w:t>
            </w:r>
          </w:p>
        </w:tc>
        <w:tc>
          <w:tcPr>
            <w:tcW w:type="dxa" w:w="3755"/>
            <w:vAlign w:val="center"/>
            <w:tcMar>
              <w:top w:w="75" w:type="dxa"/>
              <w:bottom w:w="75" w:type="dxa"/>
              <w:left w:w="85" w:type="dxa"/>
              <w:right w:w="85" w:type="dxa"/>
            </w:tcMar>
          </w:tcPr>
          <w:p>
            <w:pPr>
              <w:spacing w:after="0" w:line="250" w:lineRule="auto"/>
              <w:jc w:val="right"/>
            </w:pPr>
            <w:r>
              <w:rPr>
                <w:sz w:val="18"/>
              </w:rPr>
              <w:t>€220K</w:t>
            </w:r>
          </w:p>
        </w:tc>
      </w:tr>
      <w:tr>
        <w:trPr>
          <w:cantSplit/>
        </w:trPr>
        <w:tc>
          <w:tcPr>
            <w:tcW w:type="dxa" w:w="2419"/>
            <w:vAlign w:val="center"/>
            <w:tcMar>
              <w:top w:w="75" w:type="dxa"/>
              <w:bottom w:w="75" w:type="dxa"/>
              <w:left w:w="85" w:type="dxa"/>
              <w:right w:w="85" w:type="dxa"/>
            </w:tcMar>
            <w:shd w:fill="F8F1E9"/>
          </w:tcPr>
          <w:p>
            <w:pPr>
              <w:spacing w:after="0" w:line="250" w:lineRule="auto"/>
            </w:pPr>
            <w:r>
              <w:rPr>
                <w:sz w:val="18"/>
              </w:rPr>
              <w:t>BTL events, roadshows, retail and shopping malls</w:t>
            </w:r>
          </w:p>
        </w:tc>
        <w:tc>
          <w:tcPr>
            <w:tcW w:type="dxa" w:w="3773"/>
            <w:vAlign w:val="center"/>
            <w:tcMar>
              <w:top w:w="75" w:type="dxa"/>
              <w:bottom w:w="75" w:type="dxa"/>
              <w:left w:w="85" w:type="dxa"/>
              <w:right w:w="85" w:type="dxa"/>
            </w:tcMar>
            <w:shd w:fill="F8F1E9"/>
          </w:tcPr>
          <w:p>
            <w:pPr>
              <w:spacing w:after="0" w:line="250" w:lineRule="auto"/>
              <w:jc w:val="right"/>
            </w:pPr>
            <w:r>
              <w:rPr>
                <w:sz w:val="18"/>
              </w:rPr>
              <w:t>€70K</w:t>
            </w:r>
          </w:p>
        </w:tc>
        <w:tc>
          <w:tcPr>
            <w:tcW w:type="dxa" w:w="3755"/>
            <w:vAlign w:val="center"/>
            <w:tcMar>
              <w:top w:w="75" w:type="dxa"/>
              <w:bottom w:w="75" w:type="dxa"/>
              <w:left w:w="85" w:type="dxa"/>
              <w:right w:w="85" w:type="dxa"/>
            </w:tcMar>
            <w:shd w:fill="F8F1E9"/>
          </w:tcPr>
          <w:p>
            <w:pPr>
              <w:spacing w:after="0" w:line="250" w:lineRule="auto"/>
              <w:jc w:val="right"/>
            </w:pPr>
            <w:r>
              <w:rPr>
                <w:sz w:val="18"/>
              </w:rPr>
              <w:t>€200K</w:t>
            </w:r>
          </w:p>
        </w:tc>
      </w:tr>
      <w:tr>
        <w:trPr>
          <w:cantSplit/>
        </w:trPr>
        <w:tc>
          <w:tcPr>
            <w:tcW w:type="dxa" w:w="2419"/>
            <w:vAlign w:val="center"/>
            <w:tcMar>
              <w:top w:w="75" w:type="dxa"/>
              <w:bottom w:w="75" w:type="dxa"/>
              <w:left w:w="85" w:type="dxa"/>
              <w:right w:w="85" w:type="dxa"/>
            </w:tcMar>
          </w:tcPr>
          <w:p>
            <w:pPr>
              <w:spacing w:after="0" w:line="250" w:lineRule="auto"/>
            </w:pPr>
            <w:r>
              <w:rPr>
                <w:sz w:val="18"/>
              </w:rPr>
              <w:t>ATL/local awareness, selected media and PR</w:t>
            </w:r>
          </w:p>
        </w:tc>
        <w:tc>
          <w:tcPr>
            <w:tcW w:type="dxa" w:w="3773"/>
            <w:vAlign w:val="center"/>
            <w:tcMar>
              <w:top w:w="75" w:type="dxa"/>
              <w:bottom w:w="75" w:type="dxa"/>
              <w:left w:w="85" w:type="dxa"/>
              <w:right w:w="85" w:type="dxa"/>
            </w:tcMar>
          </w:tcPr>
          <w:p>
            <w:pPr>
              <w:spacing w:after="0" w:line="250" w:lineRule="auto"/>
              <w:jc w:val="right"/>
            </w:pPr>
            <w:r>
              <w:rPr>
                <w:sz w:val="18"/>
              </w:rPr>
              <w:t>€40K</w:t>
            </w:r>
          </w:p>
        </w:tc>
        <w:tc>
          <w:tcPr>
            <w:tcW w:type="dxa" w:w="3755"/>
            <w:vAlign w:val="center"/>
            <w:tcMar>
              <w:top w:w="75" w:type="dxa"/>
              <w:bottom w:w="75" w:type="dxa"/>
              <w:left w:w="85" w:type="dxa"/>
              <w:right w:w="85" w:type="dxa"/>
            </w:tcMar>
          </w:tcPr>
          <w:p>
            <w:pPr>
              <w:spacing w:after="0" w:line="250" w:lineRule="auto"/>
              <w:jc w:val="right"/>
            </w:pPr>
            <w:r>
              <w:rPr>
                <w:sz w:val="18"/>
              </w:rPr>
              <w:t>€180K</w:t>
            </w:r>
          </w:p>
        </w:tc>
      </w:tr>
      <w:tr>
        <w:trPr>
          <w:cantSplit/>
        </w:trPr>
        <w:tc>
          <w:tcPr>
            <w:tcW w:type="dxa" w:w="2419"/>
            <w:vAlign w:val="center"/>
            <w:tcMar>
              <w:top w:w="75" w:type="dxa"/>
              <w:bottom w:w="75" w:type="dxa"/>
              <w:left w:w="85" w:type="dxa"/>
              <w:right w:w="85" w:type="dxa"/>
            </w:tcMar>
            <w:shd w:fill="F8F1E9"/>
          </w:tcPr>
          <w:p>
            <w:pPr>
              <w:spacing w:after="0" w:line="250" w:lineRule="auto"/>
            </w:pPr>
            <w:r>
              <w:rPr>
                <w:sz w:val="18"/>
              </w:rPr>
              <w:t>Searchable editorial content and organic discovery</w:t>
            </w:r>
          </w:p>
        </w:tc>
        <w:tc>
          <w:tcPr>
            <w:tcW w:type="dxa" w:w="3773"/>
            <w:vAlign w:val="center"/>
            <w:tcMar>
              <w:top w:w="75" w:type="dxa"/>
              <w:bottom w:w="75" w:type="dxa"/>
              <w:left w:w="85" w:type="dxa"/>
              <w:right w:w="85" w:type="dxa"/>
            </w:tcMar>
            <w:shd w:fill="F8F1E9"/>
          </w:tcPr>
          <w:p>
            <w:pPr>
              <w:spacing w:after="0" w:line="250" w:lineRule="auto"/>
              <w:jc w:val="right"/>
            </w:pPr>
            <w:r>
              <w:rPr>
                <w:sz w:val="18"/>
              </w:rPr>
              <w:t>€30K</w:t>
            </w:r>
          </w:p>
        </w:tc>
        <w:tc>
          <w:tcPr>
            <w:tcW w:type="dxa" w:w="3755"/>
            <w:vAlign w:val="center"/>
            <w:tcMar>
              <w:top w:w="75" w:type="dxa"/>
              <w:bottom w:w="75" w:type="dxa"/>
              <w:left w:w="85" w:type="dxa"/>
              <w:right w:w="85" w:type="dxa"/>
            </w:tcMar>
            <w:shd w:fill="F8F1E9"/>
          </w:tcPr>
          <w:p>
            <w:pPr>
              <w:spacing w:after="0" w:line="250" w:lineRule="auto"/>
              <w:jc w:val="right"/>
            </w:pPr>
            <w:r>
              <w:rPr>
                <w:sz w:val="18"/>
              </w:rPr>
              <w:t>€80K</w:t>
            </w:r>
          </w:p>
        </w:tc>
      </w:tr>
      <w:tr>
        <w:trPr>
          <w:cantSplit/>
        </w:trPr>
        <w:tc>
          <w:tcPr>
            <w:tcW w:type="dxa" w:w="2419"/>
            <w:vAlign w:val="center"/>
            <w:tcMar>
              <w:top w:w="75" w:type="dxa"/>
              <w:bottom w:w="75" w:type="dxa"/>
              <w:left w:w="85" w:type="dxa"/>
              <w:right w:w="85" w:type="dxa"/>
            </w:tcMar>
          </w:tcPr>
          <w:p>
            <w:pPr>
              <w:spacing w:after="0" w:line="250" w:lineRule="auto"/>
            </w:pPr>
            <w:r>
              <w:rPr>
                <w:sz w:val="18"/>
              </w:rPr>
              <w:t>Opt-in lifecycle communication and referrals</w:t>
            </w:r>
          </w:p>
        </w:tc>
        <w:tc>
          <w:tcPr>
            <w:tcW w:type="dxa" w:w="3773"/>
            <w:vAlign w:val="center"/>
            <w:tcMar>
              <w:top w:w="75" w:type="dxa"/>
              <w:bottom w:w="75" w:type="dxa"/>
              <w:left w:w="85" w:type="dxa"/>
              <w:right w:w="85" w:type="dxa"/>
            </w:tcMar>
          </w:tcPr>
          <w:p>
            <w:pPr>
              <w:spacing w:after="0" w:line="250" w:lineRule="auto"/>
              <w:jc w:val="right"/>
            </w:pPr>
            <w:r>
              <w:rPr>
                <w:sz w:val="18"/>
              </w:rPr>
              <w:t>€20K</w:t>
            </w:r>
          </w:p>
        </w:tc>
        <w:tc>
          <w:tcPr>
            <w:tcW w:type="dxa" w:w="3755"/>
            <w:vAlign w:val="center"/>
            <w:tcMar>
              <w:top w:w="75" w:type="dxa"/>
              <w:bottom w:w="75" w:type="dxa"/>
              <w:left w:w="85" w:type="dxa"/>
              <w:right w:w="85" w:type="dxa"/>
            </w:tcMar>
          </w:tcPr>
          <w:p>
            <w:pPr>
              <w:spacing w:after="0" w:line="250" w:lineRule="auto"/>
              <w:jc w:val="right"/>
            </w:pPr>
            <w:r>
              <w:rPr>
                <w:sz w:val="18"/>
              </w:rPr>
              <w:t>€40K</w:t>
            </w:r>
          </w:p>
        </w:tc>
      </w:tr>
      <w:tr>
        <w:trPr>
          <w:cantSplit/>
        </w:trPr>
        <w:tc>
          <w:tcPr>
            <w:tcW w:type="dxa" w:w="2419"/>
            <w:vAlign w:val="center"/>
            <w:tcMar>
              <w:top w:w="75" w:type="dxa"/>
              <w:bottom w:w="75" w:type="dxa"/>
              <w:left w:w="85" w:type="dxa"/>
              <w:right w:w="85" w:type="dxa"/>
            </w:tcMar>
            <w:shd w:fill="F8F1E9"/>
          </w:tcPr>
          <w:p>
            <w:pPr>
              <w:spacing w:after="0" w:line="250" w:lineRule="auto"/>
            </w:pPr>
            <w:r>
              <w:rPr>
                <w:sz w:val="18"/>
              </w:rPr>
              <w:t>Growth operations, attribution and experiments</w:t>
            </w:r>
          </w:p>
        </w:tc>
        <w:tc>
          <w:tcPr>
            <w:tcW w:type="dxa" w:w="3773"/>
            <w:vAlign w:val="center"/>
            <w:tcMar>
              <w:top w:w="75" w:type="dxa"/>
              <w:bottom w:w="75" w:type="dxa"/>
              <w:left w:w="85" w:type="dxa"/>
              <w:right w:w="85" w:type="dxa"/>
            </w:tcMar>
            <w:shd w:fill="F8F1E9"/>
          </w:tcPr>
          <w:p>
            <w:pPr>
              <w:spacing w:after="0" w:line="250" w:lineRule="auto"/>
              <w:jc w:val="right"/>
            </w:pPr>
            <w:r>
              <w:rPr>
                <w:sz w:val="18"/>
              </w:rPr>
              <w:t>€40K</w:t>
            </w:r>
          </w:p>
        </w:tc>
        <w:tc>
          <w:tcPr>
            <w:tcW w:type="dxa" w:w="3755"/>
            <w:vAlign w:val="center"/>
            <w:tcMar>
              <w:top w:w="75" w:type="dxa"/>
              <w:bottom w:w="75" w:type="dxa"/>
              <w:left w:w="85" w:type="dxa"/>
              <w:right w:w="85" w:type="dxa"/>
            </w:tcMar>
            <w:shd w:fill="F8F1E9"/>
          </w:tcPr>
          <w:p>
            <w:pPr>
              <w:spacing w:after="0" w:line="250" w:lineRule="auto"/>
              <w:jc w:val="right"/>
            </w:pPr>
            <w:r>
              <w:rPr>
                <w:sz w:val="18"/>
              </w:rPr>
              <w:t>€80K</w:t>
            </w:r>
          </w:p>
        </w:tc>
      </w:tr>
      <w:tr>
        <w:trPr>
          <w:cantSplit/>
        </w:trPr>
        <w:tc>
          <w:tcPr>
            <w:tcW w:type="dxa" w:w="2419"/>
            <w:vAlign w:val="center"/>
            <w:tcMar>
              <w:top w:w="75" w:type="dxa"/>
              <w:bottom w:w="75" w:type="dxa"/>
              <w:left w:w="85" w:type="dxa"/>
              <w:right w:w="85" w:type="dxa"/>
            </w:tcMar>
          </w:tcPr>
          <w:p>
            <w:pPr>
              <w:spacing w:after="0" w:line="250" w:lineRule="auto"/>
            </w:pPr>
            <w:r>
              <w:rPr>
                <w:b/>
                <w:sz w:val="18"/>
              </w:rPr>
              <w:t>Total</w:t>
            </w:r>
          </w:p>
        </w:tc>
        <w:tc>
          <w:tcPr>
            <w:tcW w:type="dxa" w:w="3773"/>
            <w:vAlign w:val="center"/>
            <w:tcMar>
              <w:top w:w="75" w:type="dxa"/>
              <w:bottom w:w="75" w:type="dxa"/>
              <w:left w:w="85" w:type="dxa"/>
              <w:right w:w="85" w:type="dxa"/>
            </w:tcMar>
          </w:tcPr>
          <w:p>
            <w:pPr>
              <w:spacing w:after="0" w:line="250" w:lineRule="auto"/>
              <w:jc w:val="right"/>
            </w:pPr>
            <w:r>
              <w:rPr>
                <w:b/>
                <w:sz w:val="18"/>
              </w:rPr>
              <w:t>€450K</w:t>
            </w:r>
          </w:p>
        </w:tc>
        <w:tc>
          <w:tcPr>
            <w:tcW w:type="dxa" w:w="3755"/>
            <w:vAlign w:val="center"/>
            <w:tcMar>
              <w:top w:w="75" w:type="dxa"/>
              <w:bottom w:w="75" w:type="dxa"/>
              <w:left w:w="85" w:type="dxa"/>
              <w:right w:w="85" w:type="dxa"/>
            </w:tcMar>
          </w:tcPr>
          <w:p>
            <w:pPr>
              <w:spacing w:after="0" w:line="250" w:lineRule="auto"/>
              <w:jc w:val="right"/>
            </w:pPr>
            <w:r>
              <w:rPr>
                <w:b/>
                <w:sz w:val="18"/>
              </w:rPr>
              <w:t>€1,450K</w:t>
            </w:r>
          </w:p>
        </w:tc>
      </w:tr>
    </w:tbl>
    <w:p>
      <w:pPr>
        <w:spacing w:after="20" w:before="0" w:line="72" w:lineRule="auto"/>
      </w:pPr>
      <w:r>
        <w:rPr>
          <w:sz w:val="4"/>
        </w:rPr>
      </w:r>
    </w:p>
    <w:p>
      <w:r>
        <w:rPr/>
        <w:t>These are spend ceilings. Product-library production belongs in the content budget; campaign adaptation and media rights belong here. Partner sales staff belong in distribution. Every purchase order must have a single cost owner.</w:t>
      </w:r>
    </w:p>
    <w:p>
      <w:r>
        <w:t xml:space="preserve">A proposed </w:t>
      </w:r>
      <w:r>
        <w:rPr>
          <w:b/>
        </w:rPr>
        <w:t>'Nutrition that moooves with your Cycle'</w:t>
      </w:r>
      <w:r>
        <w:t xml:space="preserve"> campaign connects a woman's everyday question with a reviewed recipe, adaptable movement session and optional community conversation. A nutritionist, chef, trainer and community host bring it to life through digital content, a gym or retailer session, or a shopping-mall activation. The invitation is to explore useful guidance and join voluntarily—not to undergo an invasive screening or disclose cycle data. Follow-up asks about usefulness and belonging, then presents optional paid access. Maternal versions require their own approved scope.</w:t>
      </w:r>
    </w:p>
    <w:p>
      <w:r>
        <w:t>Measure qualified reach, registrations, first useful actions, voluntary community participation, repeat use, payment and contribution after service costs. Ask whether women felt understood and supported; test any retention effect rather than assume it. Use comparison cohorts or holdouts where feasible. Never send health events, cycle phases, pregnancy status, meals, wearable records or sensitive community disclosures to ad platforms. A QR scan, group join or post is not a paying customer.</w:t>
      </w:r>
    </w:p>
    <w:p>
      <w:bookmarkStart w:id="10" w:name="section_10"/>
      <w:pPr>
        <w:pStyle w:val="Heading1"/>
      </w:pPr>
      <w:r>
        <w:rPr/>
        <w:t>10. Taking a reasonable share: a bottom-up acquisition plan</w:t>
      </w:r>
      <w:bookmarkEnd w:id="10"/>
    </w:p>
    <w:p>
      <w:r>
        <w:t xml:space="preserve">The Spain-first entry proposition is </w:t>
      </w:r>
      <w:r>
        <w:rPr>
          <w:b/>
        </w:rPr>
        <w:t>cycle-smart nutrition and holistic everyday support within a community of women</w:t>
      </w:r>
      <w:r>
        <w:t>, initially for adults. The product should accommodate varied cycle experiences and life stages without inferring a health condition from age. Acquisition must not rely on private cycle or symptom data. Proposal 32 remains the demographic/device research base; overlapping age, life-stage, community and wearable groups are not separate markets to add together. [S01]</w:t>
      </w:r>
    </w:p>
    <w:p>
      <w:r>
        <w:rPr/>
        <w:t xml:space="preserve">The market capture plan starts with reachable channels and productive accounts, not an arbitrary percentage of TAM. The following deliberately restrained worked example tests what the two scale budgets might produce. It is </w:t>
      </w:r>
      <w:r>
        <w:rPr>
          <w:b/>
        </w:rPr>
        <w:t>not a validated forecast or a spending authorisation</w:t>
      </w:r>
      <w:r>
        <w:rPr/>
        <w:t>. The planning workbook exposes its assumptions.</w:t>
      </w:r>
    </w:p>
    <w:tbl>
      <w:tblPr>
        <w:tblW w:type="auto" w:w="0"/>
        <w:jc w:val="center"/>
        <w:tblLayout w:type="fixed"/>
        <w:tblLook w:firstColumn="1" w:firstRow="1" w:lastColumn="0" w:lastRow="0" w:noHBand="0" w:noVBand="1" w:val="04A0"/>
      </w:tblPr>
      <w:tblGrid>
        <w:gridCol w:w="2419"/>
        <w:gridCol w:w="3773"/>
        <w:gridCol w:w="3755"/>
      </w:tblGrid>
      <w:tr>
        <w:trPr>
          <w:cantSplit/>
          <w:tblHeader/>
        </w:trPr>
        <w:tc>
          <w:tcPr>
            <w:tcW w:type="dxa" w:w="2419"/>
            <w:vAlign w:val="center"/>
            <w:tcMar>
              <w:top w:w="75" w:type="dxa"/>
              <w:bottom w:w="75" w:type="dxa"/>
              <w:left w:w="85" w:type="dxa"/>
              <w:right w:w="85" w:type="dxa"/>
            </w:tcMar>
            <w:shd w:fill="282220"/>
          </w:tcPr>
          <w:p>
            <w:pPr>
              <w:spacing w:after="0" w:line="250" w:lineRule="auto"/>
            </w:pPr>
            <w:r>
              <w:rPr>
                <w:b/>
                <w:color w:val="FFFFFF"/>
                <w:sz w:val="18"/>
              </w:rPr>
              <w:t>24-month worked example</w:t>
            </w:r>
          </w:p>
        </w:tc>
        <w:tc>
          <w:tcPr>
            <w:tcW w:type="dxa" w:w="3773"/>
            <w:vAlign w:val="center"/>
            <w:tcMar>
              <w:top w:w="75" w:type="dxa"/>
              <w:bottom w:w="75" w:type="dxa"/>
              <w:left w:w="85" w:type="dxa"/>
              <w:right w:w="85" w:type="dxa"/>
            </w:tcMar>
            <w:shd w:fill="282220"/>
          </w:tcPr>
          <w:p>
            <w:pPr>
              <w:spacing w:after="0" w:line="250" w:lineRule="auto"/>
            </w:pPr>
            <w:r>
              <w:rPr>
                <w:b/>
                <w:color w:val="FFFFFF"/>
                <w:sz w:val="18"/>
              </w:rPr>
              <w:t>€2M case</w:t>
            </w:r>
          </w:p>
        </w:tc>
        <w:tc>
          <w:tcPr>
            <w:tcW w:type="dxa" w:w="3755"/>
            <w:vAlign w:val="center"/>
            <w:tcMar>
              <w:top w:w="75" w:type="dxa"/>
              <w:bottom w:w="75" w:type="dxa"/>
              <w:left w:w="85" w:type="dxa"/>
              <w:right w:w="85" w:type="dxa"/>
            </w:tcMar>
            <w:shd w:fill="282220"/>
          </w:tcPr>
          <w:p>
            <w:pPr>
              <w:spacing w:after="0" w:line="250" w:lineRule="auto"/>
            </w:pPr>
            <w:r>
              <w:rPr>
                <w:b/>
                <w:color w:val="FFFFFF"/>
                <w:sz w:val="18"/>
              </w:rPr>
              <w:t>€5M case</w:t>
            </w:r>
          </w:p>
        </w:tc>
      </w:tr>
      <w:tr>
        <w:trPr>
          <w:cantSplit/>
        </w:trPr>
        <w:tc>
          <w:tcPr>
            <w:tcW w:type="dxa" w:w="2419"/>
            <w:vAlign w:val="center"/>
            <w:tcMar>
              <w:top w:w="75" w:type="dxa"/>
              <w:bottom w:w="75" w:type="dxa"/>
              <w:left w:w="85" w:type="dxa"/>
              <w:right w:w="85" w:type="dxa"/>
            </w:tcMar>
            <w:shd w:fill="F8F1E9"/>
          </w:tcPr>
          <w:p>
            <w:pPr>
              <w:spacing w:after="0" w:line="250" w:lineRule="auto"/>
            </w:pPr>
            <w:r>
              <w:rPr>
                <w:sz w:val="18"/>
              </w:rPr>
              <w:t>Paid-media budget used in the example</w:t>
            </w:r>
          </w:p>
        </w:tc>
        <w:tc>
          <w:tcPr>
            <w:tcW w:type="dxa" w:w="3773"/>
            <w:vAlign w:val="center"/>
            <w:tcMar>
              <w:top w:w="75" w:type="dxa"/>
              <w:bottom w:w="75" w:type="dxa"/>
              <w:left w:w="85" w:type="dxa"/>
              <w:right w:w="85" w:type="dxa"/>
            </w:tcMar>
            <w:shd w:fill="F8F1E9"/>
          </w:tcPr>
          <w:p>
            <w:pPr>
              <w:spacing w:after="0" w:line="250" w:lineRule="auto"/>
              <w:jc w:val="right"/>
            </w:pPr>
            <w:r>
              <w:rPr>
                <w:sz w:val="18"/>
              </w:rPr>
              <w:t>€180,000</w:t>
            </w:r>
          </w:p>
        </w:tc>
        <w:tc>
          <w:tcPr>
            <w:tcW w:type="dxa" w:w="3755"/>
            <w:vAlign w:val="center"/>
            <w:tcMar>
              <w:top w:w="75" w:type="dxa"/>
              <w:bottom w:w="75" w:type="dxa"/>
              <w:left w:w="85" w:type="dxa"/>
              <w:right w:w="85" w:type="dxa"/>
            </w:tcMar>
            <w:shd w:fill="F8F1E9"/>
          </w:tcPr>
          <w:p>
            <w:pPr>
              <w:spacing w:after="0" w:line="250" w:lineRule="auto"/>
              <w:jc w:val="right"/>
            </w:pPr>
            <w:r>
              <w:rPr>
                <w:sz w:val="18"/>
              </w:rPr>
              <w:t>€650,000</w:t>
            </w:r>
          </w:p>
        </w:tc>
      </w:tr>
      <w:tr>
        <w:trPr>
          <w:cantSplit/>
        </w:trPr>
        <w:tc>
          <w:tcPr>
            <w:tcW w:type="dxa" w:w="2419"/>
            <w:vAlign w:val="center"/>
            <w:tcMar>
              <w:top w:w="75" w:type="dxa"/>
              <w:bottom w:w="75" w:type="dxa"/>
              <w:left w:w="85" w:type="dxa"/>
              <w:right w:w="85" w:type="dxa"/>
            </w:tcMar>
          </w:tcPr>
          <w:p>
            <w:pPr>
              <w:spacing w:after="0" w:line="250" w:lineRule="auto"/>
            </w:pPr>
            <w:r>
              <w:rPr>
                <w:sz w:val="18"/>
              </w:rPr>
              <w:t>Paid registrations at assumed €5 each</w:t>
            </w:r>
          </w:p>
        </w:tc>
        <w:tc>
          <w:tcPr>
            <w:tcW w:type="dxa" w:w="3773"/>
            <w:vAlign w:val="center"/>
            <w:tcMar>
              <w:top w:w="75" w:type="dxa"/>
              <w:bottom w:w="75" w:type="dxa"/>
              <w:left w:w="85" w:type="dxa"/>
              <w:right w:w="85" w:type="dxa"/>
            </w:tcMar>
          </w:tcPr>
          <w:p>
            <w:pPr>
              <w:spacing w:after="0" w:line="250" w:lineRule="auto"/>
              <w:jc w:val="right"/>
            </w:pPr>
            <w:r>
              <w:rPr>
                <w:sz w:val="18"/>
              </w:rPr>
              <w:t>36,000</w:t>
            </w:r>
          </w:p>
        </w:tc>
        <w:tc>
          <w:tcPr>
            <w:tcW w:type="dxa" w:w="3755"/>
            <w:vAlign w:val="center"/>
            <w:tcMar>
              <w:top w:w="75" w:type="dxa"/>
              <w:bottom w:w="75" w:type="dxa"/>
              <w:left w:w="85" w:type="dxa"/>
              <w:right w:w="85" w:type="dxa"/>
            </w:tcMar>
          </w:tcPr>
          <w:p>
            <w:pPr>
              <w:spacing w:after="0" w:line="250" w:lineRule="auto"/>
              <w:jc w:val="right"/>
            </w:pPr>
            <w:r>
              <w:rPr>
                <w:sz w:val="18"/>
              </w:rPr>
              <w:t>130,000</w:t>
            </w:r>
          </w:p>
        </w:tc>
      </w:tr>
      <w:tr>
        <w:trPr>
          <w:cantSplit/>
        </w:trPr>
        <w:tc>
          <w:tcPr>
            <w:tcW w:type="dxa" w:w="2419"/>
            <w:vAlign w:val="center"/>
            <w:tcMar>
              <w:top w:w="75" w:type="dxa"/>
              <w:bottom w:w="75" w:type="dxa"/>
              <w:left w:w="85" w:type="dxa"/>
              <w:right w:w="85" w:type="dxa"/>
            </w:tcMar>
            <w:shd w:fill="F8F1E9"/>
          </w:tcPr>
          <w:p>
            <w:pPr>
              <w:spacing w:after="0" w:line="250" w:lineRule="auto"/>
            </w:pPr>
            <w:r>
              <w:rPr>
                <w:sz w:val="18"/>
              </w:rPr>
              <w:t>New B2C payers from paid media: 55% activation × 12% of activated users</w:t>
            </w:r>
          </w:p>
        </w:tc>
        <w:tc>
          <w:tcPr>
            <w:tcW w:type="dxa" w:w="3773"/>
            <w:vAlign w:val="center"/>
            <w:tcMar>
              <w:top w:w="75" w:type="dxa"/>
              <w:bottom w:w="75" w:type="dxa"/>
              <w:left w:w="85" w:type="dxa"/>
              <w:right w:w="85" w:type="dxa"/>
            </w:tcMar>
            <w:shd w:fill="F8F1E9"/>
          </w:tcPr>
          <w:p>
            <w:pPr>
              <w:spacing w:after="0" w:line="250" w:lineRule="auto"/>
              <w:jc w:val="right"/>
            </w:pPr>
            <w:r>
              <w:rPr>
                <w:sz w:val="18"/>
              </w:rPr>
              <w:t>2,376</w:t>
            </w:r>
          </w:p>
        </w:tc>
        <w:tc>
          <w:tcPr>
            <w:tcW w:type="dxa" w:w="3755"/>
            <w:vAlign w:val="center"/>
            <w:tcMar>
              <w:top w:w="75" w:type="dxa"/>
              <w:bottom w:w="75" w:type="dxa"/>
              <w:left w:w="85" w:type="dxa"/>
              <w:right w:w="85" w:type="dxa"/>
            </w:tcMar>
            <w:shd w:fill="F8F1E9"/>
          </w:tcPr>
          <w:p>
            <w:pPr>
              <w:spacing w:after="0" w:line="250" w:lineRule="auto"/>
              <w:jc w:val="right"/>
            </w:pPr>
            <w:r>
              <w:rPr>
                <w:sz w:val="18"/>
              </w:rPr>
              <w:t>8,580</w:t>
            </w:r>
          </w:p>
        </w:tc>
      </w:tr>
      <w:tr>
        <w:trPr>
          <w:cantSplit/>
        </w:trPr>
        <w:tc>
          <w:tcPr>
            <w:tcW w:type="dxa" w:w="2419"/>
            <w:vAlign w:val="center"/>
            <w:tcMar>
              <w:top w:w="75" w:type="dxa"/>
              <w:bottom w:w="75" w:type="dxa"/>
              <w:left w:w="85" w:type="dxa"/>
              <w:right w:w="85" w:type="dxa"/>
            </w:tcMar>
          </w:tcPr>
          <w:p>
            <w:pPr>
              <w:spacing w:after="0" w:line="250" w:lineRule="auto"/>
            </w:pPr>
            <w:r>
              <w:rPr>
                <w:sz w:val="18"/>
              </w:rPr>
              <w:t>Owned/creator/event registrations, independently attributed</w:t>
            </w:r>
          </w:p>
        </w:tc>
        <w:tc>
          <w:tcPr>
            <w:tcW w:type="dxa" w:w="3773"/>
            <w:vAlign w:val="center"/>
            <w:tcMar>
              <w:top w:w="75" w:type="dxa"/>
              <w:bottom w:w="75" w:type="dxa"/>
              <w:left w:w="85" w:type="dxa"/>
              <w:right w:w="85" w:type="dxa"/>
            </w:tcMar>
          </w:tcPr>
          <w:p>
            <w:pPr>
              <w:spacing w:after="0" w:line="250" w:lineRule="auto"/>
              <w:jc w:val="right"/>
            </w:pPr>
            <w:r>
              <w:rPr>
                <w:sz w:val="18"/>
              </w:rPr>
              <w:t>16,000</w:t>
            </w:r>
          </w:p>
        </w:tc>
        <w:tc>
          <w:tcPr>
            <w:tcW w:type="dxa" w:w="3755"/>
            <w:vAlign w:val="center"/>
            <w:tcMar>
              <w:top w:w="75" w:type="dxa"/>
              <w:bottom w:w="75" w:type="dxa"/>
              <w:left w:w="85" w:type="dxa"/>
              <w:right w:w="85" w:type="dxa"/>
            </w:tcMar>
          </w:tcPr>
          <w:p>
            <w:pPr>
              <w:spacing w:after="0" w:line="250" w:lineRule="auto"/>
              <w:jc w:val="right"/>
            </w:pPr>
            <w:r>
              <w:rPr>
                <w:sz w:val="18"/>
              </w:rPr>
              <w:t>50,000</w:t>
            </w:r>
          </w:p>
        </w:tc>
      </w:tr>
      <w:tr>
        <w:trPr>
          <w:cantSplit/>
        </w:trPr>
        <w:tc>
          <w:tcPr>
            <w:tcW w:type="dxa" w:w="2419"/>
            <w:vAlign w:val="center"/>
            <w:tcMar>
              <w:top w:w="75" w:type="dxa"/>
              <w:bottom w:w="75" w:type="dxa"/>
              <w:left w:w="85" w:type="dxa"/>
              <w:right w:w="85" w:type="dxa"/>
            </w:tcMar>
            <w:shd w:fill="F8F1E9"/>
          </w:tcPr>
          <w:p>
            <w:pPr>
              <w:spacing w:after="0" w:line="250" w:lineRule="auto"/>
            </w:pPr>
            <w:r>
              <w:rPr>
                <w:sz w:val="18"/>
              </w:rPr>
              <w:t>New B2C payers from that route: 60% activation × 18% conversion</w:t>
            </w:r>
          </w:p>
        </w:tc>
        <w:tc>
          <w:tcPr>
            <w:tcW w:type="dxa" w:w="3773"/>
            <w:vAlign w:val="center"/>
            <w:tcMar>
              <w:top w:w="75" w:type="dxa"/>
              <w:bottom w:w="75" w:type="dxa"/>
              <w:left w:w="85" w:type="dxa"/>
              <w:right w:w="85" w:type="dxa"/>
            </w:tcMar>
            <w:shd w:fill="F8F1E9"/>
          </w:tcPr>
          <w:p>
            <w:pPr>
              <w:spacing w:after="0" w:line="250" w:lineRule="auto"/>
              <w:jc w:val="right"/>
            </w:pPr>
            <w:r>
              <w:rPr>
                <w:sz w:val="18"/>
              </w:rPr>
              <w:t>1,728</w:t>
            </w:r>
          </w:p>
        </w:tc>
        <w:tc>
          <w:tcPr>
            <w:tcW w:type="dxa" w:w="3755"/>
            <w:vAlign w:val="center"/>
            <w:tcMar>
              <w:top w:w="75" w:type="dxa"/>
              <w:bottom w:w="75" w:type="dxa"/>
              <w:left w:w="85" w:type="dxa"/>
              <w:right w:w="85" w:type="dxa"/>
            </w:tcMar>
            <w:shd w:fill="F8F1E9"/>
          </w:tcPr>
          <w:p>
            <w:pPr>
              <w:spacing w:after="0" w:line="250" w:lineRule="auto"/>
              <w:jc w:val="right"/>
            </w:pPr>
            <w:r>
              <w:rPr>
                <w:sz w:val="18"/>
              </w:rPr>
              <w:t>5,400</w:t>
            </w:r>
          </w:p>
        </w:tc>
      </w:tr>
      <w:tr>
        <w:trPr>
          <w:cantSplit/>
        </w:trPr>
        <w:tc>
          <w:tcPr>
            <w:tcW w:type="dxa" w:w="2419"/>
            <w:vAlign w:val="center"/>
            <w:tcMar>
              <w:top w:w="75" w:type="dxa"/>
              <w:bottom w:w="75" w:type="dxa"/>
              <w:left w:w="85" w:type="dxa"/>
              <w:right w:w="85" w:type="dxa"/>
            </w:tcMar>
          </w:tcPr>
          <w:p>
            <w:pPr>
              <w:spacing w:after="0" w:line="250" w:lineRule="auto"/>
            </w:pPr>
            <w:r>
              <w:rPr>
                <w:sz w:val="18"/>
              </w:rPr>
              <w:t>Productive professional locations</w:t>
            </w:r>
          </w:p>
        </w:tc>
        <w:tc>
          <w:tcPr>
            <w:tcW w:type="dxa" w:w="3773"/>
            <w:vAlign w:val="center"/>
            <w:tcMar>
              <w:top w:w="75" w:type="dxa"/>
              <w:bottom w:w="75" w:type="dxa"/>
              <w:left w:w="85" w:type="dxa"/>
              <w:right w:w="85" w:type="dxa"/>
            </w:tcMar>
          </w:tcPr>
          <w:p>
            <w:pPr>
              <w:spacing w:after="0" w:line="250" w:lineRule="auto"/>
              <w:jc w:val="right"/>
            </w:pPr>
            <w:r>
              <w:rPr>
                <w:sz w:val="18"/>
              </w:rPr>
              <w:t>40</w:t>
            </w:r>
          </w:p>
        </w:tc>
        <w:tc>
          <w:tcPr>
            <w:tcW w:type="dxa" w:w="3755"/>
            <w:vAlign w:val="center"/>
            <w:tcMar>
              <w:top w:w="75" w:type="dxa"/>
              <w:bottom w:w="75" w:type="dxa"/>
              <w:left w:w="85" w:type="dxa"/>
              <w:right w:w="85" w:type="dxa"/>
            </w:tcMar>
          </w:tcPr>
          <w:p>
            <w:pPr>
              <w:spacing w:after="0" w:line="250" w:lineRule="auto"/>
              <w:jc w:val="right"/>
            </w:pPr>
            <w:r>
              <w:rPr>
                <w:sz w:val="18"/>
              </w:rPr>
              <w:t>120</w:t>
            </w:r>
          </w:p>
        </w:tc>
      </w:tr>
      <w:tr>
        <w:trPr>
          <w:cantSplit/>
        </w:trPr>
        <w:tc>
          <w:tcPr>
            <w:tcW w:type="dxa" w:w="2419"/>
            <w:vAlign w:val="center"/>
            <w:tcMar>
              <w:top w:w="75" w:type="dxa"/>
              <w:bottom w:w="75" w:type="dxa"/>
              <w:left w:w="85" w:type="dxa"/>
              <w:right w:w="85" w:type="dxa"/>
            </w:tcMar>
            <w:shd w:fill="F8F1E9"/>
          </w:tcPr>
          <w:p>
            <w:pPr>
              <w:spacing w:after="0" w:line="250" w:lineRule="auto"/>
            </w:pPr>
            <w:r>
              <w:rPr>
                <w:sz w:val="18"/>
              </w:rPr>
              <w:t>Professional-route new B2C payers</w:t>
            </w:r>
          </w:p>
        </w:tc>
        <w:tc>
          <w:tcPr>
            <w:tcW w:type="dxa" w:w="3773"/>
            <w:vAlign w:val="center"/>
            <w:tcMar>
              <w:top w:w="75" w:type="dxa"/>
              <w:bottom w:w="75" w:type="dxa"/>
              <w:left w:w="85" w:type="dxa"/>
              <w:right w:w="85" w:type="dxa"/>
            </w:tcMar>
            <w:shd w:fill="F8F1E9"/>
          </w:tcPr>
          <w:p>
            <w:pPr>
              <w:spacing w:after="0" w:line="250" w:lineRule="auto"/>
              <w:jc w:val="right"/>
            </w:pPr>
            <w:r>
              <w:rPr>
                <w:sz w:val="18"/>
              </w:rPr>
              <w:t>648</w:t>
            </w:r>
          </w:p>
        </w:tc>
        <w:tc>
          <w:tcPr>
            <w:tcW w:type="dxa" w:w="3755"/>
            <w:vAlign w:val="center"/>
            <w:tcMar>
              <w:top w:w="75" w:type="dxa"/>
              <w:bottom w:w="75" w:type="dxa"/>
              <w:left w:w="85" w:type="dxa"/>
              <w:right w:w="85" w:type="dxa"/>
            </w:tcMar>
            <w:shd w:fill="F8F1E9"/>
          </w:tcPr>
          <w:p>
            <w:pPr>
              <w:spacing w:after="0" w:line="250" w:lineRule="auto"/>
              <w:jc w:val="right"/>
            </w:pPr>
            <w:r>
              <w:rPr>
                <w:sz w:val="18"/>
              </w:rPr>
              <w:t>1,944</w:t>
            </w:r>
          </w:p>
        </w:tc>
      </w:tr>
      <w:tr>
        <w:trPr>
          <w:cantSplit/>
        </w:trPr>
        <w:tc>
          <w:tcPr>
            <w:tcW w:type="dxa" w:w="2419"/>
            <w:vAlign w:val="center"/>
            <w:tcMar>
              <w:top w:w="75" w:type="dxa"/>
              <w:bottom w:w="75" w:type="dxa"/>
              <w:left w:w="85" w:type="dxa"/>
              <w:right w:w="85" w:type="dxa"/>
            </w:tcMar>
          </w:tcPr>
          <w:p>
            <w:pPr>
              <w:spacing w:after="0" w:line="250" w:lineRule="auto"/>
            </w:pPr>
            <w:r>
              <w:rPr>
                <w:b/>
                <w:sz w:val="18"/>
              </w:rPr>
              <w:t>Gross new B2C payers over the period</w:t>
            </w:r>
          </w:p>
        </w:tc>
        <w:tc>
          <w:tcPr>
            <w:tcW w:type="dxa" w:w="3773"/>
            <w:vAlign w:val="center"/>
            <w:tcMar>
              <w:top w:w="75" w:type="dxa"/>
              <w:bottom w:w="75" w:type="dxa"/>
              <w:left w:w="85" w:type="dxa"/>
              <w:right w:w="85" w:type="dxa"/>
            </w:tcMar>
          </w:tcPr>
          <w:p>
            <w:pPr>
              <w:spacing w:after="0" w:line="250" w:lineRule="auto"/>
              <w:jc w:val="right"/>
            </w:pPr>
            <w:r>
              <w:rPr>
                <w:b/>
                <w:sz w:val="18"/>
              </w:rPr>
              <w:t>4,752</w:t>
            </w:r>
          </w:p>
        </w:tc>
        <w:tc>
          <w:tcPr>
            <w:tcW w:type="dxa" w:w="3755"/>
            <w:vAlign w:val="center"/>
            <w:tcMar>
              <w:top w:w="75" w:type="dxa"/>
              <w:bottom w:w="75" w:type="dxa"/>
              <w:left w:w="85" w:type="dxa"/>
              <w:right w:w="85" w:type="dxa"/>
            </w:tcMar>
          </w:tcPr>
          <w:p>
            <w:pPr>
              <w:spacing w:after="0" w:line="250" w:lineRule="auto"/>
              <w:jc w:val="right"/>
            </w:pPr>
            <w:r>
              <w:rPr>
                <w:b/>
                <w:sz w:val="18"/>
              </w:rPr>
              <w:t>15,924</w:t>
            </w:r>
          </w:p>
        </w:tc>
      </w:tr>
      <w:tr>
        <w:trPr>
          <w:cantSplit/>
        </w:trPr>
        <w:tc>
          <w:tcPr>
            <w:tcW w:type="dxa" w:w="2419"/>
            <w:vAlign w:val="center"/>
            <w:tcMar>
              <w:top w:w="75" w:type="dxa"/>
              <w:bottom w:w="75" w:type="dxa"/>
              <w:left w:w="85" w:type="dxa"/>
              <w:right w:w="85" w:type="dxa"/>
            </w:tcMar>
            <w:shd w:fill="F8F1E9"/>
          </w:tcPr>
          <w:p>
            <w:pPr>
              <w:spacing w:after="0" w:line="250" w:lineRule="auto"/>
            </w:pPr>
            <w:r>
              <w:rPr>
                <w:sz w:val="18"/>
              </w:rPr>
              <w:t>Illustrative B2C subscriptions active at month 24</w:t>
            </w:r>
          </w:p>
        </w:tc>
        <w:tc>
          <w:tcPr>
            <w:tcW w:type="dxa" w:w="3773"/>
            <w:vAlign w:val="center"/>
            <w:tcMar>
              <w:top w:w="75" w:type="dxa"/>
              <w:bottom w:w="75" w:type="dxa"/>
              <w:left w:w="85" w:type="dxa"/>
              <w:right w:w="85" w:type="dxa"/>
            </w:tcMar>
            <w:shd w:fill="F8F1E9"/>
          </w:tcPr>
          <w:p>
            <w:pPr>
              <w:spacing w:after="0" w:line="250" w:lineRule="auto"/>
            </w:pPr>
            <w:r>
              <w:rPr>
                <w:sz w:val="18"/>
              </w:rPr>
              <w:t>Approximately 3,183</w:t>
            </w:r>
          </w:p>
        </w:tc>
        <w:tc>
          <w:tcPr>
            <w:tcW w:type="dxa" w:w="3755"/>
            <w:vAlign w:val="center"/>
            <w:tcMar>
              <w:top w:w="75" w:type="dxa"/>
              <w:bottom w:w="75" w:type="dxa"/>
              <w:left w:w="85" w:type="dxa"/>
              <w:right w:w="85" w:type="dxa"/>
            </w:tcMar>
            <w:shd w:fill="F8F1E9"/>
          </w:tcPr>
          <w:p>
            <w:pPr>
              <w:spacing w:after="0" w:line="250" w:lineRule="auto"/>
            </w:pPr>
            <w:r>
              <w:rPr>
                <w:sz w:val="18"/>
              </w:rPr>
              <w:t>Approximately 10,665</w:t>
            </w:r>
          </w:p>
        </w:tc>
      </w:tr>
      <w:tr>
        <w:trPr>
          <w:cantSplit/>
        </w:trPr>
        <w:tc>
          <w:tcPr>
            <w:tcW w:type="dxa" w:w="2419"/>
            <w:vAlign w:val="center"/>
            <w:tcMar>
              <w:top w:w="75" w:type="dxa"/>
              <w:bottom w:w="75" w:type="dxa"/>
              <w:left w:w="85" w:type="dxa"/>
              <w:right w:w="85" w:type="dxa"/>
            </w:tcMar>
          </w:tcPr>
          <w:p>
            <w:pPr>
              <w:spacing w:after="0" w:line="250" w:lineRule="auto"/>
            </w:pPr>
            <w:r>
              <w:rPr>
                <w:sz w:val="18"/>
              </w:rPr>
              <w:t>Active B2B contracts at month 24</w:t>
            </w:r>
          </w:p>
        </w:tc>
        <w:tc>
          <w:tcPr>
            <w:tcW w:type="dxa" w:w="3773"/>
            <w:vAlign w:val="center"/>
            <w:tcMar>
              <w:top w:w="75" w:type="dxa"/>
              <w:bottom w:w="75" w:type="dxa"/>
              <w:left w:w="85" w:type="dxa"/>
              <w:right w:w="85" w:type="dxa"/>
            </w:tcMar>
          </w:tcPr>
          <w:p>
            <w:pPr>
              <w:spacing w:after="0" w:line="250" w:lineRule="auto"/>
              <w:jc w:val="right"/>
            </w:pPr>
            <w:r>
              <w:rPr>
                <w:sz w:val="18"/>
              </w:rPr>
              <w:t>10</w:t>
            </w:r>
          </w:p>
        </w:tc>
        <w:tc>
          <w:tcPr>
            <w:tcW w:type="dxa" w:w="3755"/>
            <w:vAlign w:val="center"/>
            <w:tcMar>
              <w:top w:w="75" w:type="dxa"/>
              <w:bottom w:w="75" w:type="dxa"/>
              <w:left w:w="85" w:type="dxa"/>
              <w:right w:w="85" w:type="dxa"/>
            </w:tcMar>
          </w:tcPr>
          <w:p>
            <w:pPr>
              <w:spacing w:after="0" w:line="250" w:lineRule="auto"/>
              <w:jc w:val="right"/>
            </w:pPr>
            <w:r>
              <w:rPr>
                <w:sz w:val="18"/>
              </w:rPr>
              <w:t>30</w:t>
            </w:r>
          </w:p>
        </w:tc>
      </w:tr>
      <w:tr>
        <w:trPr>
          <w:cantSplit/>
        </w:trPr>
        <w:tc>
          <w:tcPr>
            <w:tcW w:type="dxa" w:w="2419"/>
            <w:vAlign w:val="center"/>
            <w:tcMar>
              <w:top w:w="75" w:type="dxa"/>
              <w:bottom w:w="75" w:type="dxa"/>
              <w:left w:w="85" w:type="dxa"/>
              <w:right w:w="85" w:type="dxa"/>
            </w:tcMar>
            <w:shd w:fill="F8F1E9"/>
          </w:tcPr>
          <w:p>
            <w:pPr>
              <w:spacing w:after="0" w:line="250" w:lineRule="auto"/>
            </w:pPr>
            <w:r>
              <w:rPr>
                <w:sz w:val="18"/>
              </w:rPr>
              <w:t>Contracted B2B seats at 200 / 250 per contract</w:t>
            </w:r>
          </w:p>
        </w:tc>
        <w:tc>
          <w:tcPr>
            <w:tcW w:type="dxa" w:w="3773"/>
            <w:vAlign w:val="center"/>
            <w:tcMar>
              <w:top w:w="75" w:type="dxa"/>
              <w:bottom w:w="75" w:type="dxa"/>
              <w:left w:w="85" w:type="dxa"/>
              <w:right w:w="85" w:type="dxa"/>
            </w:tcMar>
            <w:shd w:fill="F8F1E9"/>
          </w:tcPr>
          <w:p>
            <w:pPr>
              <w:spacing w:after="0" w:line="250" w:lineRule="auto"/>
              <w:jc w:val="right"/>
            </w:pPr>
            <w:r>
              <w:rPr>
                <w:sz w:val="18"/>
              </w:rPr>
              <w:t>2,000</w:t>
            </w:r>
          </w:p>
        </w:tc>
        <w:tc>
          <w:tcPr>
            <w:tcW w:type="dxa" w:w="3755"/>
            <w:vAlign w:val="center"/>
            <w:tcMar>
              <w:top w:w="75" w:type="dxa"/>
              <w:bottom w:w="75" w:type="dxa"/>
              <w:left w:w="85" w:type="dxa"/>
              <w:right w:w="85" w:type="dxa"/>
            </w:tcMar>
            <w:shd w:fill="F8F1E9"/>
          </w:tcPr>
          <w:p>
            <w:pPr>
              <w:spacing w:after="0" w:line="250" w:lineRule="auto"/>
              <w:jc w:val="right"/>
            </w:pPr>
            <w:r>
              <w:rPr>
                <w:sz w:val="18"/>
              </w:rPr>
              <w:t>7,500</w:t>
            </w:r>
          </w:p>
        </w:tc>
      </w:tr>
      <w:tr>
        <w:trPr>
          <w:cantSplit/>
        </w:trPr>
        <w:tc>
          <w:tcPr>
            <w:tcW w:type="dxa" w:w="2419"/>
            <w:vAlign w:val="center"/>
            <w:tcMar>
              <w:top w:w="75" w:type="dxa"/>
              <w:bottom w:w="75" w:type="dxa"/>
              <w:left w:w="85" w:type="dxa"/>
              <w:right w:w="85" w:type="dxa"/>
            </w:tcMar>
          </w:tcPr>
          <w:p>
            <w:pPr>
              <w:spacing w:after="0" w:line="250" w:lineRule="auto"/>
            </w:pPr>
            <w:r>
              <w:rPr>
                <w:sz w:val="18"/>
              </w:rPr>
              <w:t>Active B2B users at assumed 60% activation</w:t>
            </w:r>
          </w:p>
        </w:tc>
        <w:tc>
          <w:tcPr>
            <w:tcW w:type="dxa" w:w="3773"/>
            <w:vAlign w:val="center"/>
            <w:tcMar>
              <w:top w:w="75" w:type="dxa"/>
              <w:bottom w:w="75" w:type="dxa"/>
              <w:left w:w="85" w:type="dxa"/>
              <w:right w:w="85" w:type="dxa"/>
            </w:tcMar>
          </w:tcPr>
          <w:p>
            <w:pPr>
              <w:spacing w:after="0" w:line="250" w:lineRule="auto"/>
              <w:jc w:val="right"/>
            </w:pPr>
            <w:r>
              <w:rPr>
                <w:sz w:val="18"/>
              </w:rPr>
              <w:t>1,200</w:t>
            </w:r>
          </w:p>
        </w:tc>
        <w:tc>
          <w:tcPr>
            <w:tcW w:type="dxa" w:w="3755"/>
            <w:vAlign w:val="center"/>
            <w:tcMar>
              <w:top w:w="75" w:type="dxa"/>
              <w:bottom w:w="75" w:type="dxa"/>
              <w:left w:w="85" w:type="dxa"/>
              <w:right w:w="85" w:type="dxa"/>
            </w:tcMar>
          </w:tcPr>
          <w:p>
            <w:pPr>
              <w:spacing w:after="0" w:line="250" w:lineRule="auto"/>
              <w:jc w:val="right"/>
            </w:pPr>
            <w:r>
              <w:rPr>
                <w:sz w:val="18"/>
              </w:rPr>
              <w:t>4,500</w:t>
            </w:r>
          </w:p>
        </w:tc>
      </w:tr>
    </w:tbl>
    <w:p>
      <w:pPr>
        <w:spacing w:after="20" w:before="0" w:line="72" w:lineRule="auto"/>
      </w:pPr>
      <w:r>
        <w:rPr>
          <w:sz w:val="4"/>
        </w:rPr>
      </w:r>
    </w:p>
    <w:p>
      <w:r>
        <w:rPr/>
        <w:t>Professional-route arithmetic is 40 or 120 locations × 30 eligible invitations per active month × nine average active months × 40% registration × 60% activation × 25% paid conversion. Productive locations must be earned through an actual sales pipeline; candidates and signed-but-inactive locations are excluded.</w:t>
      </w:r>
    </w:p>
    <w:p>
      <w:r>
        <w:rPr/>
        <w:t>For the simplified retention illustration, gross B2C additions arrive evenly over months 7–24, with 5% monthly churn and no opening paid subscribers. Annual subscriptions, delayed conversion, reactivation and country differences are not modelled. These must be added before adoption of an operating forecast. B2B contract counts are active endpoint assumptions, not fractional monthly sales. Person-level B2C/B2B overlap must be reconciled; do not sum every row into “users.”</w:t>
      </w:r>
    </w:p>
    <w:p>
      <w:r>
        <w:rPr/>
        <w:t>At an illustrative blended €6 B2C monthly revenue excluding consumption taxes and a €3.50 contracted B2B seat charge, the two month-24 recurring revenue run rates are about €26.1K and €90.2K per month—approximately €313K and €1.083M annualised. These are endpoint recurring run rates, not annual earned revenue. Sponsorships, grants and events are excluded. Prices are modelling assumptions, not a new approved rate card.</w:t>
      </w:r>
    </w:p>
    <w:p>
      <w:r>
        <w:rPr>
          <w:b/>
        </w:rPr>
        <w:t>The critical commercial test:</w:t>
      </w:r>
      <w:r>
        <w:rPr/>
        <w:t xml:space="preserve"> the paid funnel above implies €75.76 media-only acquisition cost per new payer. At €6 monthly revenue, 75% contribution margin and 5% monthly churn, a simplified lifetime contribution is €90. That is only about 1.19× media CAC before acquisition overhead. It does not justify scaled advertising. The example is useful precisely because it exposes the gap rather than hiding it.</w:t>
      </w:r>
    </w:p>
    <w:p>
      <w:r>
        <w:rPr/>
        <w:t>Before releasing the full paid-media budget, the team should demonstrate a credible route toward fully loaded payer CAC of no more than approximately €30 at those revenue/margin/churn assumptions, or improve contribution and retention enough to support a different ceiling. Use observed cohort contribution, not the simple lifetime formula alone. If tests fail, stop or redesign the channel and preserve cash. The base case does not assume that a larger cheque fixes poor acquisition economics.</w:t>
      </w:r>
    </w:p>
    <w:p>
      <w:r>
        <w:rPr/>
        <w:t>Neither worked example demonstrates break-even at the spending level of the larger programme. The business must prove stronger economics, reduce the steady-state cost base or secure further financing before committing beyond funded work. A new round is not silently embedded in these scenarios. The next practical milestone is a retained, paying customer base and renewing organisation accounts—not an unsupported national market-share claim.</w:t>
      </w:r>
    </w:p>
    <w:p>
      <w:bookmarkStart w:id="11" w:name="section_11"/>
      <w:pPr>
        <w:pStyle w:val="Heading1"/>
      </w:pPr>
      <w:r>
        <w:rPr/>
        <w:t>11. Revenue model and unit economics</w:t>
      </w:r>
      <w:bookmarkEnd w:id="11"/>
    </w:p>
    <w:p>
      <w:r>
        <w:t>Define a small number of offers around the woman-centred promise. Test a limited free or trial introduction and paid access to cycle-aware programmes, relevant personalisation and clearly scoped community/expert support. Keep private use available. Define contracted-seat or active-seat pricing for organisations explicitly. Personal consultations, where permitted, require separate pricing and professional boundaries; a low-cost subscription must not imply unlimited expert access or emergency care.</w:t>
      </w:r>
    </w:p>
    <w:p>
      <w:r>
        <w:rPr/>
        <w:t>The source deck contains €4.99 Basic, €12.99 Premium and €3.99 B2B price propositions; other source versions use different prices. They are historical design inputs, not evidence of current realised revenue. One price list—including annual discounts, taxes, payment fees and service scope—must replace the competing versions before external circulation. [S02, S06, S07, S08]</w:t>
      </w:r>
    </w:p>
    <w:p>
      <w:r>
        <w:rPr/>
        <w:t>Recurring subscription revenue, implementation/service fees, workshops, affiliate income and sponsorship must be reported separately. Grants are not customer revenue. An enterprise licence does not create 150 active users on signature, and an upgrade from Basic to Premium does not create a second person.</w:t>
      </w:r>
    </w:p>
    <w:p>
      <w:r>
        <w:t>Track net revenue per subscriber and the costs of free and paying users: cloud/AI and media delivery, payment/store charges, royalties, refunds, support and community moderation. Calculate gross margin, contribution and acquisition payback for consistent populations and time periods. Founder-created content, facilitation and moderation belong in fully loaded economics even when they do not cause immediate cash payments. No unmeasured community retention benefit is added to the model.</w:t>
      </w:r>
    </w:p>
    <w:p>
      <w:r>
        <w:rPr/>
        <w:t>The original financial work is retained in the annexes for traceability, but its forecasts are not adopted as audited outputs. Some versions explicitly depend on further seed and Series A funding. The new planning workbook is a scenario schedule and commercial stress test; it is not a repaired version of the full historical financial model. [S07, S08]</w:t>
      </w:r>
    </w:p>
    <w:p>
      <w:bookmarkStart w:id="12" w:name="section_12"/>
      <w:pPr>
        <w:pStyle w:val="Heading1"/>
      </w:pPr>
      <w:r>
        <w:rPr/>
        <w:t>12. Cloud operating model and international cost</w:t>
      </w:r>
      <w:bookmarkEnd w:id="12"/>
    </w:p>
    <w:p>
      <w:r>
        <w:rPr/>
        <w:t>The business is cloud-delivered, with mobile and web experiences, managed data services and controlled AI processing. The source architecture uses React Native and Supabase, with a policy-aware health-data gateway and optional AI features. Device permissions, local health stores and some user interactions remain on the device; “cloud business” does not mean every function runs remotely. [S01]</w:t>
      </w:r>
    </w:p>
    <w:p>
      <w:r>
        <w:t>Cloud delivery avoids owned data centres, device manufacturing and country-specific physical estates. Reusable software and content enable expansion without rebuilding the business. However, storage, inference, streaming, observability, incident response, local-language community moderation, customer support and compliance remain real costs. A community-led service needs accountable people as well as a cloud platform.</w:t>
      </w:r>
    </w:p>
    <w:p>
      <w:r>
        <w:rPr/>
        <w:t>Cloud compliance is a shared responsibility. Supabase's documentation explicitly leaves application architecture, access management, data and security configuration with the customer. A supplier's certification does not certify NutriSync. OpenAI states that API data is not used for model training by default, but retention, feature state, regional processing and contractual controls must be checked for the actual service used. [W08, W09]</w:t>
      </w:r>
    </w:p>
    <w:p>
      <w:r>
        <w:rPr/>
        <w:t>The operating design should include least-privilege access, tested user-data separation, secret management, controlled administrative access, private image storage, media lifecycle rules, monitoring, backup restoration tests, deletion workflows and incident ownership. Meter AI and media use by feature and cohort. Set spend alerts and application-level limits rather than assuming a billing notification caps usage.</w:t>
      </w:r>
    </w:p>
    <w:p>
      <w:r>
        <w:rPr/>
        <w:t>Retain an EU-first storage design for Spain while assessing every processing and support route. Remote access and onward processing can matter even when the primary database is in Europe. Regional environments may be justified later, but do not deploy multiple countries' infrastructure merely to create a global appearance. Data residency, permitted transfer and actual processing location are different questions. [S09, W10, W11]</w:t>
      </w:r>
    </w:p>
    <w:p>
      <w:bookmarkStart w:id="13" w:name="section_13"/>
      <w:pPr>
        <w:pStyle w:val="Heading1"/>
      </w:pPr>
      <w:r>
        <w:rPr/>
        <w:t>13. International expansion: markets to explore, not promises</w:t>
      </w:r>
      <w:bookmarkEnd w:id="13"/>
    </w:p>
    <w:p>
      <w:r>
        <w:rPr/>
        <w:t xml:space="preserve">Spain remains the first execution market. International opportunity is </w:t>
      </w:r>
      <w:r>
        <w:rPr>
          <w:b/>
        </w:rPr>
        <w:t>not limited to Europe</w:t>
      </w:r>
      <w:r>
        <w:rPr/>
        <w:t>. Australia and Singapore belong on the exploration shortlist alongside selected European/UK and Spanish-speaking Latin American candidates. Their relative order should be decided by evidence and founder access, not geography alone.</w:t>
      </w:r>
    </w:p>
    <w:tbl>
      <w:tblPr>
        <w:tblW w:type="auto" w:w="0"/>
        <w:jc w:val="center"/>
        <w:tblLayout w:type="fixed"/>
        <w:tblLook w:firstColumn="1" w:firstRow="1" w:lastColumn="0" w:lastRow="0" w:noHBand="0" w:noVBand="1" w:val="04A0"/>
      </w:tblPr>
      <w:tblGrid>
        <w:gridCol w:w="1656"/>
        <w:gridCol w:w="2693"/>
        <w:gridCol w:w="2794"/>
        <w:gridCol w:w="2805"/>
      </w:tblGrid>
      <w:tr>
        <w:trPr>
          <w:cantSplit/>
          <w:tblHeader/>
        </w:trPr>
        <w:tc>
          <w:tcPr>
            <w:tcW w:type="dxa" w:w="1656"/>
            <w:vAlign w:val="center"/>
            <w:tcMar>
              <w:top w:w="75" w:type="dxa"/>
              <w:bottom w:w="75" w:type="dxa"/>
              <w:left w:w="85" w:type="dxa"/>
              <w:right w:w="85" w:type="dxa"/>
            </w:tcMar>
            <w:shd w:fill="282220"/>
          </w:tcPr>
          <w:p>
            <w:pPr>
              <w:spacing w:after="0" w:line="250" w:lineRule="auto"/>
            </w:pPr>
            <w:r>
              <w:rPr>
                <w:b/>
                <w:color w:val="FFFFFF"/>
                <w:sz w:val="18"/>
              </w:rPr>
              <w:t>Candidate</w:t>
            </w:r>
          </w:p>
        </w:tc>
        <w:tc>
          <w:tcPr>
            <w:tcW w:type="dxa" w:w="2693"/>
            <w:vAlign w:val="center"/>
            <w:tcMar>
              <w:top w:w="75" w:type="dxa"/>
              <w:bottom w:w="75" w:type="dxa"/>
              <w:left w:w="85" w:type="dxa"/>
              <w:right w:w="85" w:type="dxa"/>
            </w:tcMar>
            <w:shd w:fill="282220"/>
          </w:tcPr>
          <w:p>
            <w:pPr>
              <w:spacing w:after="0" w:line="250" w:lineRule="auto"/>
            </w:pPr>
            <w:r>
              <w:rPr>
                <w:b/>
                <w:color w:val="FFFFFF"/>
                <w:sz w:val="18"/>
              </w:rPr>
              <w:t>Hypothesis to test</w:t>
            </w:r>
          </w:p>
        </w:tc>
        <w:tc>
          <w:tcPr>
            <w:tcW w:type="dxa" w:w="2794"/>
            <w:vAlign w:val="center"/>
            <w:tcMar>
              <w:top w:w="75" w:type="dxa"/>
              <w:bottom w:w="75" w:type="dxa"/>
              <w:left w:w="85" w:type="dxa"/>
              <w:right w:w="85" w:type="dxa"/>
            </w:tcMar>
            <w:shd w:fill="282220"/>
          </w:tcPr>
          <w:p>
            <w:pPr>
              <w:spacing w:after="0" w:line="250" w:lineRule="auto"/>
            </w:pPr>
            <w:r>
              <w:rPr>
                <w:b/>
                <w:color w:val="FFFFFF"/>
                <w:sz w:val="18"/>
              </w:rPr>
              <w:t>Initial route</w:t>
            </w:r>
          </w:p>
        </w:tc>
        <w:tc>
          <w:tcPr>
            <w:tcW w:type="dxa" w:w="2805"/>
            <w:vAlign w:val="center"/>
            <w:tcMar>
              <w:top w:w="75" w:type="dxa"/>
              <w:bottom w:w="75" w:type="dxa"/>
              <w:left w:w="85" w:type="dxa"/>
              <w:right w:w="85" w:type="dxa"/>
            </w:tcMar>
            <w:shd w:fill="282220"/>
          </w:tcPr>
          <w:p>
            <w:pPr>
              <w:spacing w:after="0" w:line="250" w:lineRule="auto"/>
            </w:pPr>
            <w:r>
              <w:rPr>
                <w:b/>
                <w:color w:val="FFFFFF"/>
                <w:sz w:val="18"/>
              </w:rPr>
              <w:t>Readiness questions</w:t>
            </w:r>
          </w:p>
        </w:tc>
      </w:tr>
      <w:tr>
        <w:trPr>
          <w:cantSplit/>
        </w:trPr>
        <w:tc>
          <w:tcPr>
            <w:tcW w:type="dxa" w:w="1656"/>
            <w:vAlign w:val="center"/>
            <w:tcMar>
              <w:top w:w="75" w:type="dxa"/>
              <w:bottom w:w="75" w:type="dxa"/>
              <w:left w:w="85" w:type="dxa"/>
              <w:right w:w="85" w:type="dxa"/>
            </w:tcMar>
            <w:shd w:fill="F8F1E9"/>
          </w:tcPr>
          <w:p>
            <w:pPr>
              <w:spacing w:after="0" w:line="250" w:lineRule="auto"/>
            </w:pPr>
            <w:r>
              <w:rPr>
                <w:sz w:val="18"/>
              </w:rPr>
              <w:t>Selected EU markets</w:t>
            </w:r>
          </w:p>
        </w:tc>
        <w:tc>
          <w:tcPr>
            <w:tcW w:type="dxa" w:w="2693"/>
            <w:vAlign w:val="center"/>
            <w:tcMar>
              <w:top w:w="75" w:type="dxa"/>
              <w:bottom w:w="75" w:type="dxa"/>
              <w:left w:w="85" w:type="dxa"/>
              <w:right w:w="85" w:type="dxa"/>
            </w:tcMar>
            <w:shd w:fill="F8F1E9"/>
          </w:tcPr>
          <w:p>
            <w:pPr>
              <w:spacing w:after="0" w:line="250" w:lineRule="auto"/>
            </w:pPr>
            <w:r>
              <w:rPr>
                <w:sz w:val="18"/>
              </w:rPr>
              <w:t>Reuse of the Spain product with local adaptation.</w:t>
            </w:r>
          </w:p>
        </w:tc>
        <w:tc>
          <w:tcPr>
            <w:tcW w:type="dxa" w:w="2794"/>
            <w:vAlign w:val="center"/>
            <w:tcMar>
              <w:top w:w="75" w:type="dxa"/>
              <w:bottom w:w="75" w:type="dxa"/>
              <w:left w:w="85" w:type="dxa"/>
              <w:right w:w="85" w:type="dxa"/>
            </w:tcMar>
            <w:shd w:fill="F8F1E9"/>
          </w:tcPr>
          <w:p>
            <w:pPr>
              <w:spacing w:after="0" w:line="250" w:lineRule="auto"/>
            </w:pPr>
            <w:r>
              <w:rPr>
                <w:sz w:val="18"/>
              </w:rPr>
              <w:t>A small partner or community pilot.</w:t>
            </w:r>
          </w:p>
        </w:tc>
        <w:tc>
          <w:tcPr>
            <w:tcW w:type="dxa" w:w="2805"/>
            <w:vAlign w:val="center"/>
            <w:tcMar>
              <w:top w:w="75" w:type="dxa"/>
              <w:bottom w:w="75" w:type="dxa"/>
              <w:left w:w="85" w:type="dxa"/>
              <w:right w:w="85" w:type="dxa"/>
            </w:tcMar>
            <w:shd w:fill="F8F1E9"/>
          </w:tcPr>
          <w:p>
            <w:pPr>
              <w:spacing w:after="0" w:line="250" w:lineRule="auto"/>
            </w:pPr>
            <w:r>
              <w:rPr>
                <w:sz w:val="18"/>
              </w:rPr>
              <w:t>Language, consumer rules, professional services, local claims and operational support.</w:t>
            </w:r>
          </w:p>
        </w:tc>
      </w:tr>
      <w:tr>
        <w:trPr>
          <w:cantSplit/>
        </w:trPr>
        <w:tc>
          <w:tcPr>
            <w:tcW w:type="dxa" w:w="1656"/>
            <w:vAlign w:val="center"/>
            <w:tcMar>
              <w:top w:w="75" w:type="dxa"/>
              <w:bottom w:w="75" w:type="dxa"/>
              <w:left w:w="85" w:type="dxa"/>
              <w:right w:w="85" w:type="dxa"/>
            </w:tcMar>
          </w:tcPr>
          <w:p>
            <w:pPr>
              <w:spacing w:after="0" w:line="250" w:lineRule="auto"/>
            </w:pPr>
            <w:r>
              <w:rPr>
                <w:sz w:val="18"/>
              </w:rPr>
              <w:t>United Kingdom</w:t>
            </w:r>
          </w:p>
        </w:tc>
        <w:tc>
          <w:tcPr>
            <w:tcW w:type="dxa" w:w="2693"/>
            <w:vAlign w:val="center"/>
            <w:tcMar>
              <w:top w:w="75" w:type="dxa"/>
              <w:bottom w:w="75" w:type="dxa"/>
              <w:left w:w="85" w:type="dxa"/>
              <w:right w:w="85" w:type="dxa"/>
            </w:tcMar>
          </w:tcPr>
          <w:p>
            <w:pPr>
              <w:spacing w:after="0" w:line="250" w:lineRule="auto"/>
            </w:pPr>
            <w:r>
              <w:rPr>
                <w:sz w:val="18"/>
              </w:rPr>
              <w:t>English-language content and potential employer/professional distribution.</w:t>
            </w:r>
          </w:p>
        </w:tc>
        <w:tc>
          <w:tcPr>
            <w:tcW w:type="dxa" w:w="2794"/>
            <w:vAlign w:val="center"/>
            <w:tcMar>
              <w:top w:w="75" w:type="dxa"/>
              <w:bottom w:w="75" w:type="dxa"/>
              <w:left w:w="85" w:type="dxa"/>
              <w:right w:w="85" w:type="dxa"/>
            </w:tcMar>
          </w:tcPr>
          <w:p>
            <w:pPr>
              <w:spacing w:after="0" w:line="250" w:lineRule="auto"/>
            </w:pPr>
            <w:r>
              <w:rPr>
                <w:sz w:val="18"/>
              </w:rPr>
              <w:t>Discovery and a bounded pilot.</w:t>
            </w:r>
          </w:p>
        </w:tc>
        <w:tc>
          <w:tcPr>
            <w:tcW w:type="dxa" w:w="2805"/>
            <w:vAlign w:val="center"/>
            <w:tcMar>
              <w:top w:w="75" w:type="dxa"/>
              <w:bottom w:w="75" w:type="dxa"/>
              <w:left w:w="85" w:type="dxa"/>
              <w:right w:w="85" w:type="dxa"/>
            </w:tcMar>
          </w:tcPr>
          <w:p>
            <w:pPr>
              <w:spacing w:after="0" w:line="250" w:lineRule="auto"/>
            </w:pPr>
            <w:r>
              <w:rPr>
                <w:sz w:val="18"/>
              </w:rPr>
              <w:t>UK privacy, health-product rules, contracts, tax and local service scope.</w:t>
            </w:r>
          </w:p>
        </w:tc>
      </w:tr>
      <w:tr>
        <w:trPr>
          <w:cantSplit/>
        </w:trPr>
        <w:tc>
          <w:tcPr>
            <w:tcW w:type="dxa" w:w="1656"/>
            <w:vAlign w:val="center"/>
            <w:tcMar>
              <w:top w:w="75" w:type="dxa"/>
              <w:bottom w:w="75" w:type="dxa"/>
              <w:left w:w="85" w:type="dxa"/>
              <w:right w:w="85" w:type="dxa"/>
            </w:tcMar>
            <w:shd w:fill="F8F1E9"/>
          </w:tcPr>
          <w:p>
            <w:pPr>
              <w:spacing w:after="0" w:line="250" w:lineRule="auto"/>
            </w:pPr>
            <w:r>
              <w:rPr>
                <w:sz w:val="18"/>
              </w:rPr>
              <w:t>Australia</w:t>
            </w:r>
          </w:p>
        </w:tc>
        <w:tc>
          <w:tcPr>
            <w:tcW w:type="dxa" w:w="2693"/>
            <w:vAlign w:val="center"/>
            <w:tcMar>
              <w:top w:w="75" w:type="dxa"/>
              <w:bottom w:w="75" w:type="dxa"/>
              <w:left w:w="85" w:type="dxa"/>
              <w:right w:w="85" w:type="dxa"/>
            </w:tcMar>
            <w:shd w:fill="F8F1E9"/>
          </w:tcPr>
          <w:p>
            <w:pPr>
              <w:spacing w:after="0" w:line="250" w:lineRule="auto"/>
            </w:pPr>
            <w:r>
              <w:rPr>
                <w:sz w:val="18"/>
              </w:rPr>
              <w:t>English-language nutrition, exercise and wellbeing proposition with organisation/community routes.</w:t>
            </w:r>
          </w:p>
        </w:tc>
        <w:tc>
          <w:tcPr>
            <w:tcW w:type="dxa" w:w="2794"/>
            <w:vAlign w:val="center"/>
            <w:tcMar>
              <w:top w:w="75" w:type="dxa"/>
              <w:bottom w:w="75" w:type="dxa"/>
              <w:left w:w="85" w:type="dxa"/>
              <w:right w:w="85" w:type="dxa"/>
            </w:tcMar>
            <w:shd w:fill="F8F1E9"/>
          </w:tcPr>
          <w:p>
            <w:pPr>
              <w:spacing w:after="0" w:line="250" w:lineRule="auto"/>
            </w:pPr>
            <w:r>
              <w:rPr>
                <w:sz w:val="18"/>
              </w:rPr>
              <w:t>Research with users, gyms, employers and professional contacts.</w:t>
            </w:r>
          </w:p>
        </w:tc>
        <w:tc>
          <w:tcPr>
            <w:tcW w:type="dxa" w:w="2805"/>
            <w:vAlign w:val="center"/>
            <w:tcMar>
              <w:top w:w="75" w:type="dxa"/>
              <w:bottom w:w="75" w:type="dxa"/>
              <w:left w:w="85" w:type="dxa"/>
              <w:right w:w="85" w:type="dxa"/>
            </w:tcMar>
            <w:shd w:fill="F8F1E9"/>
          </w:tcPr>
          <w:p>
            <w:pPr>
              <w:spacing w:after="0" w:line="250" w:lineRule="auto"/>
            </w:pPr>
            <w:r>
              <w:rPr>
                <w:sz w:val="18"/>
              </w:rPr>
              <w:t>TGA intended purpose, privacy, local/state requirements, support hours, tax, insurance and data flows.</w:t>
            </w:r>
          </w:p>
        </w:tc>
      </w:tr>
      <w:tr>
        <w:trPr>
          <w:cantSplit/>
        </w:trPr>
        <w:tc>
          <w:tcPr>
            <w:tcW w:type="dxa" w:w="1656"/>
            <w:vAlign w:val="center"/>
            <w:tcMar>
              <w:top w:w="75" w:type="dxa"/>
              <w:bottom w:w="75" w:type="dxa"/>
              <w:left w:w="85" w:type="dxa"/>
              <w:right w:w="85" w:type="dxa"/>
            </w:tcMar>
          </w:tcPr>
          <w:p>
            <w:pPr>
              <w:spacing w:after="0" w:line="250" w:lineRule="auto"/>
            </w:pPr>
            <w:r>
              <w:rPr>
                <w:sz w:val="18"/>
              </w:rPr>
              <w:t>Singapore</w:t>
            </w:r>
          </w:p>
        </w:tc>
        <w:tc>
          <w:tcPr>
            <w:tcW w:type="dxa" w:w="2693"/>
            <w:vAlign w:val="center"/>
            <w:tcMar>
              <w:top w:w="75" w:type="dxa"/>
              <w:bottom w:w="75" w:type="dxa"/>
              <w:left w:w="85" w:type="dxa"/>
              <w:right w:w="85" w:type="dxa"/>
            </w:tcMar>
          </w:tcPr>
          <w:p>
            <w:pPr>
              <w:spacing w:after="0" w:line="250" w:lineRule="auto"/>
            </w:pPr>
            <w:r>
              <w:rPr>
                <w:sz w:val="18"/>
              </w:rPr>
              <w:t>Selective entry through existing digital-sector contacts and possible institutional/enterprise programmes.</w:t>
            </w:r>
          </w:p>
        </w:tc>
        <w:tc>
          <w:tcPr>
            <w:tcW w:type="dxa" w:w="2794"/>
            <w:vAlign w:val="center"/>
            <w:tcMar>
              <w:top w:w="75" w:type="dxa"/>
              <w:bottom w:w="75" w:type="dxa"/>
              <w:left w:w="85" w:type="dxa"/>
              <w:right w:w="85" w:type="dxa"/>
            </w:tcMar>
          </w:tcPr>
          <w:p>
            <w:pPr>
              <w:spacing w:after="0" w:line="250" w:lineRule="auto"/>
            </w:pPr>
            <w:r>
              <w:rPr>
                <w:sz w:val="18"/>
              </w:rPr>
              <w:t>Founder-led introductions and an eligibility/readiness assessment.</w:t>
            </w:r>
          </w:p>
        </w:tc>
        <w:tc>
          <w:tcPr>
            <w:tcW w:type="dxa" w:w="2805"/>
            <w:vAlign w:val="center"/>
            <w:tcMar>
              <w:top w:w="75" w:type="dxa"/>
              <w:bottom w:w="75" w:type="dxa"/>
              <w:left w:w="85" w:type="dxa"/>
              <w:right w:w="85" w:type="dxa"/>
            </w:tcMar>
          </w:tcPr>
          <w:p>
            <w:pPr>
              <w:spacing w:after="0" w:line="250" w:lineRule="auto"/>
            </w:pPr>
            <w:r>
              <w:rPr>
                <w:sz w:val="18"/>
              </w:rPr>
              <w:t>PDPA, HSA/MOH scope, operating entity, ultimate ownership, local activity, contracting and grant terms.</w:t>
            </w:r>
          </w:p>
        </w:tc>
      </w:tr>
      <w:tr>
        <w:trPr>
          <w:cantSplit/>
        </w:trPr>
        <w:tc>
          <w:tcPr>
            <w:tcW w:type="dxa" w:w="1656"/>
            <w:vAlign w:val="center"/>
            <w:tcMar>
              <w:top w:w="75" w:type="dxa"/>
              <w:bottom w:w="75" w:type="dxa"/>
              <w:left w:w="85" w:type="dxa"/>
              <w:right w:w="85" w:type="dxa"/>
            </w:tcMar>
            <w:shd w:fill="F8F1E9"/>
          </w:tcPr>
          <w:p>
            <w:pPr>
              <w:spacing w:after="0" w:line="250" w:lineRule="auto"/>
            </w:pPr>
            <w:r>
              <w:rPr>
                <w:sz w:val="18"/>
              </w:rPr>
              <w:t>Selected LATAM countries</w:t>
            </w:r>
          </w:p>
        </w:tc>
        <w:tc>
          <w:tcPr>
            <w:tcW w:type="dxa" w:w="2693"/>
            <w:vAlign w:val="center"/>
            <w:tcMar>
              <w:top w:w="75" w:type="dxa"/>
              <w:bottom w:w="75" w:type="dxa"/>
              <w:left w:w="85" w:type="dxa"/>
              <w:right w:w="85" w:type="dxa"/>
            </w:tcMar>
            <w:shd w:fill="F8F1E9"/>
          </w:tcPr>
          <w:p>
            <w:pPr>
              <w:spacing w:after="0" w:line="250" w:lineRule="auto"/>
            </w:pPr>
            <w:r>
              <w:rPr>
                <w:sz w:val="18"/>
              </w:rPr>
              <w:t>Spanish-language reuse with significant local food and payment adaptation.</w:t>
            </w:r>
          </w:p>
        </w:tc>
        <w:tc>
          <w:tcPr>
            <w:tcW w:type="dxa" w:w="2794"/>
            <w:vAlign w:val="center"/>
            <w:tcMar>
              <w:top w:w="75" w:type="dxa"/>
              <w:bottom w:w="75" w:type="dxa"/>
              <w:left w:w="85" w:type="dxa"/>
              <w:right w:w="85" w:type="dxa"/>
            </w:tcMar>
            <w:shd w:fill="F8F1E9"/>
          </w:tcPr>
          <w:p>
            <w:pPr>
              <w:spacing w:after="0" w:line="250" w:lineRule="auto"/>
            </w:pPr>
            <w:r>
              <w:rPr>
                <w:sz w:val="18"/>
              </w:rPr>
              <w:t>Country-specific discovery rather than a regional launch claim.</w:t>
            </w:r>
          </w:p>
        </w:tc>
        <w:tc>
          <w:tcPr>
            <w:tcW w:type="dxa" w:w="2805"/>
            <w:vAlign w:val="center"/>
            <w:tcMar>
              <w:top w:w="75" w:type="dxa"/>
              <w:bottom w:w="75" w:type="dxa"/>
              <w:left w:w="85" w:type="dxa"/>
              <w:right w:w="85" w:type="dxa"/>
            </w:tcMar>
            <w:shd w:fill="F8F1E9"/>
          </w:tcPr>
          <w:p>
            <w:pPr>
              <w:spacing w:after="0" w:line="250" w:lineRule="auto"/>
            </w:pPr>
            <w:r>
              <w:rPr>
                <w:sz w:val="18"/>
              </w:rPr>
              <w:t>Country law, affordability, payments, local foods, professional licensing and support.</w:t>
            </w:r>
          </w:p>
        </w:tc>
      </w:tr>
    </w:tbl>
    <w:p>
      <w:pPr>
        <w:spacing w:after="20" w:before="0" w:line="72" w:lineRule="auto"/>
      </w:pPr>
      <w:r>
        <w:rPr>
          <w:sz w:val="4"/>
        </w:rPr>
      </w:r>
    </w:p>
    <w:p>
      <w:r>
        <w:rPr>
          <w:b/>
        </w:rPr>
        <w:t>Australia:</w:t>
      </w:r>
      <w:r>
        <w:rPr/>
        <w:t xml:space="preserve"> examine the actual software functions and intended use before claiming a general-wellness exclusion. TGA guidance distinguishes consumer wellbeing/coaching from clinical and treatment-related uses; a broader healthcare distribution strategy must not be allowed to change intended purpose accidentally. Privacy obligations also need local review. R&amp;D tax support can be explored where the company and activities qualify; it is not a general grant for entering the Australian market. [W05, W06, W07]</w:t>
      </w:r>
    </w:p>
    <w:p>
      <w:r>
        <w:rPr>
          <w:b/>
        </w:rPr>
        <w:t>Singapore:</w:t>
      </w:r>
      <w:r>
        <w:rPr/>
        <w:t xml:space="preserve"> the founders report that Lucía holds Singapore permanent residency and already knows digital-sector firms there. These are founder-reported assets for discovery and introductions—not verified contracts, government endorsement or assured funding. The next step is a named relationship map and a small programme of conversations with prospective collaborators, buyers and accredited support organisations.</w:t>
      </w:r>
    </w:p>
    <w:p>
      <w:r>
        <w:rPr/>
        <w:t>Lucía's PR status may matter because some Enterprise Singapore schemes recognise qualifying Singapore citizen/PR ownership. For EDG, the published criteria include a Singapore-registered and operating entity, at least 30% qualifying ultimate individual ownership and financial readiness for the project. Her residency alone does not establish that the company qualifies. [W01]</w:t>
      </w:r>
    </w:p>
    <w:p>
      <w:r>
        <w:rPr/>
        <w:t>Startup SG Founder merits a screening conversation, not an assumed grant. MTI's August 2026 statement specifies two applicants, a first applicant who has not previously registered a private limited entity with ACRA, and an applicant company registered in Singapore for less than six months. Her role in the existing NutriSync business, the other applicant, ownership and the proposed entity must be assessed before claiming eligibility. [W02]</w:t>
      </w:r>
    </w:p>
    <w:p>
      <w:r>
        <w:rPr/>
        <w:t>Startup SG Tech may be relevant only if the project demonstrates eligible proprietary technology. Its official description distinguishes proprietary technology from integration of off-the-shelf components and notes a share-subscription component. An app using external AI services is not automatically an eligible deep-tech project, and not every public support instrument is purely non-dilutive. [W03]</w:t>
      </w:r>
    </w:p>
    <w:p>
      <w:r>
        <w:rPr/>
        <w:t>MRA is a possible later route for an eligible Singapore business expanding overseas, not a grant for a Spanish company simply entering Singapore. Enterprise Singapore's public pages currently describe the transition to EDGE in the second half of 2026 and continued access to the existing schemes until launch; the applicable route must be rechecked at submission. Do not assume ordinary advertising, legal overhead or already-started activity will qualify. [W01, W04]</w:t>
      </w:r>
    </w:p>
    <w:p>
      <w:r>
        <w:rPr/>
        <w:t>Any Singapore structure should have a genuine commercial purpose and appropriate substance. Do not reorganise the cap table, transfer intellectual property or create artificial eligibility merely to chase a speculative grant. Compare the benefit against incorporation, local operations, co-funding, reporting, tax, transfer pricing, shareholder rights and repayment/clawback exposure.</w:t>
      </w:r>
    </w:p>
    <w:p>
      <w:r>
        <w:rPr>
          <w:b/>
        </w:rPr>
        <w:t>Funding policy:</w:t>
      </w:r>
      <w:r>
        <w:rPr/>
        <w:t xml:space="preserve"> government support is upside until formally awarded; even an award is not the same as cash received. Keep grants, co-investment, tax relief, vouchers and loans separate. Model eligible expenditure, matching funds, payment timing and conditions. The bootstrap plan does not depend on them.</w:t>
      </w:r>
    </w:p>
    <w:p>
      <w:bookmarkStart w:id="14" w:name="section_14"/>
      <w:pPr>
        <w:pStyle w:val="Heading1"/>
      </w:pPr>
      <w:r>
        <w:rPr/>
        <w:t>14. Legal and compliance are expansion investments</w:t>
      </w:r>
      <w:bookmarkEnd w:id="14"/>
    </w:p>
    <w:p>
      <w:r>
        <w:rPr/>
        <w:t>A country launch is not a translation task. Each candidate requires a release dossier covering the accountable entity, personal/health-data purposes, local notices and consent, cross-border flows, product claims, applicable professional services, consumer subscriptions, marketing rules, tax, insurance and customer support.</w:t>
      </w:r>
    </w:p>
    <w:p>
      <w:r>
        <w:rPr/>
        <w:t>In the €2M plan, the €160K line proposes €55K for domestic corporate/product legal work, €40K for external privacy/security assurance, €30K for comparative international feasibility and €35K reserved for a selected country's readiness. In the €5M plan, the €350K line proposes €100K, €75K, €65K and €110K respectively. These are allocations, not law-firm quotations or promises that complete medical-device authorisation fits inside them.</w:t>
      </w:r>
    </w:p>
    <w:p>
      <w:r>
        <w:rPr/>
        <w:t>Clinical safety and evaluation remain a separate budget. Technical implementation of security controls remains in engineering/cloud lines. Content translation remains in content. A common work-breakdown structure prevents “international expansion” from concealing duplicated or omitted costs.</w:t>
      </w:r>
    </w:p>
    <w:p>
      <w:r>
        <w:rPr/>
        <w:t>For Spain/EU, document the relevant GDPR bases, health-data protections, DPIA/DPO assessments, vendor contracts and transfer safeguards; assess the actual intended purpose against medical-software guidance and applicable AI requirements. For Singapore, review PDPA accountability, protection and transfers and HSA's medical-purpose test. For Australia, assess TGA classification/exclusions and federal and applicable state privacy obligations. Counsel must assess applicability to the actual business rather than apply every healthcare rule indiscriminately. [W05, W06, W10, W11, W12, W13]</w:t>
      </w:r>
    </w:p>
    <w:p>
      <w:r>
        <w:rPr/>
        <w:t>No country becomes a committed launch solely because a grant or an introduction becomes available. Market attractiveness, compliance readiness and acceptable commercial economics are separate approvals.</w:t>
      </w:r>
    </w:p>
    <w:p>
      <w:bookmarkStart w:id="15" w:name="section_15"/>
      <w:pPr>
        <w:pStyle w:val="Heading1"/>
      </w:pPr>
      <w:r>
        <w:rPr/>
        <w:t>15. Pregnancy and postpartum: a governed extension</w:t>
      </w:r>
      <w:bookmarkEnd w:id="15"/>
    </w:p>
    <w:p>
      <w:r>
        <w:t>Pregnancy and postpartum extend the commitment to the woman as her needs change; they are not extra settings on a menstrual-phase engine. A separately reviewed mode can connect practical food choices, approved exercise, recovery, self-reported experience and optional maternal community support. It must respect her care plan. The cycle-led brand must not imply that pregnancy follows a menstrual-cycle template or that peer reassurance replaces professional advice.</w:t>
      </w:r>
    </w:p>
    <w:p>
      <w:r>
        <w:rPr/>
        <w:t>Create separate onboarding and explicit activation; a relevant expert panel; approved food-safety and movement content; pregnancy/postpartum-specific exclusions; meaningful uncertainty language; and supportive transitions when a user pauses or ends the mode. A user should not be classified as pregnant from age, purchase behaviour or a wearable signal.</w:t>
      </w:r>
    </w:p>
    <w:p>
      <w:r>
        <w:rPr/>
        <w:t>The initial scope excludes fetal monitoring, diagnosis, treatment, medication adjustment, automated weight-loss goals and reassurance that an algorithm can confirm maternal or fetal safety. Do not repurpose the Cycle Alignment or Stability Score as a maternal-health measurement. Higher-risk capabilities require separate evidence, intended-purpose assessment and financing.</w:t>
      </w:r>
    </w:p>
    <w:p>
      <w:r>
        <w:rPr/>
        <w:t>Under the smaller scenarios, focus on discovery and safety design. Under €2M, fund specialist co-design and a limited evaluated pilot; under €5M, broaden development and evaluation only after review of the core business and pilot. Pregnancy content remains optional in the product and must not become a new advertising audience based on sensitive data. [S01, S11, W05, W12, W13]</w:t>
      </w:r>
    </w:p>
    <w:p>
      <w:bookmarkStart w:id="16" w:name="section_16"/>
      <w:pPr>
        <w:pStyle w:val="Heading1"/>
      </w:pPr>
      <w:r>
        <w:rPr/>
        <w:t>16. Competition, innovation and a potential blue-ocean position</w:t>
      </w:r>
      <w:bookmarkEnd w:id="16"/>
    </w:p>
    <w:p>
      <w:r>
        <w:rPr/>
        <w:t>The existing competitor work already warns against treating AI, cycle content, exercise videos, wearables, community or privacy claims as unique. Wild.AI, Hormona, 28, Harmony, Flo Living, Flo, Clue and Natural Cycles remain named comparators from that research. Other nutrition, fitness and maternal apps compete for parts of the same user need. The annex preserves the original research; it is not represented as a complete September feature audit. [S04, S05]</w:t>
      </w:r>
    </w:p>
    <w:p>
      <w:r>
        <w:t xml:space="preserve">The ambition is a </w:t>
      </w:r>
      <w:r>
        <w:rPr>
          <w:b/>
        </w:rPr>
        <w:t>woman-centred, cycle-aware and community-led system</w:t>
      </w:r>
      <w:r>
        <w:t xml:space="preserve"> that turns useful guidance into personal choices, reflection and support. The combination—not the presence of a tracker, AI feature or forum—must demonstrate value through usefulness, belonging, safety, retention and learning quality. Community-led design is not a claim that competitors lack communities. Longitudinal associations do not by themselves prove that a recommendation caused an improvement.</w:t>
      </w:r>
    </w:p>
    <w:p>
      <w:r>
        <w:rPr/>
        <w:t>Keeley/Doblin's Ten Types framework helps connect the business system rather than count features. The four core areas carried forward from the innovation deck are process, product performance, product system and customer engagement; profit model, network, structure, service, channel and brand support them. “Ten types” is a design framework, not a certification, a success probability or an investor-return formula. [S03, W14]</w:t>
      </w:r>
    </w:p>
    <w:tbl>
      <w:tblPr>
        <w:tblW w:type="auto" w:w="0"/>
        <w:jc w:val="center"/>
        <w:tblLayout w:type="fixed"/>
        <w:tblLook w:firstColumn="1" w:firstRow="1" w:lastColumn="0" w:lastRow="0" w:noHBand="0" w:noVBand="1" w:val="04A0"/>
      </w:tblPr>
      <w:tblGrid>
        <w:gridCol w:w="3629"/>
        <w:gridCol w:w="6318"/>
      </w:tblGrid>
      <w:tr>
        <w:trPr>
          <w:cantSplit/>
          <w:tblHeader/>
        </w:trPr>
        <w:tc>
          <w:tcPr>
            <w:tcW w:type="dxa" w:w="3629"/>
            <w:vAlign w:val="center"/>
            <w:tcMar>
              <w:top w:w="75" w:type="dxa"/>
              <w:bottom w:w="75" w:type="dxa"/>
              <w:left w:w="85" w:type="dxa"/>
              <w:right w:w="85" w:type="dxa"/>
            </w:tcMar>
            <w:shd w:fill="282220"/>
          </w:tcPr>
          <w:p>
            <w:pPr>
              <w:spacing w:after="0" w:line="250" w:lineRule="auto"/>
            </w:pPr>
            <w:r>
              <w:rPr>
                <w:b/>
                <w:color w:val="FFFFFF"/>
                <w:sz w:val="18"/>
              </w:rPr>
              <w:t>Blue-ocean action</w:t>
            </w:r>
          </w:p>
        </w:tc>
        <w:tc>
          <w:tcPr>
            <w:tcW w:type="dxa" w:w="6318"/>
            <w:vAlign w:val="center"/>
            <w:tcMar>
              <w:top w:w="75" w:type="dxa"/>
              <w:bottom w:w="75" w:type="dxa"/>
              <w:left w:w="85" w:type="dxa"/>
              <w:right w:w="85" w:type="dxa"/>
            </w:tcMar>
            <w:shd w:fill="282220"/>
          </w:tcPr>
          <w:p>
            <w:pPr>
              <w:spacing w:after="0" w:line="250" w:lineRule="auto"/>
            </w:pPr>
            <w:r>
              <w:rPr>
                <w:b/>
                <w:color w:val="FFFFFF"/>
                <w:sz w:val="18"/>
              </w:rPr>
              <w:t>NutriSync design choice</w:t>
            </w:r>
          </w:p>
        </w:tc>
      </w:tr>
      <w:tr>
        <w:trPr>
          <w:cantSplit/>
        </w:trPr>
        <w:tc>
          <w:tcPr>
            <w:tcW w:type="dxa" w:w="3629"/>
            <w:vAlign w:val="center"/>
            <w:tcMar>
              <w:top w:w="75" w:type="dxa"/>
              <w:bottom w:w="75" w:type="dxa"/>
              <w:left w:w="85" w:type="dxa"/>
              <w:right w:w="85" w:type="dxa"/>
            </w:tcMar>
            <w:shd w:fill="F8F1E9"/>
          </w:tcPr>
          <w:p>
            <w:pPr>
              <w:spacing w:after="0" w:line="250" w:lineRule="auto"/>
            </w:pPr>
            <w:r>
              <w:rPr>
                <w:sz w:val="18"/>
              </w:rPr>
              <w:t>Eliminate</w:t>
            </w:r>
          </w:p>
        </w:tc>
        <w:tc>
          <w:tcPr>
            <w:tcW w:type="dxa" w:w="6318"/>
            <w:vAlign w:val="center"/>
            <w:tcMar>
              <w:top w:w="75" w:type="dxa"/>
              <w:bottom w:w="75" w:type="dxa"/>
              <w:left w:w="85" w:type="dxa"/>
              <w:right w:w="85" w:type="dxa"/>
            </w:tcMar>
            <w:shd w:fill="F8F1E9"/>
          </w:tcPr>
          <w:p>
            <w:pPr>
              <w:spacing w:after="0" w:line="250" w:lineRule="auto"/>
            </w:pPr>
            <w:r>
              <w:rPr>
                <w:sz w:val="18"/>
              </w:rPr>
              <w:t>False hormonal certainty, sponsor influence, mandatory devices and the idea that logged data alone meets her needs.</w:t>
            </w:r>
          </w:p>
        </w:tc>
      </w:tr>
      <w:tr>
        <w:trPr>
          <w:cantSplit/>
        </w:trPr>
        <w:tc>
          <w:tcPr>
            <w:tcW w:type="dxa" w:w="3629"/>
            <w:vAlign w:val="center"/>
            <w:tcMar>
              <w:top w:w="75" w:type="dxa"/>
              <w:bottom w:w="75" w:type="dxa"/>
              <w:left w:w="85" w:type="dxa"/>
              <w:right w:w="85" w:type="dxa"/>
            </w:tcMar>
          </w:tcPr>
          <w:p>
            <w:pPr>
              <w:spacing w:after="0" w:line="250" w:lineRule="auto"/>
            </w:pPr>
            <w:r>
              <w:rPr>
                <w:sz w:val="18"/>
              </w:rPr>
              <w:t>Reduce</w:t>
            </w:r>
          </w:p>
        </w:tc>
        <w:tc>
          <w:tcPr>
            <w:tcW w:type="dxa" w:w="6318"/>
            <w:vAlign w:val="center"/>
            <w:tcMar>
              <w:top w:w="75" w:type="dxa"/>
              <w:bottom w:w="75" w:type="dxa"/>
              <w:left w:w="85" w:type="dxa"/>
              <w:right w:w="85" w:type="dxa"/>
            </w:tcMar>
          </w:tcPr>
          <w:p>
            <w:pPr>
              <w:spacing w:after="0" w:line="250" w:lineRule="auto"/>
            </w:pPr>
            <w:r>
              <w:rPr>
                <w:sz w:val="18"/>
              </w:rPr>
              <w:t>Tracking burden, isolated experiences, pressure to disclose or compare, and premature country complexity.</w:t>
            </w:r>
          </w:p>
        </w:tc>
      </w:tr>
      <w:tr>
        <w:trPr>
          <w:cantSplit/>
        </w:trPr>
        <w:tc>
          <w:tcPr>
            <w:tcW w:type="dxa" w:w="3629"/>
            <w:vAlign w:val="center"/>
            <w:tcMar>
              <w:top w:w="75" w:type="dxa"/>
              <w:bottom w:w="75" w:type="dxa"/>
              <w:left w:w="85" w:type="dxa"/>
              <w:right w:w="85" w:type="dxa"/>
            </w:tcMar>
            <w:shd w:fill="F8F1E9"/>
          </w:tcPr>
          <w:p>
            <w:pPr>
              <w:spacing w:after="0" w:line="250" w:lineRule="auto"/>
            </w:pPr>
            <w:r>
              <w:rPr>
                <w:sz w:val="18"/>
              </w:rPr>
              <w:t>Raise</w:t>
            </w:r>
          </w:p>
        </w:tc>
        <w:tc>
          <w:tcPr>
            <w:tcW w:type="dxa" w:w="6318"/>
            <w:vAlign w:val="center"/>
            <w:tcMar>
              <w:top w:w="75" w:type="dxa"/>
              <w:bottom w:w="75" w:type="dxa"/>
              <w:left w:w="85" w:type="dxa"/>
              <w:right w:w="85" w:type="dxa"/>
            </w:tcMar>
            <w:shd w:fill="F8F1E9"/>
          </w:tcPr>
          <w:p>
            <w:pPr>
              <w:spacing w:after="0" w:line="250" w:lineRule="auto"/>
            </w:pPr>
            <w:r>
              <w:rPr>
                <w:sz w:val="18"/>
              </w:rPr>
              <w:t>Understanding of her needs, cycle-aware guidance, belonging, professional review and accessible private use.</w:t>
            </w:r>
          </w:p>
        </w:tc>
      </w:tr>
      <w:tr>
        <w:trPr>
          <w:cantSplit/>
        </w:trPr>
        <w:tc>
          <w:tcPr>
            <w:tcW w:type="dxa" w:w="3629"/>
            <w:vAlign w:val="center"/>
            <w:tcMar>
              <w:top w:w="75" w:type="dxa"/>
              <w:bottom w:w="75" w:type="dxa"/>
              <w:left w:w="85" w:type="dxa"/>
              <w:right w:w="85" w:type="dxa"/>
            </w:tcMar>
          </w:tcPr>
          <w:p>
            <w:pPr>
              <w:spacing w:after="0" w:line="250" w:lineRule="auto"/>
            </w:pPr>
            <w:r>
              <w:rPr>
                <w:sz w:val="18"/>
              </w:rPr>
              <w:t>Create</w:t>
            </w:r>
          </w:p>
        </w:tc>
        <w:tc>
          <w:tcPr>
            <w:tcW w:type="dxa" w:w="6318"/>
            <w:vAlign w:val="center"/>
            <w:tcMar>
              <w:top w:w="75" w:type="dxa"/>
              <w:bottom w:w="75" w:type="dxa"/>
              <w:left w:w="85" w:type="dxa"/>
              <w:right w:w="85" w:type="dxa"/>
            </w:tcMar>
          </w:tcPr>
          <w:p>
            <w:pPr>
              <w:spacing w:after="0" w:line="250" w:lineRule="auto"/>
            </w:pPr>
            <w:r>
              <w:rPr>
                <w:sz w:val="18"/>
              </w:rPr>
              <w:t>A woman-centred, community-led experience connecting her cycle, daily choices and voluntary shared support.</w:t>
            </w:r>
          </w:p>
        </w:tc>
      </w:tr>
    </w:tbl>
    <w:p>
      <w:pPr>
        <w:spacing w:after="20" w:before="0" w:line="72" w:lineRule="auto"/>
      </w:pPr>
      <w:r>
        <w:rPr>
          <w:sz w:val="4"/>
        </w:rPr>
      </w:r>
    </w:p>
    <w:p>
      <w:r>
        <w:t>The eliminate–reduce–raise–create approach defines a hypothesis, not an uncontested market. Potential noncustomers include women who abandoned demanding trackers, want support rather than dashboards, value a community or do not own wearables. Research should test whether being understood, finding actionable guidance and choosing how to participate create enough value to sustain use and payment. [W15]</w:t>
      </w:r>
    </w:p>
    <w:p>
      <w:bookmarkStart w:id="17" w:name="section_17"/>
      <w:pPr>
        <w:pStyle w:val="Heading1"/>
      </w:pPr>
      <w:r>
        <w:rPr/>
        <w:t>17. Trust: measured, estimated, reported and recommended</w:t>
      </w:r>
      <w:bookmarkEnd w:id="17"/>
    </w:p>
    <w:p>
      <w:r>
        <w:rPr/>
        <w:t>The Oura-related screenshot supplied in this conversation is retained as a design-risk input. The proposal does not rely on the screenshot as proof of the status or merits of litigation. Its relevant lesson is that a sensor record, a model estimate and a person's own experience are different things. [S12]</w:t>
      </w:r>
    </w:p>
    <w:p>
      <w:r>
        <w:rPr/>
        <w:t>Every important output should identify its source and nature. Device-derived sleep stages and readiness values can themselves be estimates. User-reported energy should remain her report. A NutriSync inference needs uncertainty and a rationale. A recommendation is a proposed action, not a measurement or evidence that something is medically wrong.</w:t>
      </w:r>
    </w:p>
    <w:p>
      <w:r>
        <w:rPr/>
        <w:t>Do not claim that reduced mood variability proves hormonal balance, that a photograph measures exact calories, or that three cycles reveal a unique hormonal signature. Scores require construct validation and component transparency. Logging frequency must not masquerade as physiological health.</w:t>
      </w:r>
    </w:p>
    <w:p>
      <w:r>
        <w:rPr/>
        <w:t>Source permissions also matter. Oura's agreement distinguishes permitted API and MCP uses and imposes restrictions on AI/model use; the integration must follow the actual agreement rather than assume OAuth consent allows everything. Provider-specific controls, reversibility and attribution remain central to the architecture. [S01, W16]</w:t>
      </w:r>
    </w:p>
    <w:p>
      <w:r>
        <w:rPr/>
        <w:t>The same trust standard applies to commercial partners. The user pays for useful guidance—or an organisation funds access—not for a disguised sales recommendation. Sensitive user records remain outside campaign targeting and sponsor access.</w:t>
      </w:r>
    </w:p>
    <w:p>
      <w:bookmarkStart w:id="18" w:name="section_18"/>
      <w:pPr>
        <w:pStyle w:val="Heading1"/>
      </w:pPr>
      <w:r>
        <w:rPr/>
        <w:t>18. Milestones, capital release and the next 90 days</w:t>
      </w:r>
      <w:bookmarkEnd w:id="18"/>
    </w:p>
    <w:tbl>
      <w:tblPr>
        <w:tblW w:type="auto" w:w="0"/>
        <w:jc w:val="center"/>
        <w:tblLayout w:type="fixed"/>
        <w:tblLook w:firstColumn="1" w:firstRow="1" w:lastColumn="0" w:lastRow="0" w:noHBand="0" w:noVBand="1" w:val="04A0"/>
      </w:tblPr>
      <w:tblGrid>
        <w:gridCol w:w="1656"/>
        <w:gridCol w:w="2693"/>
        <w:gridCol w:w="2794"/>
        <w:gridCol w:w="2805"/>
      </w:tblGrid>
      <w:tr>
        <w:trPr>
          <w:cantSplit/>
          <w:tblHeader/>
        </w:trPr>
        <w:tc>
          <w:tcPr>
            <w:tcW w:type="dxa" w:w="1656"/>
            <w:vAlign w:val="center"/>
            <w:tcMar>
              <w:top w:w="75" w:type="dxa"/>
              <w:bottom w:w="75" w:type="dxa"/>
              <w:left w:w="85" w:type="dxa"/>
              <w:right w:w="85" w:type="dxa"/>
            </w:tcMar>
            <w:shd w:fill="282220"/>
          </w:tcPr>
          <w:p>
            <w:pPr>
              <w:spacing w:after="0" w:line="250" w:lineRule="auto"/>
            </w:pPr>
            <w:r>
              <w:rPr>
                <w:b/>
                <w:color w:val="FFFFFF"/>
                <w:sz w:val="18"/>
              </w:rPr>
              <w:t>Period</w:t>
            </w:r>
          </w:p>
        </w:tc>
        <w:tc>
          <w:tcPr>
            <w:tcW w:type="dxa" w:w="2693"/>
            <w:vAlign w:val="center"/>
            <w:tcMar>
              <w:top w:w="75" w:type="dxa"/>
              <w:bottom w:w="75" w:type="dxa"/>
              <w:left w:w="85" w:type="dxa"/>
              <w:right w:w="85" w:type="dxa"/>
            </w:tcMar>
            <w:shd w:fill="282220"/>
          </w:tcPr>
          <w:p>
            <w:pPr>
              <w:spacing w:after="0" w:line="250" w:lineRule="auto"/>
            </w:pPr>
            <w:r>
              <w:rPr>
                <w:b/>
                <w:color w:val="FFFFFF"/>
                <w:sz w:val="18"/>
              </w:rPr>
              <w:t>Founder-led / bridge</w:t>
            </w:r>
          </w:p>
        </w:tc>
        <w:tc>
          <w:tcPr>
            <w:tcW w:type="dxa" w:w="2794"/>
            <w:vAlign w:val="center"/>
            <w:tcMar>
              <w:top w:w="75" w:type="dxa"/>
              <w:bottom w:w="75" w:type="dxa"/>
              <w:left w:w="85" w:type="dxa"/>
              <w:right w:w="85" w:type="dxa"/>
            </w:tcMar>
            <w:shd w:fill="282220"/>
          </w:tcPr>
          <w:p>
            <w:pPr>
              <w:spacing w:after="0" w:line="250" w:lineRule="auto"/>
              <w:jc w:val="right"/>
            </w:pPr>
            <w:r>
              <w:rPr>
                <w:b/>
                <w:color w:val="FFFFFF"/>
                <w:sz w:val="18"/>
              </w:rPr>
              <w:t>€250–350K</w:t>
            </w:r>
          </w:p>
        </w:tc>
        <w:tc>
          <w:tcPr>
            <w:tcW w:type="dxa" w:w="2805"/>
            <w:vAlign w:val="center"/>
            <w:tcMar>
              <w:top w:w="75" w:type="dxa"/>
              <w:bottom w:w="75" w:type="dxa"/>
              <w:left w:w="85" w:type="dxa"/>
              <w:right w:w="85" w:type="dxa"/>
            </w:tcMar>
            <w:shd w:fill="282220"/>
          </w:tcPr>
          <w:p>
            <w:pPr>
              <w:spacing w:after="0" w:line="250" w:lineRule="auto"/>
            </w:pPr>
            <w:r>
              <w:rPr>
                <w:b/>
                <w:color w:val="FFFFFF"/>
                <w:sz w:val="18"/>
              </w:rPr>
              <w:t>€2M / €5M acceleration</w:t>
            </w:r>
          </w:p>
        </w:tc>
      </w:tr>
      <w:tr>
        <w:trPr>
          <w:cantSplit/>
        </w:trPr>
        <w:tc>
          <w:tcPr>
            <w:tcW w:type="dxa" w:w="1656"/>
            <w:vAlign w:val="center"/>
            <w:tcMar>
              <w:top w:w="75" w:type="dxa"/>
              <w:bottom w:w="75" w:type="dxa"/>
              <w:left w:w="85" w:type="dxa"/>
              <w:right w:w="85" w:type="dxa"/>
            </w:tcMar>
            <w:shd w:fill="F8F1E9"/>
          </w:tcPr>
          <w:p>
            <w:pPr>
              <w:spacing w:after="0" w:line="250" w:lineRule="auto"/>
            </w:pPr>
            <w:r>
              <w:rPr>
                <w:sz w:val="18"/>
              </w:rPr>
              <w:t>Days 1–30</w:t>
            </w:r>
          </w:p>
        </w:tc>
        <w:tc>
          <w:tcPr>
            <w:tcW w:type="dxa" w:w="2693"/>
            <w:vAlign w:val="center"/>
            <w:tcMar>
              <w:top w:w="75" w:type="dxa"/>
              <w:bottom w:w="75" w:type="dxa"/>
              <w:left w:w="85" w:type="dxa"/>
              <w:right w:w="85" w:type="dxa"/>
            </w:tcMar>
            <w:shd w:fill="F8F1E9"/>
          </w:tcPr>
          <w:p>
            <w:pPr>
              <w:spacing w:after="0" w:line="250" w:lineRule="auto"/>
            </w:pPr>
            <w:r>
              <w:rPr>
                <w:sz w:val="18"/>
              </w:rPr>
              <w:t>Confirm cash/capacity, check release controls and co-design priorities with women.</w:t>
            </w:r>
          </w:p>
        </w:tc>
        <w:tc>
          <w:tcPr>
            <w:tcW w:type="dxa" w:w="2794"/>
            <w:vAlign w:val="center"/>
            <w:tcMar>
              <w:top w:w="75" w:type="dxa"/>
              <w:bottom w:w="75" w:type="dxa"/>
              <w:left w:w="85" w:type="dxa"/>
              <w:right w:w="85" w:type="dxa"/>
            </w:tcMar>
            <w:shd w:fill="F8F1E9"/>
          </w:tcPr>
          <w:p>
            <w:pPr>
              <w:spacing w:after="0" w:line="250" w:lineRule="auto"/>
            </w:pPr>
            <w:r>
              <w:rPr>
                <w:sz w:val="18"/>
              </w:rPr>
              <w:t>Set accountable delivery owners and a single price/funnel model.</w:t>
            </w:r>
          </w:p>
        </w:tc>
        <w:tc>
          <w:tcPr>
            <w:tcW w:type="dxa" w:w="2805"/>
            <w:vAlign w:val="center"/>
            <w:tcMar>
              <w:top w:w="75" w:type="dxa"/>
              <w:bottom w:w="75" w:type="dxa"/>
              <w:left w:w="85" w:type="dxa"/>
              <w:right w:w="85" w:type="dxa"/>
            </w:tcMar>
            <w:shd w:fill="F8F1E9"/>
          </w:tcPr>
          <w:p>
            <w:pPr>
              <w:spacing w:after="0" w:line="250" w:lineRule="auto"/>
            </w:pPr>
            <w:r>
              <w:rPr>
                <w:sz w:val="18"/>
              </w:rPr>
              <w:t>Finalise workstreams and hiring dates; do not front-load large campaigns.</w:t>
            </w:r>
          </w:p>
        </w:tc>
      </w:tr>
      <w:tr>
        <w:trPr>
          <w:cantSplit/>
        </w:trPr>
        <w:tc>
          <w:tcPr>
            <w:tcW w:type="dxa" w:w="1656"/>
            <w:vAlign w:val="center"/>
            <w:tcMar>
              <w:top w:w="75" w:type="dxa"/>
              <w:bottom w:w="75" w:type="dxa"/>
              <w:left w:w="85" w:type="dxa"/>
              <w:right w:w="85" w:type="dxa"/>
            </w:tcMar>
          </w:tcPr>
          <w:p>
            <w:pPr>
              <w:spacing w:after="0" w:line="250" w:lineRule="auto"/>
            </w:pPr>
            <w:r>
              <w:rPr>
                <w:sz w:val="18"/>
              </w:rPr>
              <w:t>Days 31–60</w:t>
            </w:r>
          </w:p>
        </w:tc>
        <w:tc>
          <w:tcPr>
            <w:tcW w:type="dxa" w:w="2693"/>
            <w:vAlign w:val="center"/>
            <w:tcMar>
              <w:top w:w="75" w:type="dxa"/>
              <w:bottom w:w="75" w:type="dxa"/>
              <w:left w:w="85" w:type="dxa"/>
              <w:right w:w="85" w:type="dxa"/>
            </w:tcMar>
          </w:tcPr>
          <w:p>
            <w:pPr>
              <w:spacing w:after="0" w:line="250" w:lineRule="auto"/>
            </w:pPr>
            <w:r>
              <w:rPr>
                <w:sz w:val="18"/>
              </w:rPr>
              <w:t>Test cycle-aware guidance and a small facilitated member session.</w:t>
            </w:r>
          </w:p>
        </w:tc>
        <w:tc>
          <w:tcPr>
            <w:tcW w:type="dxa" w:w="2794"/>
            <w:vAlign w:val="center"/>
            <w:tcMar>
              <w:top w:w="75" w:type="dxa"/>
              <w:bottom w:w="75" w:type="dxa"/>
              <w:left w:w="85" w:type="dxa"/>
              <w:right w:w="85" w:type="dxa"/>
            </w:tcMar>
          </w:tcPr>
          <w:p>
            <w:pPr>
              <w:spacing w:after="0" w:line="250" w:lineRule="auto"/>
            </w:pPr>
            <w:r>
              <w:rPr>
                <w:sz w:val="18"/>
              </w:rPr>
              <w:t>Run small direct and partner pilots with measured activation.</w:t>
            </w:r>
          </w:p>
        </w:tc>
        <w:tc>
          <w:tcPr>
            <w:tcW w:type="dxa" w:w="2805"/>
            <w:vAlign w:val="center"/>
            <w:tcMar>
              <w:top w:w="75" w:type="dxa"/>
              <w:bottom w:w="75" w:type="dxa"/>
              <w:left w:w="85" w:type="dxa"/>
              <w:right w:w="85" w:type="dxa"/>
            </w:tcMar>
          </w:tcPr>
          <w:p>
            <w:pPr>
              <w:spacing w:after="0" w:line="250" w:lineRule="auto"/>
            </w:pPr>
            <w:r>
              <w:rPr>
                <w:sz w:val="18"/>
              </w:rPr>
              <w:t>Add content production and partner-onboarding capacity; begin bounded country discovery.</w:t>
            </w:r>
          </w:p>
        </w:tc>
      </w:tr>
      <w:tr>
        <w:trPr>
          <w:cantSplit/>
        </w:trPr>
        <w:tc>
          <w:tcPr>
            <w:tcW w:type="dxa" w:w="1656"/>
            <w:vAlign w:val="center"/>
            <w:tcMar>
              <w:top w:w="75" w:type="dxa"/>
              <w:bottom w:w="75" w:type="dxa"/>
              <w:left w:w="85" w:type="dxa"/>
              <w:right w:w="85" w:type="dxa"/>
            </w:tcMar>
            <w:shd w:fill="F8F1E9"/>
          </w:tcPr>
          <w:p>
            <w:pPr>
              <w:spacing w:after="0" w:line="250" w:lineRule="auto"/>
            </w:pPr>
            <w:r>
              <w:rPr>
                <w:sz w:val="18"/>
              </w:rPr>
              <w:t>Days 61–90</w:t>
            </w:r>
          </w:p>
        </w:tc>
        <w:tc>
          <w:tcPr>
            <w:tcW w:type="dxa" w:w="2693"/>
            <w:vAlign w:val="center"/>
            <w:tcMar>
              <w:top w:w="75" w:type="dxa"/>
              <w:bottom w:w="75" w:type="dxa"/>
              <w:left w:w="85" w:type="dxa"/>
              <w:right w:w="85" w:type="dxa"/>
            </w:tcMar>
            <w:shd w:fill="F8F1E9"/>
          </w:tcPr>
          <w:p>
            <w:pPr>
              <w:spacing w:after="0" w:line="250" w:lineRule="auto"/>
            </w:pPr>
            <w:r>
              <w:rPr>
                <w:sz w:val="18"/>
              </w:rPr>
              <w:t>Review usefulness, belonging, retention and support effort; select the next affordable release.</w:t>
            </w:r>
          </w:p>
        </w:tc>
        <w:tc>
          <w:tcPr>
            <w:tcW w:type="dxa" w:w="2794"/>
            <w:vAlign w:val="center"/>
            <w:tcMar>
              <w:top w:w="75" w:type="dxa"/>
              <w:bottom w:w="75" w:type="dxa"/>
              <w:left w:w="85" w:type="dxa"/>
              <w:right w:w="85" w:type="dxa"/>
            </w:tcMar>
            <w:shd w:fill="F8F1E9"/>
          </w:tcPr>
          <w:p>
            <w:pPr>
              <w:spacing w:after="0" w:line="250" w:lineRule="auto"/>
            </w:pPr>
            <w:r>
              <w:rPr>
                <w:sz w:val="18"/>
              </w:rPr>
              <w:t>Compare cohorts and paid-test economics; renew or end pilots.</w:t>
            </w:r>
          </w:p>
        </w:tc>
        <w:tc>
          <w:tcPr>
            <w:tcW w:type="dxa" w:w="2805"/>
            <w:vAlign w:val="center"/>
            <w:tcMar>
              <w:top w:w="75" w:type="dxa"/>
              <w:bottom w:w="75" w:type="dxa"/>
              <w:left w:w="85" w:type="dxa"/>
              <w:right w:w="85" w:type="dxa"/>
            </w:tcMar>
            <w:shd w:fill="F8F1E9"/>
          </w:tcPr>
          <w:p>
            <w:pPr>
              <w:spacing w:after="0" w:line="250" w:lineRule="auto"/>
            </w:pPr>
            <w:r>
              <w:rPr>
                <w:sz w:val="18"/>
              </w:rPr>
              <w:t>Release the next spend tranche only against evidence; approve pregnancy/country work separately.</w:t>
            </w:r>
          </w:p>
        </w:tc>
      </w:tr>
      <w:tr>
        <w:trPr>
          <w:cantSplit/>
        </w:trPr>
        <w:tc>
          <w:tcPr>
            <w:tcW w:type="dxa" w:w="1656"/>
            <w:vAlign w:val="center"/>
            <w:tcMar>
              <w:top w:w="75" w:type="dxa"/>
              <w:bottom w:w="75" w:type="dxa"/>
              <w:left w:w="85" w:type="dxa"/>
              <w:right w:w="85" w:type="dxa"/>
            </w:tcMar>
          </w:tcPr>
          <w:p>
            <w:pPr>
              <w:spacing w:after="0" w:line="250" w:lineRule="auto"/>
            </w:pPr>
            <w:r>
              <w:rPr>
                <w:sz w:val="18"/>
              </w:rPr>
              <w:t>Months 4–12</w:t>
            </w:r>
          </w:p>
        </w:tc>
        <w:tc>
          <w:tcPr>
            <w:tcW w:type="dxa" w:w="2693"/>
            <w:vAlign w:val="center"/>
            <w:tcMar>
              <w:top w:w="75" w:type="dxa"/>
              <w:bottom w:w="75" w:type="dxa"/>
              <w:left w:w="85" w:type="dxa"/>
              <w:right w:w="85" w:type="dxa"/>
            </w:tcMar>
          </w:tcPr>
          <w:p>
            <w:pPr>
              <w:spacing w:after="0" w:line="250" w:lineRule="auto"/>
            </w:pPr>
            <w:r>
              <w:rPr>
                <w:sz w:val="18"/>
              </w:rPr>
              <w:t>Continue narrow scope as capacity and earned cash permit.</w:t>
            </w:r>
          </w:p>
        </w:tc>
        <w:tc>
          <w:tcPr>
            <w:tcW w:type="dxa" w:w="2794"/>
            <w:vAlign w:val="center"/>
            <w:tcMar>
              <w:top w:w="75" w:type="dxa"/>
              <w:bottom w:w="75" w:type="dxa"/>
              <w:left w:w="85" w:type="dxa"/>
              <w:right w:w="85" w:type="dxa"/>
            </w:tcMar>
          </w:tcPr>
          <w:p>
            <w:pPr>
              <w:spacing w:after="0" w:line="250" w:lineRule="auto"/>
            </w:pPr>
            <w:r>
              <w:rPr>
                <w:sz w:val="18"/>
              </w:rPr>
              <w:t>Demonstrate repeat use and a repeatable early commercial route.</w:t>
            </w:r>
          </w:p>
        </w:tc>
        <w:tc>
          <w:tcPr>
            <w:tcW w:type="dxa" w:w="2805"/>
            <w:vAlign w:val="center"/>
            <w:tcMar>
              <w:top w:w="75" w:type="dxa"/>
              <w:bottom w:w="75" w:type="dxa"/>
              <w:left w:w="85" w:type="dxa"/>
              <w:right w:w="85" w:type="dxa"/>
            </w:tcMar>
          </w:tcPr>
          <w:p>
            <w:pPr>
              <w:spacing w:after="0" w:line="250" w:lineRule="auto"/>
            </w:pPr>
            <w:r>
              <w:rPr>
                <w:sz w:val="18"/>
              </w:rPr>
              <w:t>Build Spain execution, formal quality/evaluation and a credible channel pipeline.</w:t>
            </w:r>
          </w:p>
        </w:tc>
      </w:tr>
      <w:tr>
        <w:trPr>
          <w:cantSplit/>
        </w:trPr>
        <w:tc>
          <w:tcPr>
            <w:tcW w:type="dxa" w:w="1656"/>
            <w:vAlign w:val="center"/>
            <w:tcMar>
              <w:top w:w="75" w:type="dxa"/>
              <w:bottom w:w="75" w:type="dxa"/>
              <w:left w:w="85" w:type="dxa"/>
              <w:right w:w="85" w:type="dxa"/>
            </w:tcMar>
            <w:shd w:fill="F8F1E9"/>
          </w:tcPr>
          <w:p>
            <w:pPr>
              <w:spacing w:after="0" w:line="250" w:lineRule="auto"/>
            </w:pPr>
            <w:r>
              <w:rPr>
                <w:sz w:val="18"/>
              </w:rPr>
              <w:t>Months 13–24</w:t>
            </w:r>
          </w:p>
        </w:tc>
        <w:tc>
          <w:tcPr>
            <w:tcW w:type="dxa" w:w="2693"/>
            <w:vAlign w:val="center"/>
            <w:tcMar>
              <w:top w:w="75" w:type="dxa"/>
              <w:bottom w:w="75" w:type="dxa"/>
              <w:left w:w="85" w:type="dxa"/>
              <w:right w:w="85" w:type="dxa"/>
            </w:tcMar>
            <w:shd w:fill="F8F1E9"/>
          </w:tcPr>
          <w:p>
            <w:pPr>
              <w:spacing w:after="0" w:line="250" w:lineRule="auto"/>
            </w:pPr>
            <w:r>
              <w:rPr>
                <w:sz w:val="18"/>
              </w:rPr>
              <w:t>No unsupported promise of this horizon without a cash plan.</w:t>
            </w:r>
          </w:p>
        </w:tc>
        <w:tc>
          <w:tcPr>
            <w:tcW w:type="dxa" w:w="2794"/>
            <w:vAlign w:val="center"/>
            <w:tcMar>
              <w:top w:w="75" w:type="dxa"/>
              <w:bottom w:w="75" w:type="dxa"/>
              <w:left w:w="85" w:type="dxa"/>
              <w:right w:w="85" w:type="dxa"/>
            </w:tcMar>
            <w:shd w:fill="F8F1E9"/>
          </w:tcPr>
          <w:p>
            <w:pPr>
              <w:spacing w:after="0" w:line="250" w:lineRule="auto"/>
            </w:pPr>
            <w:r>
              <w:rPr>
                <w:sz w:val="18"/>
              </w:rPr>
              <w:t>A new plan is required after the funded period.</w:t>
            </w:r>
          </w:p>
        </w:tc>
        <w:tc>
          <w:tcPr>
            <w:tcW w:type="dxa" w:w="2805"/>
            <w:vAlign w:val="center"/>
            <w:tcMar>
              <w:top w:w="75" w:type="dxa"/>
              <w:bottom w:w="75" w:type="dxa"/>
              <w:left w:w="85" w:type="dxa"/>
              <w:right w:w="85" w:type="dxa"/>
            </w:tcMar>
            <w:shd w:fill="F8F1E9"/>
          </w:tcPr>
          <w:p>
            <w:pPr>
              <w:spacing w:after="0" w:line="250" w:lineRule="auto"/>
            </w:pPr>
            <w:r>
              <w:rPr>
                <w:sz w:val="18"/>
              </w:rPr>
              <w:t>Replicate proven channels; consider a selected international pilot only after readiness approval.</w:t>
            </w:r>
          </w:p>
        </w:tc>
      </w:tr>
    </w:tbl>
    <w:p>
      <w:pPr>
        <w:spacing w:after="20" w:before="0" w:line="72" w:lineRule="auto"/>
      </w:pPr>
      <w:r>
        <w:rPr>
          <w:sz w:val="4"/>
        </w:rPr>
      </w:r>
    </w:p>
    <w:p>
      <w:r>
        <w:rPr/>
        <w:t>Capital-release decisions should review: release safety; first useful action; cohort retention; customer contribution; fully loaded acquisition cost; contract activation/renewal; support demand; and available cash. Proposed commercial thresholds are hypotheses, not external benchmarks. Stop rules must be as explicit as growth targets.</w:t>
      </w:r>
    </w:p>
    <w:p>
      <w:r>
        <w:rPr/>
        <w:t>The first 90 days should also produce a short Singapore opportunity file led through Lucía's introductions: named contacts and roles; five to ten exploratory meetings as a target; two or three potential pilot briefs where interest exists; and a written grant-eligibility assessment from the relevant programme/qualified adviser. Australia should receive a parallel, bounded discovery brief rather than an automatic incorporation or launch.</w:t>
      </w:r>
    </w:p>
    <w:p>
      <w:bookmarkStart w:id="19" w:name="section_19"/>
      <w:pPr>
        <w:pStyle w:val="Heading1"/>
      </w:pPr>
      <w:r>
        <w:rPr/>
        <w:t>19. Investor return, valuation and deal structure</w:t>
      </w:r>
      <w:bookmarkEnd w:id="19"/>
    </w:p>
    <w:p>
      <w:r>
        <w:rPr/>
        <w:t>The return case is value creation through retained recurring revenue, credible margins, repeatable distribution, useful proprietary assets and reduced operational risk. It is not a guaranteed return or the company's revenue divided by the investor's cheque.</w:t>
      </w:r>
    </w:p>
    <w:p>
      <w:r>
        <w:rPr/>
        <w:t>Investor cash proceeds depend on entry valuation, fully diluted ownership, later financing, option pools, preferences, transaction costs, debt and the distribution waterfall. An exit multiple is an assumption, not a result. The existing files contain inconsistent financial versions, so no historic ROI is adopted without reconciliation. [S02, S07, S08]</w:t>
      </w:r>
    </w:p>
    <w:p>
      <w:r>
        <w:rPr/>
        <w:t>For illustration only, a €2M investment at a hypothetical €10M post-money valuation buys 20%. If subsequent dilution reduces that ownership by 25%, the holding is 15%. At €20M of equity proceeds distributable pro rata, it receives €3M: 1.5× invested capital, or approximately 8.4% annually over five years. At €50M it receives €7.5M: 3.75×, or about 30.3% annually. At €5M it receives €0.75M, a loss; at zero, the investment is lost. This excludes preference effects and is neither a proposed valuation nor an expected outcome.</w:t>
      </w:r>
    </w:p>
    <w:p>
      <w:r>
        <w:rPr/>
        <w:t>The team should compare priced equity with a locally appropriate convertible instrument after choosing the funded scope. Examine conversion, cap/discount, maturity and interest where relevant, investor rights, option-pool treatment and net proceeds. Do not import a US SAFE template without jurisdiction-specific advice. Do not rely on a broad “Europe allows ROI promises, the US does not” statement.</w:t>
      </w:r>
    </w:p>
    <w:p>
      <w:r>
        <w:rPr/>
        <w:t>Tony's feedback is treated as constructive investor input, not a funding commitment. His reported network and investment record remain unverified and should not be used as endorsement in the proposal. Any advisory mandate, fee, exclusivity or investment role should be explicit and separate. A financing partner should improve execution or access, not merely increase the headline raise. [S11]</w:t>
      </w:r>
    </w:p>
    <w:p>
      <w:bookmarkStart w:id="20" w:name="section_20"/>
      <w:pPr>
        <w:pStyle w:val="Heading1"/>
      </w:pPr>
      <w:r>
        <w:rPr/>
        <w:t>20. Proposed meeting position</w:t>
      </w:r>
      <w:bookmarkEnd w:id="20"/>
    </w:p>
    <w:p>
      <w:pPr>
        <w:spacing w:before="100" w:after="160"/>
        <w:ind w:left="187" w:right="187"/>
        <w:shd w:fill="F8F1E9"/>
      </w:pPr>
      <w:r>
        <w:rPr>
          <w:b/>
        </w:rPr>
        <w:t>Nutrition that moooves with your Cycle—within a community-led app for women.</w:t>
      </w:r>
      <w:r>
        <w:t xml:space="preserve"> We will progress with our own capacity. €15–25K funds focused near-term work; €250–350K supports launch and validation. €2M builds Spain execution; €5M accelerates product, community, content and commercial delivery with selected international readiness. Australia and Singapore are exploration candidates. Funding, grants and partnerships count only when committed. We will choose scope and terms supported by evidence.</w:t>
      </w:r>
    </w:p>
    <w:p>
      <w:bookmarkStart w:id="21" w:name="section_21"/>
      <w:pPr>
        <w:pStyle w:val="Heading1"/>
        <w:pageBreakBefore w:val="0"/>
      </w:pPr>
      <w:r>
        <w:rPr/>
        <w:t>Annex A. Source register and document relationships</w:t>
      </w:r>
      <w:bookmarkEnd w:id="21"/>
    </w:p>
    <w:p>
      <w:r>
        <w:rPr/>
        <w:t xml:space="preserve">This proposal uses the documents below as a connected evidence base. </w:t>
      </w:r>
      <w:r>
        <w:rPr>
          <w:b/>
        </w:rPr>
        <w:t>Full original</w:t>
      </w:r>
      <w:r>
        <w:rPr/>
        <w:t xml:space="preserve"> means a retrieved file is included unchanged in the accompanying source bundle. </w:t>
      </w:r>
      <w:r>
        <w:rPr>
          <w:b/>
        </w:rPr>
        <w:t>Reference/extract</w:t>
      </w:r>
      <w:r>
        <w:rPr/>
        <w:t xml:space="preserve"> means the content was accessible through the File Library or conversation, but the original binary was not available in the working download set; the annex provides a source brief rather than pretending to attach the full file. Historical files retain their own dates and are not automatically current approvals.</w:t>
      </w:r>
    </w:p>
    <w:tbl>
      <w:tblPr>
        <w:tblW w:type="auto" w:w="0"/>
        <w:jc w:val="center"/>
        <w:tblLayout w:type="fixed"/>
        <w:tblLook w:firstColumn="1" w:firstRow="1" w:lastColumn="0" w:lastRow="0" w:noHBand="0" w:noVBand="1" w:val="04A0"/>
      </w:tblPr>
      <w:tblGrid>
        <w:gridCol w:w="605"/>
        <w:gridCol w:w="3600"/>
        <w:gridCol w:w="2491"/>
        <w:gridCol w:w="3251"/>
      </w:tblGrid>
      <w:tr>
        <w:trPr>
          <w:cantSplit/>
          <w:tblHeader/>
        </w:trPr>
        <w:tc>
          <w:tcPr>
            <w:tcW w:type="dxa" w:w="605"/>
            <w:vAlign w:val="center"/>
            <w:tcMar>
              <w:top w:w="75" w:type="dxa"/>
              <w:bottom w:w="75" w:type="dxa"/>
              <w:left w:w="85" w:type="dxa"/>
              <w:right w:w="85" w:type="dxa"/>
            </w:tcMar>
            <w:shd w:fill="282220"/>
          </w:tcPr>
          <w:p>
            <w:pPr>
              <w:spacing w:after="0" w:line="250" w:lineRule="auto"/>
            </w:pPr>
            <w:r>
              <w:rPr>
                <w:b/>
                <w:color w:val="FFFFFF"/>
                <w:sz w:val="18"/>
              </w:rPr>
              <w:t>Ref.</w:t>
            </w:r>
          </w:p>
        </w:tc>
        <w:tc>
          <w:tcPr>
            <w:tcW w:type="dxa" w:w="3600"/>
            <w:vAlign w:val="center"/>
            <w:tcMar>
              <w:top w:w="75" w:type="dxa"/>
              <w:bottom w:w="75" w:type="dxa"/>
              <w:left w:w="85" w:type="dxa"/>
              <w:right w:w="85" w:type="dxa"/>
            </w:tcMar>
            <w:shd w:fill="282220"/>
          </w:tcPr>
          <w:p>
            <w:pPr>
              <w:spacing w:after="0" w:line="250" w:lineRule="auto"/>
            </w:pPr>
            <w:r>
              <w:rPr>
                <w:b/>
                <w:color w:val="FFFFFF"/>
                <w:sz w:val="18"/>
              </w:rPr>
              <w:t>Document / record</w:t>
            </w:r>
          </w:p>
        </w:tc>
        <w:tc>
          <w:tcPr>
            <w:tcW w:type="dxa" w:w="2491"/>
            <w:vAlign w:val="center"/>
            <w:tcMar>
              <w:top w:w="75" w:type="dxa"/>
              <w:bottom w:w="75" w:type="dxa"/>
              <w:left w:w="85" w:type="dxa"/>
              <w:right w:w="85" w:type="dxa"/>
            </w:tcMar>
            <w:shd w:fill="282220"/>
          </w:tcPr>
          <w:p>
            <w:pPr>
              <w:spacing w:after="0" w:line="250" w:lineRule="auto"/>
            </w:pPr>
            <w:r>
              <w:rPr>
                <w:b/>
                <w:color w:val="FFFFFF"/>
                <w:sz w:val="18"/>
              </w:rPr>
              <w:t>Version and treatment</w:t>
            </w:r>
          </w:p>
        </w:tc>
        <w:tc>
          <w:tcPr>
            <w:tcW w:type="dxa" w:w="3251"/>
            <w:vAlign w:val="center"/>
            <w:tcMar>
              <w:top w:w="75" w:type="dxa"/>
              <w:bottom w:w="75" w:type="dxa"/>
              <w:left w:w="85" w:type="dxa"/>
              <w:right w:w="85" w:type="dxa"/>
            </w:tcMar>
            <w:shd w:fill="282220"/>
          </w:tcPr>
          <w:p>
            <w:pPr>
              <w:spacing w:after="0" w:line="250" w:lineRule="auto"/>
            </w:pPr>
            <w:r>
              <w:rPr>
                <w:b/>
                <w:color w:val="FFFFFF"/>
                <w:sz w:val="18"/>
              </w:rPr>
              <w:t>How used</w:t>
            </w:r>
          </w:p>
        </w:tc>
      </w:tr>
      <w:tr>
        <w:trPr>
          <w:cantSplit/>
        </w:trPr>
        <w:tc>
          <w:tcPr>
            <w:tcW w:type="dxa" w:w="605"/>
            <w:vAlign w:val="center"/>
            <w:tcMar>
              <w:top w:w="75" w:type="dxa"/>
              <w:bottom w:w="75" w:type="dxa"/>
              <w:left w:w="85" w:type="dxa"/>
              <w:right w:w="85" w:type="dxa"/>
            </w:tcMar>
            <w:shd w:fill="F8F1E9"/>
          </w:tcPr>
          <w:p>
            <w:pPr>
              <w:spacing w:after="0" w:line="250" w:lineRule="auto"/>
            </w:pPr>
            <w:r>
              <w:rPr>
                <w:sz w:val="18"/>
              </w:rPr>
              <w:t>S01</w:t>
            </w:r>
          </w:p>
        </w:tc>
        <w:tc>
          <w:tcPr>
            <w:tcW w:type="dxa" w:w="3600"/>
            <w:vAlign w:val="center"/>
            <w:tcMar>
              <w:top w:w="75" w:type="dxa"/>
              <w:bottom w:w="75" w:type="dxa"/>
              <w:left w:w="85" w:type="dxa"/>
              <w:right w:w="85" w:type="dxa"/>
            </w:tcMar>
            <w:shd w:fill="F8F1E9"/>
          </w:tcPr>
          <w:p>
            <w:pPr>
              <w:spacing w:after="0" w:line="250" w:lineRule="auto"/>
            </w:pPr>
            <w:r>
              <w:rPr>
                <w:sz w:val="18"/>
              </w:rPr>
              <w:t>NutriSync_​Proposal_​32_​v8_​Consolidated_​Spain_​Market_​and_​Wearable_​Strategy.docx</w:t>
            </w:r>
          </w:p>
        </w:tc>
        <w:tc>
          <w:tcPr>
            <w:tcW w:type="dxa" w:w="2491"/>
            <w:vAlign w:val="center"/>
            <w:tcMar>
              <w:top w:w="75" w:type="dxa"/>
              <w:bottom w:w="75" w:type="dxa"/>
              <w:left w:w="85" w:type="dxa"/>
              <w:right w:w="85" w:type="dxa"/>
            </w:tcMar>
            <w:shd w:fill="F8F1E9"/>
          </w:tcPr>
          <w:p>
            <w:pPr>
              <w:spacing w:after="0" w:line="250" w:lineRule="auto"/>
            </w:pPr>
            <w:r>
              <w:rPr>
                <w:sz w:val="18"/>
              </w:rPr>
              <w:t>12 Aug 2026; full original.</w:t>
            </w:r>
          </w:p>
        </w:tc>
        <w:tc>
          <w:tcPr>
            <w:tcW w:type="dxa" w:w="3251"/>
            <w:vAlign w:val="center"/>
            <w:tcMar>
              <w:top w:w="75" w:type="dxa"/>
              <w:bottom w:w="75" w:type="dxa"/>
              <w:left w:w="85" w:type="dxa"/>
              <w:right w:w="85" w:type="dxa"/>
            </w:tcMar>
            <w:shd w:fill="F8F1E9"/>
          </w:tcPr>
          <w:p>
            <w:pPr>
              <w:spacing w:after="0" w:line="250" w:lineRule="auto"/>
            </w:pPr>
            <w:r>
              <w:rPr>
                <w:sz w:val="18"/>
              </w:rPr>
              <w:t>Product, Spain market discipline, exercise, cloud, consent and integration architecture.</w:t>
            </w:r>
          </w:p>
        </w:tc>
      </w:tr>
      <w:tr>
        <w:trPr>
          <w:cantSplit/>
        </w:trPr>
        <w:tc>
          <w:tcPr>
            <w:tcW w:type="dxa" w:w="605"/>
            <w:vAlign w:val="center"/>
            <w:tcMar>
              <w:top w:w="75" w:type="dxa"/>
              <w:bottom w:w="75" w:type="dxa"/>
              <w:left w:w="85" w:type="dxa"/>
              <w:right w:w="85" w:type="dxa"/>
            </w:tcMar>
          </w:tcPr>
          <w:p>
            <w:pPr>
              <w:spacing w:after="0" w:line="250" w:lineRule="auto"/>
            </w:pPr>
            <w:r>
              <w:rPr>
                <w:sz w:val="18"/>
              </w:rPr>
              <w:t>S01a</w:t>
            </w:r>
          </w:p>
        </w:tc>
        <w:tc>
          <w:tcPr>
            <w:tcW w:type="dxa" w:w="3600"/>
            <w:vAlign w:val="center"/>
            <w:tcMar>
              <w:top w:w="75" w:type="dxa"/>
              <w:bottom w:w="75" w:type="dxa"/>
              <w:left w:w="85" w:type="dxa"/>
              <w:right w:w="85" w:type="dxa"/>
            </w:tcMar>
          </w:tcPr>
          <w:p>
            <w:pPr>
              <w:spacing w:after="0" w:line="250" w:lineRule="auto"/>
            </w:pPr>
            <w:r>
              <w:rPr>
                <w:sz w:val="18"/>
              </w:rPr>
              <w:t>NutriSync_​Proposal_​32_​v4_​Daily_​Intelligence_​Spain_​First.html</w:t>
            </w:r>
          </w:p>
        </w:tc>
        <w:tc>
          <w:tcPr>
            <w:tcW w:type="dxa" w:w="2491"/>
            <w:vAlign w:val="center"/>
            <w:tcMar>
              <w:top w:w="75" w:type="dxa"/>
              <w:bottom w:w="75" w:type="dxa"/>
              <w:left w:w="85" w:type="dxa"/>
              <w:right w:w="85" w:type="dxa"/>
            </w:tcMar>
          </w:tcPr>
          <w:p>
            <w:pPr>
              <w:spacing w:after="0" w:line="250" w:lineRule="auto"/>
            </w:pPr>
            <w:r>
              <w:rPr>
                <w:sz w:val="18"/>
              </w:rPr>
              <w:t>v4 baseline; full original, historical.</w:t>
            </w:r>
          </w:p>
        </w:tc>
        <w:tc>
          <w:tcPr>
            <w:tcW w:type="dxa" w:w="3251"/>
            <w:vAlign w:val="center"/>
            <w:tcMar>
              <w:top w:w="75" w:type="dxa"/>
              <w:bottom w:w="75" w:type="dxa"/>
              <w:left w:w="85" w:type="dxa"/>
              <w:right w:w="85" w:type="dxa"/>
            </w:tcMar>
          </w:tcPr>
          <w:p>
            <w:pPr>
              <w:spacing w:after="0" w:line="250" w:lineRule="auto"/>
            </w:pPr>
            <w:r>
              <w:rPr>
                <w:sz w:val="18"/>
              </w:rPr>
              <w:t>Earlier product/trust foundation; v8 is the consolidated reference.</w:t>
            </w:r>
          </w:p>
        </w:tc>
      </w:tr>
      <w:tr>
        <w:trPr>
          <w:cantSplit/>
        </w:trPr>
        <w:tc>
          <w:tcPr>
            <w:tcW w:type="dxa" w:w="605"/>
            <w:vAlign w:val="center"/>
            <w:tcMar>
              <w:top w:w="75" w:type="dxa"/>
              <w:bottom w:w="75" w:type="dxa"/>
              <w:left w:w="85" w:type="dxa"/>
              <w:right w:w="85" w:type="dxa"/>
            </w:tcMar>
            <w:shd w:fill="F8F1E9"/>
          </w:tcPr>
          <w:p>
            <w:pPr>
              <w:spacing w:after="0" w:line="250" w:lineRule="auto"/>
            </w:pPr>
            <w:r>
              <w:rPr>
                <w:sz w:val="18"/>
              </w:rPr>
              <w:t>S02</w:t>
            </w:r>
          </w:p>
        </w:tc>
        <w:tc>
          <w:tcPr>
            <w:tcW w:type="dxa" w:w="3600"/>
            <w:vAlign w:val="center"/>
            <w:tcMar>
              <w:top w:w="75" w:type="dxa"/>
              <w:bottom w:w="75" w:type="dxa"/>
              <w:left w:w="85" w:type="dxa"/>
              <w:right w:w="85" w:type="dxa"/>
            </w:tcMar>
            <w:shd w:fill="F8F1E9"/>
          </w:tcPr>
          <w:p>
            <w:pPr>
              <w:spacing w:after="0" w:line="250" w:lineRule="auto"/>
            </w:pPr>
            <w:r>
              <w:rPr>
                <w:sz w:val="18"/>
              </w:rPr>
              <w:t>NutriSync PPT Aug 2026.pptx</w:t>
            </w:r>
          </w:p>
        </w:tc>
        <w:tc>
          <w:tcPr>
            <w:tcW w:type="dxa" w:w="2491"/>
            <w:vAlign w:val="center"/>
            <w:tcMar>
              <w:top w:w="75" w:type="dxa"/>
              <w:bottom w:w="75" w:type="dxa"/>
              <w:left w:w="85" w:type="dxa"/>
              <w:right w:w="85" w:type="dxa"/>
            </w:tcMar>
            <w:shd w:fill="F8F1E9"/>
          </w:tcPr>
          <w:p>
            <w:pPr>
              <w:spacing w:after="0" w:line="250" w:lineRule="auto"/>
            </w:pPr>
            <w:r>
              <w:rPr>
                <w:sz w:val="18"/>
              </w:rPr>
              <w:t>Latest retrieved Library upload: 7 Sep 2026, 19:58:42 UTC; reference/extract.</w:t>
            </w:r>
          </w:p>
        </w:tc>
        <w:tc>
          <w:tcPr>
            <w:tcW w:type="dxa" w:w="3251"/>
            <w:vAlign w:val="center"/>
            <w:tcMar>
              <w:top w:w="75" w:type="dxa"/>
              <w:bottom w:w="75" w:type="dxa"/>
              <w:left w:w="85" w:type="dxa"/>
              <w:right w:w="85" w:type="dxa"/>
            </w:tcMar>
            <w:shd w:fill="F8F1E9"/>
          </w:tcPr>
          <w:p>
            <w:pPr>
              <w:spacing w:after="0" w:line="250" w:lineRule="auto"/>
            </w:pPr>
            <w:r>
              <w:rPr>
                <w:sz w:val="18"/>
              </w:rPr>
              <w:t>Investor positioning, price hypotheses, roadmap and funding reconciliation.</w:t>
            </w:r>
          </w:p>
        </w:tc>
      </w:tr>
      <w:tr>
        <w:trPr>
          <w:cantSplit/>
        </w:trPr>
        <w:tc>
          <w:tcPr>
            <w:tcW w:type="dxa" w:w="605"/>
            <w:vAlign w:val="center"/>
            <w:tcMar>
              <w:top w:w="75" w:type="dxa"/>
              <w:bottom w:w="75" w:type="dxa"/>
              <w:left w:w="85" w:type="dxa"/>
              <w:right w:w="85" w:type="dxa"/>
            </w:tcMar>
          </w:tcPr>
          <w:p>
            <w:pPr>
              <w:spacing w:after="0" w:line="250" w:lineRule="auto"/>
            </w:pPr>
            <w:r>
              <w:rPr>
                <w:sz w:val="18"/>
              </w:rPr>
              <w:t>S02a</w:t>
            </w:r>
          </w:p>
        </w:tc>
        <w:tc>
          <w:tcPr>
            <w:tcW w:type="dxa" w:w="3600"/>
            <w:vAlign w:val="center"/>
            <w:tcMar>
              <w:top w:w="75" w:type="dxa"/>
              <w:bottom w:w="75" w:type="dxa"/>
              <w:left w:w="85" w:type="dxa"/>
              <w:right w:w="85" w:type="dxa"/>
            </w:tcMar>
          </w:tcPr>
          <w:p>
            <w:pPr>
              <w:spacing w:after="0" w:line="250" w:lineRule="auto"/>
            </w:pPr>
            <w:r>
              <w:rPr>
                <w:sz w:val="18"/>
              </w:rPr>
              <w:t>NutriSync PPT August 2026 (3).pdf</w:t>
            </w:r>
          </w:p>
        </w:tc>
        <w:tc>
          <w:tcPr>
            <w:tcW w:type="dxa" w:w="2491"/>
            <w:vAlign w:val="center"/>
            <w:tcMar>
              <w:top w:w="75" w:type="dxa"/>
              <w:bottom w:w="75" w:type="dxa"/>
              <w:left w:w="85" w:type="dxa"/>
              <w:right w:w="85" w:type="dxa"/>
            </w:tcMar>
          </w:tcPr>
          <w:p>
            <w:pPr>
              <w:spacing w:after="0" w:line="250" w:lineRule="auto"/>
            </w:pPr>
            <w:r>
              <w:rPr>
                <w:sz w:val="18"/>
              </w:rPr>
              <w:t>6 Aug 2026 Library copy; reference/extract, historical.</w:t>
            </w:r>
          </w:p>
        </w:tc>
        <w:tc>
          <w:tcPr>
            <w:tcW w:type="dxa" w:w="3251"/>
            <w:vAlign w:val="center"/>
            <w:tcMar>
              <w:top w:w="75" w:type="dxa"/>
              <w:bottom w:w="75" w:type="dxa"/>
              <w:left w:w="85" w:type="dxa"/>
              <w:right w:w="85" w:type="dxa"/>
            </w:tcMar>
          </w:tcPr>
          <w:p>
            <w:pPr>
              <w:spacing w:after="0" w:line="250" w:lineRule="auto"/>
            </w:pPr>
            <w:r>
              <w:rPr>
                <w:sz w:val="18"/>
              </w:rPr>
              <w:t>Earlier deck comparison; not the latest forecast.</w:t>
            </w:r>
          </w:p>
        </w:tc>
      </w:tr>
      <w:tr>
        <w:trPr>
          <w:cantSplit/>
        </w:trPr>
        <w:tc>
          <w:tcPr>
            <w:tcW w:type="dxa" w:w="605"/>
            <w:vAlign w:val="center"/>
            <w:tcMar>
              <w:top w:w="75" w:type="dxa"/>
              <w:bottom w:w="75" w:type="dxa"/>
              <w:left w:w="85" w:type="dxa"/>
              <w:right w:w="85" w:type="dxa"/>
            </w:tcMar>
            <w:shd w:fill="F8F1E9"/>
          </w:tcPr>
          <w:p>
            <w:pPr>
              <w:spacing w:after="0" w:line="250" w:lineRule="auto"/>
            </w:pPr>
            <w:r>
              <w:rPr>
                <w:sz w:val="18"/>
              </w:rPr>
              <w:t>S03</w:t>
            </w:r>
          </w:p>
        </w:tc>
        <w:tc>
          <w:tcPr>
            <w:tcW w:type="dxa" w:w="3600"/>
            <w:vAlign w:val="center"/>
            <w:tcMar>
              <w:top w:w="75" w:type="dxa"/>
              <w:bottom w:w="75" w:type="dxa"/>
              <w:left w:w="85" w:type="dxa"/>
              <w:right w:w="85" w:type="dxa"/>
            </w:tcMar>
            <w:shd w:fill="F8F1E9"/>
          </w:tcPr>
          <w:p>
            <w:pPr>
              <w:spacing w:after="0" w:line="250" w:lineRule="auto"/>
            </w:pPr>
            <w:r>
              <w:rPr>
                <w:sz w:val="18"/>
              </w:rPr>
              <w:t>NutriSync_​10_​Types_​Innovation_​Proposal.pptx and .pdf</w:t>
            </w:r>
          </w:p>
        </w:tc>
        <w:tc>
          <w:tcPr>
            <w:tcW w:type="dxa" w:w="2491"/>
            <w:vAlign w:val="center"/>
            <w:tcMar>
              <w:top w:w="75" w:type="dxa"/>
              <w:bottom w:w="75" w:type="dxa"/>
              <w:left w:w="85" w:type="dxa"/>
              <w:right w:w="85" w:type="dxa"/>
            </w:tcMar>
            <w:shd w:fill="F8F1E9"/>
          </w:tcPr>
          <w:p>
            <w:pPr>
              <w:spacing w:after="0" w:line="250" w:lineRule="auto"/>
            </w:pPr>
            <w:r>
              <w:rPr>
                <w:sz w:val="18"/>
              </w:rPr>
              <w:t>6 Aug 2026; reference/extract.</w:t>
            </w:r>
          </w:p>
        </w:tc>
        <w:tc>
          <w:tcPr>
            <w:tcW w:type="dxa" w:w="3251"/>
            <w:vAlign w:val="center"/>
            <w:tcMar>
              <w:top w:w="75" w:type="dxa"/>
              <w:bottom w:w="75" w:type="dxa"/>
              <w:left w:w="85" w:type="dxa"/>
              <w:right w:w="85" w:type="dxa"/>
            </w:tcMar>
            <w:shd w:fill="F8F1E9"/>
          </w:tcPr>
          <w:p>
            <w:pPr>
              <w:spacing w:after="0" w:line="250" w:lineRule="auto"/>
            </w:pPr>
            <w:r>
              <w:rPr>
                <w:sz w:val="18"/>
              </w:rPr>
              <w:t>Ten Types and segment-of-one system thesis.</w:t>
            </w:r>
          </w:p>
        </w:tc>
      </w:tr>
      <w:tr>
        <w:trPr>
          <w:cantSplit/>
        </w:trPr>
        <w:tc>
          <w:tcPr>
            <w:tcW w:type="dxa" w:w="605"/>
            <w:vAlign w:val="center"/>
            <w:tcMar>
              <w:top w:w="75" w:type="dxa"/>
              <w:bottom w:w="75" w:type="dxa"/>
              <w:left w:w="85" w:type="dxa"/>
              <w:right w:w="85" w:type="dxa"/>
            </w:tcMar>
          </w:tcPr>
          <w:p>
            <w:pPr>
              <w:spacing w:after="0" w:line="250" w:lineRule="auto"/>
            </w:pPr>
            <w:r>
              <w:rPr>
                <w:sz w:val="18"/>
              </w:rPr>
              <w:t>S03a</w:t>
            </w:r>
          </w:p>
        </w:tc>
        <w:tc>
          <w:tcPr>
            <w:tcW w:type="dxa" w:w="3600"/>
            <w:vAlign w:val="center"/>
            <w:tcMar>
              <w:top w:w="75" w:type="dxa"/>
              <w:bottom w:w="75" w:type="dxa"/>
              <w:left w:w="85" w:type="dxa"/>
              <w:right w:w="85" w:type="dxa"/>
            </w:tcMar>
          </w:tcPr>
          <w:p>
            <w:pPr>
              <w:spacing w:after="0" w:line="250" w:lineRule="auto"/>
            </w:pPr>
            <w:r>
              <w:rPr>
                <w:sz w:val="18"/>
              </w:rPr>
              <w:t>NutriSync_​10_​Types_​Introduction_​and_​Overlay.pptx; NutriSync_​10_​Types_​Overlay_​One_​Slide.pptx</w:t>
            </w:r>
          </w:p>
        </w:tc>
        <w:tc>
          <w:tcPr>
            <w:tcW w:type="dxa" w:w="2491"/>
            <w:vAlign w:val="center"/>
            <w:tcMar>
              <w:top w:w="75" w:type="dxa"/>
              <w:bottom w:w="75" w:type="dxa"/>
              <w:left w:w="85" w:type="dxa"/>
              <w:right w:w="85" w:type="dxa"/>
            </w:tcMar>
          </w:tcPr>
          <w:p>
            <w:pPr>
              <w:spacing w:after="0" w:line="250" w:lineRule="auto"/>
            </w:pPr>
            <w:r>
              <w:rPr>
                <w:sz w:val="18"/>
              </w:rPr>
              <w:t>6 Aug 2026; reference/extract.</w:t>
            </w:r>
          </w:p>
        </w:tc>
        <w:tc>
          <w:tcPr>
            <w:tcW w:type="dxa" w:w="3251"/>
            <w:vAlign w:val="center"/>
            <w:tcMar>
              <w:top w:w="75" w:type="dxa"/>
              <w:bottom w:w="75" w:type="dxa"/>
              <w:left w:w="85" w:type="dxa"/>
              <w:right w:w="85" w:type="dxa"/>
            </w:tcMar>
          </w:tcPr>
          <w:p>
            <w:pPr>
              <w:spacing w:after="0" w:line="250" w:lineRule="auto"/>
            </w:pPr>
            <w:r>
              <w:rPr>
                <w:sz w:val="18"/>
              </w:rPr>
              <w:t>Configuration, Offering and Experience overlay.</w:t>
            </w:r>
          </w:p>
        </w:tc>
      </w:tr>
      <w:tr>
        <w:trPr>
          <w:cantSplit/>
        </w:trPr>
        <w:tc>
          <w:tcPr>
            <w:tcW w:type="dxa" w:w="605"/>
            <w:vAlign w:val="center"/>
            <w:tcMar>
              <w:top w:w="75" w:type="dxa"/>
              <w:bottom w:w="75" w:type="dxa"/>
              <w:left w:w="85" w:type="dxa"/>
              <w:right w:w="85" w:type="dxa"/>
            </w:tcMar>
            <w:shd w:fill="F8F1E9"/>
          </w:tcPr>
          <w:p>
            <w:pPr>
              <w:spacing w:after="0" w:line="250" w:lineRule="auto"/>
            </w:pPr>
            <w:r>
              <w:rPr>
                <w:sz w:val="18"/>
              </w:rPr>
              <w:t>S04</w:t>
            </w:r>
          </w:p>
        </w:tc>
        <w:tc>
          <w:tcPr>
            <w:tcW w:type="dxa" w:w="3600"/>
            <w:vAlign w:val="center"/>
            <w:tcMar>
              <w:top w:w="75" w:type="dxa"/>
              <w:bottom w:w="75" w:type="dxa"/>
              <w:left w:w="85" w:type="dxa"/>
              <w:right w:w="85" w:type="dxa"/>
            </w:tcMar>
            <w:shd w:fill="F8F1E9"/>
          </w:tcPr>
          <w:p>
            <w:pPr>
              <w:spacing w:after="0" w:line="250" w:lineRule="auto"/>
            </w:pPr>
            <w:r>
              <w:rPr>
                <w:sz w:val="18"/>
              </w:rPr>
              <w:t>NutriSync_​Competitor_​Capability_​Research.md</w:t>
            </w:r>
          </w:p>
        </w:tc>
        <w:tc>
          <w:tcPr>
            <w:tcW w:type="dxa" w:w="2491"/>
            <w:vAlign w:val="center"/>
            <w:tcMar>
              <w:top w:w="75" w:type="dxa"/>
              <w:bottom w:w="75" w:type="dxa"/>
              <w:left w:w="85" w:type="dxa"/>
              <w:right w:w="85" w:type="dxa"/>
            </w:tcMar>
            <w:shd w:fill="F8F1E9"/>
          </w:tcPr>
          <w:p>
            <w:pPr>
              <w:spacing w:after="0" w:line="250" w:lineRule="auto"/>
            </w:pPr>
            <w:r>
              <w:rPr>
                <w:sz w:val="18"/>
              </w:rPr>
              <w:t>20 Aug 2026; full original.</w:t>
            </w:r>
          </w:p>
        </w:tc>
        <w:tc>
          <w:tcPr>
            <w:tcW w:type="dxa" w:w="3251"/>
            <w:vAlign w:val="center"/>
            <w:tcMar>
              <w:top w:w="75" w:type="dxa"/>
              <w:bottom w:w="75" w:type="dxa"/>
              <w:left w:w="85" w:type="dxa"/>
              <w:right w:w="85" w:type="dxa"/>
            </w:tcMar>
            <w:shd w:fill="F8F1E9"/>
          </w:tcPr>
          <w:p>
            <w:pPr>
              <w:spacing w:after="0" w:line="250" w:lineRule="auto"/>
            </w:pPr>
            <w:r>
              <w:rPr>
                <w:sz w:val="18"/>
              </w:rPr>
              <w:t>Named competitor context; not a fresh exhaustive audit.</w:t>
            </w:r>
          </w:p>
        </w:tc>
      </w:tr>
      <w:tr>
        <w:trPr>
          <w:cantSplit/>
        </w:trPr>
        <w:tc>
          <w:tcPr>
            <w:tcW w:type="dxa" w:w="605"/>
            <w:vAlign w:val="center"/>
            <w:tcMar>
              <w:top w:w="75" w:type="dxa"/>
              <w:bottom w:w="75" w:type="dxa"/>
              <w:left w:w="85" w:type="dxa"/>
              <w:right w:w="85" w:type="dxa"/>
            </w:tcMar>
          </w:tcPr>
          <w:p>
            <w:pPr>
              <w:spacing w:after="0" w:line="250" w:lineRule="auto"/>
            </w:pPr>
            <w:r>
              <w:rPr>
                <w:sz w:val="18"/>
              </w:rPr>
              <w:t>S05</w:t>
            </w:r>
          </w:p>
        </w:tc>
        <w:tc>
          <w:tcPr>
            <w:tcW w:type="dxa" w:w="3600"/>
            <w:vAlign w:val="center"/>
            <w:tcMar>
              <w:top w:w="75" w:type="dxa"/>
              <w:bottom w:w="75" w:type="dxa"/>
              <w:left w:w="85" w:type="dxa"/>
              <w:right w:w="85" w:type="dxa"/>
            </w:tcMar>
          </w:tcPr>
          <w:p>
            <w:pPr>
              <w:spacing w:after="0" w:line="250" w:lineRule="auto"/>
            </w:pPr>
            <w:r>
              <w:rPr>
                <w:sz w:val="18"/>
              </w:rPr>
              <w:t>NutriSync_​Commercial_​Partner_​Radar_​v1_​0_​Aug2026.docx</w:t>
            </w:r>
          </w:p>
        </w:tc>
        <w:tc>
          <w:tcPr>
            <w:tcW w:type="dxa" w:w="2491"/>
            <w:vAlign w:val="center"/>
            <w:tcMar>
              <w:top w:w="75" w:type="dxa"/>
              <w:bottom w:w="75" w:type="dxa"/>
              <w:left w:w="85" w:type="dxa"/>
              <w:right w:w="85" w:type="dxa"/>
            </w:tcMar>
          </w:tcPr>
          <w:p>
            <w:pPr>
              <w:spacing w:after="0" w:line="250" w:lineRule="auto"/>
            </w:pPr>
            <w:r>
              <w:rPr>
                <w:sz w:val="18"/>
              </w:rPr>
              <w:t>Dated 13 Aug 2026; full original.</w:t>
            </w:r>
          </w:p>
        </w:tc>
        <w:tc>
          <w:tcPr>
            <w:tcW w:type="dxa" w:w="3251"/>
            <w:vAlign w:val="center"/>
            <w:tcMar>
              <w:top w:w="75" w:type="dxa"/>
              <w:bottom w:w="75" w:type="dxa"/>
              <w:left w:w="85" w:type="dxa"/>
              <w:right w:w="85" w:type="dxa"/>
            </w:tcMar>
          </w:tcPr>
          <w:p>
            <w:pPr>
              <w:spacing w:after="0" w:line="250" w:lineRule="auto"/>
            </w:pPr>
            <w:r>
              <w:rPr>
                <w:sz w:val="18"/>
              </w:rPr>
              <w:t>Company write-up, partner packages, advertising boundaries and prospect sequencing.</w:t>
            </w:r>
          </w:p>
        </w:tc>
      </w:tr>
      <w:tr>
        <w:trPr>
          <w:cantSplit/>
        </w:trPr>
        <w:tc>
          <w:tcPr>
            <w:tcW w:type="dxa" w:w="605"/>
            <w:vAlign w:val="center"/>
            <w:tcMar>
              <w:top w:w="75" w:type="dxa"/>
              <w:bottom w:w="75" w:type="dxa"/>
              <w:left w:w="85" w:type="dxa"/>
              <w:right w:w="85" w:type="dxa"/>
            </w:tcMar>
            <w:shd w:fill="F8F1E9"/>
          </w:tcPr>
          <w:p>
            <w:pPr>
              <w:spacing w:after="0" w:line="250" w:lineRule="auto"/>
            </w:pPr>
            <w:r>
              <w:rPr>
                <w:sz w:val="18"/>
              </w:rPr>
              <w:t>S06</w:t>
            </w:r>
          </w:p>
        </w:tc>
        <w:tc>
          <w:tcPr>
            <w:tcW w:type="dxa" w:w="3600"/>
            <w:vAlign w:val="center"/>
            <w:tcMar>
              <w:top w:w="75" w:type="dxa"/>
              <w:bottom w:w="75" w:type="dxa"/>
              <w:left w:w="85" w:type="dxa"/>
              <w:right w:w="85" w:type="dxa"/>
            </w:tcMar>
            <w:shd w:fill="F8F1E9"/>
          </w:tcPr>
          <w:p>
            <w:pPr>
              <w:spacing w:after="0" w:line="250" w:lineRule="auto"/>
            </w:pPr>
            <w:r>
              <w:rPr>
                <w:sz w:val="18"/>
              </w:rPr>
              <w:t>NutriSync_​Vision_​Mission_​Strategy.docx</w:t>
            </w:r>
          </w:p>
        </w:tc>
        <w:tc>
          <w:tcPr>
            <w:tcW w:type="dxa" w:w="2491"/>
            <w:vAlign w:val="center"/>
            <w:tcMar>
              <w:top w:w="75" w:type="dxa"/>
              <w:bottom w:w="75" w:type="dxa"/>
              <w:left w:w="85" w:type="dxa"/>
              <w:right w:w="85" w:type="dxa"/>
            </w:tcMar>
            <w:shd w:fill="F8F1E9"/>
          </w:tcPr>
          <w:p>
            <w:pPr>
              <w:spacing w:after="0" w:line="250" w:lineRule="auto"/>
            </w:pPr>
            <w:r>
              <w:rPr>
                <w:sz w:val="18"/>
              </w:rPr>
              <w:t>Updated Aug 2026; full original.</w:t>
            </w:r>
          </w:p>
        </w:tc>
        <w:tc>
          <w:tcPr>
            <w:tcW w:type="dxa" w:w="3251"/>
            <w:vAlign w:val="center"/>
            <w:tcMar>
              <w:top w:w="75" w:type="dxa"/>
              <w:bottom w:w="75" w:type="dxa"/>
              <w:left w:w="85" w:type="dxa"/>
              <w:right w:w="85" w:type="dxa"/>
            </w:tcMar>
            <w:shd w:fill="F8F1E9"/>
          </w:tcPr>
          <w:p>
            <w:pPr>
              <w:spacing w:after="0" w:line="250" w:lineRule="auto"/>
            </w:pPr>
            <w:r>
              <w:rPr>
                <w:sz w:val="18"/>
              </w:rPr>
              <w:t>Strategic continuity; historic price/roadmap hypotheses require reconciliation.</w:t>
            </w:r>
          </w:p>
        </w:tc>
      </w:tr>
      <w:tr>
        <w:trPr>
          <w:cantSplit/>
        </w:trPr>
        <w:tc>
          <w:tcPr>
            <w:tcW w:type="dxa" w:w="605"/>
            <w:vAlign w:val="center"/>
            <w:tcMar>
              <w:top w:w="75" w:type="dxa"/>
              <w:bottom w:w="75" w:type="dxa"/>
              <w:left w:w="85" w:type="dxa"/>
              <w:right w:w="85" w:type="dxa"/>
            </w:tcMar>
          </w:tcPr>
          <w:p>
            <w:pPr>
              <w:spacing w:after="0" w:line="250" w:lineRule="auto"/>
            </w:pPr>
            <w:r>
              <w:rPr>
                <w:sz w:val="18"/>
              </w:rPr>
              <w:t>S07</w:t>
            </w:r>
          </w:p>
        </w:tc>
        <w:tc>
          <w:tcPr>
            <w:tcW w:type="dxa" w:w="3600"/>
            <w:vAlign w:val="center"/>
            <w:tcMar>
              <w:top w:w="75" w:type="dxa"/>
              <w:bottom w:w="75" w:type="dxa"/>
              <w:left w:w="85" w:type="dxa"/>
              <w:right w:w="85" w:type="dxa"/>
            </w:tcMar>
          </w:tcPr>
          <w:p>
            <w:pPr>
              <w:spacing w:after="0" w:line="250" w:lineRule="auto"/>
            </w:pPr>
            <w:r>
              <w:rPr>
                <w:sz w:val="18"/>
              </w:rPr>
              <w:t>New Pitch Deck and Financial Model Review-Feedback.pdf</w:t>
            </w:r>
          </w:p>
        </w:tc>
        <w:tc>
          <w:tcPr>
            <w:tcW w:type="dxa" w:w="2491"/>
            <w:vAlign w:val="center"/>
            <w:tcMar>
              <w:top w:w="75" w:type="dxa"/>
              <w:bottom w:w="75" w:type="dxa"/>
              <w:left w:w="85" w:type="dxa"/>
              <w:right w:w="85" w:type="dxa"/>
            </w:tcMar>
          </w:tcPr>
          <w:p>
            <w:pPr>
              <w:spacing w:after="0" w:line="250" w:lineRule="auto"/>
            </w:pPr>
            <w:r>
              <w:rPr>
                <w:sz w:val="18"/>
              </w:rPr>
              <w:t>Retrieved Aug 2026 review; full original.</w:t>
            </w:r>
          </w:p>
        </w:tc>
        <w:tc>
          <w:tcPr>
            <w:tcW w:type="dxa" w:w="3251"/>
            <w:vAlign w:val="center"/>
            <w:tcMar>
              <w:top w:w="75" w:type="dxa"/>
              <w:bottom w:w="75" w:type="dxa"/>
              <w:left w:w="85" w:type="dxa"/>
              <w:right w:w="85" w:type="dxa"/>
            </w:tcMar>
          </w:tcPr>
          <w:p>
            <w:pPr>
              <w:spacing w:after="0" w:line="250" w:lineRule="auto"/>
            </w:pPr>
            <w:r>
              <w:rPr>
                <w:sz w:val="18"/>
              </w:rPr>
              <w:t>Innovation, claims, deck structure and financial-control recommendations.</w:t>
            </w:r>
          </w:p>
        </w:tc>
      </w:tr>
      <w:tr>
        <w:trPr>
          <w:cantSplit/>
        </w:trPr>
        <w:tc>
          <w:tcPr>
            <w:tcW w:type="dxa" w:w="605"/>
            <w:vAlign w:val="center"/>
            <w:tcMar>
              <w:top w:w="75" w:type="dxa"/>
              <w:bottom w:w="75" w:type="dxa"/>
              <w:left w:w="85" w:type="dxa"/>
              <w:right w:w="85" w:type="dxa"/>
            </w:tcMar>
            <w:shd w:fill="F8F1E9"/>
          </w:tcPr>
          <w:p>
            <w:pPr>
              <w:spacing w:after="0" w:line="250" w:lineRule="auto"/>
            </w:pPr>
            <w:r>
              <w:rPr>
                <w:sz w:val="18"/>
              </w:rPr>
              <w:t>S08</w:t>
            </w:r>
          </w:p>
        </w:tc>
        <w:tc>
          <w:tcPr>
            <w:tcW w:type="dxa" w:w="3600"/>
            <w:vAlign w:val="center"/>
            <w:tcMar>
              <w:top w:w="75" w:type="dxa"/>
              <w:bottom w:w="75" w:type="dxa"/>
              <w:left w:w="85" w:type="dxa"/>
              <w:right w:w="85" w:type="dxa"/>
            </w:tcMar>
            <w:shd w:fill="F8F1E9"/>
          </w:tcPr>
          <w:p>
            <w:pPr>
              <w:spacing w:after="0" w:line="250" w:lineRule="auto"/>
            </w:pPr>
            <w:r>
              <w:rPr>
                <w:sz w:val="18"/>
              </w:rPr>
              <w:t>NUTRISYNC_​financial_​model_​rebuilt.xlsx</w:t>
            </w:r>
          </w:p>
        </w:tc>
        <w:tc>
          <w:tcPr>
            <w:tcW w:type="dxa" w:w="2491"/>
            <w:vAlign w:val="center"/>
            <w:tcMar>
              <w:top w:w="75" w:type="dxa"/>
              <w:bottom w:w="75" w:type="dxa"/>
              <w:left w:w="85" w:type="dxa"/>
              <w:right w:w="85" w:type="dxa"/>
            </w:tcMar>
            <w:shd w:fill="F8F1E9"/>
          </w:tcPr>
          <w:p>
            <w:pPr>
              <w:spacing w:after="0" w:line="250" w:lineRule="auto"/>
            </w:pPr>
            <w:r>
              <w:rPr>
                <w:sz w:val="18"/>
              </w:rPr>
              <w:t>Library workbook; reference/extract. Metadata predates some content; document substance governs.</w:t>
            </w:r>
          </w:p>
        </w:tc>
        <w:tc>
          <w:tcPr>
            <w:tcW w:type="dxa" w:w="3251"/>
            <w:vAlign w:val="center"/>
            <w:tcMar>
              <w:top w:w="75" w:type="dxa"/>
              <w:bottom w:w="75" w:type="dxa"/>
              <w:left w:w="85" w:type="dxa"/>
              <w:right w:w="85" w:type="dxa"/>
            </w:tcMar>
            <w:shd w:fill="F8F1E9"/>
          </w:tcPr>
          <w:p>
            <w:pPr>
              <w:spacing w:after="0" w:line="250" w:lineRule="auto"/>
            </w:pPr>
            <w:r>
              <w:rPr>
                <w:sz w:val="18"/>
              </w:rPr>
              <w:t>Formula/funnel principles and explicit later-financing dependence; not re-audited.</w:t>
            </w:r>
          </w:p>
        </w:tc>
      </w:tr>
      <w:tr>
        <w:trPr>
          <w:cantSplit/>
        </w:trPr>
        <w:tc>
          <w:tcPr>
            <w:tcW w:type="dxa" w:w="605"/>
            <w:vAlign w:val="center"/>
            <w:tcMar>
              <w:top w:w="75" w:type="dxa"/>
              <w:bottom w:w="75" w:type="dxa"/>
              <w:left w:w="85" w:type="dxa"/>
              <w:right w:w="85" w:type="dxa"/>
            </w:tcMar>
          </w:tcPr>
          <w:p>
            <w:pPr>
              <w:spacing w:after="0" w:line="250" w:lineRule="auto"/>
            </w:pPr>
            <w:r>
              <w:rPr>
                <w:sz w:val="18"/>
              </w:rPr>
              <w:t>S08a</w:t>
            </w:r>
          </w:p>
        </w:tc>
        <w:tc>
          <w:tcPr>
            <w:tcW w:type="dxa" w:w="3600"/>
            <w:vAlign w:val="center"/>
            <w:tcMar>
              <w:top w:w="75" w:type="dxa"/>
              <w:bottom w:w="75" w:type="dxa"/>
              <w:left w:w="85" w:type="dxa"/>
              <w:right w:w="85" w:type="dxa"/>
            </w:tcMar>
          </w:tcPr>
          <w:p>
            <w:pPr>
              <w:spacing w:after="0" w:line="250" w:lineRule="auto"/>
            </w:pPr>
            <w:r>
              <w:rPr>
                <w:sz w:val="18"/>
              </w:rPr>
              <w:t>NutriSync Finance</w:t>
            </w:r>
          </w:p>
        </w:tc>
        <w:tc>
          <w:tcPr>
            <w:tcW w:type="dxa" w:w="2491"/>
            <w:vAlign w:val="center"/>
            <w:tcMar>
              <w:top w:w="75" w:type="dxa"/>
              <w:bottom w:w="75" w:type="dxa"/>
              <w:left w:w="85" w:type="dxa"/>
              <w:right w:w="85" w:type="dxa"/>
            </w:tcMar>
          </w:tcPr>
          <w:p>
            <w:pPr>
              <w:spacing w:after="0" w:line="250" w:lineRule="auto"/>
            </w:pPr>
            <w:r>
              <w:rPr>
                <w:sz w:val="18"/>
              </w:rPr>
              <w:t>Google Sheets snapshot exported to XLSX; full original export.</w:t>
            </w:r>
          </w:p>
        </w:tc>
        <w:tc>
          <w:tcPr>
            <w:tcW w:type="dxa" w:w="3251"/>
            <w:vAlign w:val="center"/>
            <w:tcMar>
              <w:top w:w="75" w:type="dxa"/>
              <w:bottom w:w="75" w:type="dxa"/>
              <w:left w:w="85" w:type="dxa"/>
              <w:right w:w="85" w:type="dxa"/>
            </w:tcMar>
          </w:tcPr>
          <w:p>
            <w:pPr>
              <w:spacing w:after="0" w:line="250" w:lineRule="auto"/>
            </w:pPr>
            <w:r>
              <w:rPr>
                <w:sz w:val="18"/>
              </w:rPr>
              <w:t>Earlier financial assumptions; not assumed to be the rebuilt workbook.</w:t>
            </w:r>
          </w:p>
        </w:tc>
      </w:tr>
      <w:tr>
        <w:trPr>
          <w:cantSplit/>
        </w:trPr>
        <w:tc>
          <w:tcPr>
            <w:tcW w:type="dxa" w:w="605"/>
            <w:vAlign w:val="center"/>
            <w:tcMar>
              <w:top w:w="75" w:type="dxa"/>
              <w:bottom w:w="75" w:type="dxa"/>
              <w:left w:w="85" w:type="dxa"/>
              <w:right w:w="85" w:type="dxa"/>
            </w:tcMar>
            <w:shd w:fill="F8F1E9"/>
          </w:tcPr>
          <w:p>
            <w:pPr>
              <w:spacing w:after="0" w:line="250" w:lineRule="auto"/>
            </w:pPr>
            <w:r>
              <w:rPr>
                <w:sz w:val="18"/>
              </w:rPr>
              <w:t>S09</w:t>
            </w:r>
          </w:p>
        </w:tc>
        <w:tc>
          <w:tcPr>
            <w:tcW w:type="dxa" w:w="3600"/>
            <w:vAlign w:val="center"/>
            <w:tcMar>
              <w:top w:w="75" w:type="dxa"/>
              <w:bottom w:w="75" w:type="dxa"/>
              <w:left w:w="85" w:type="dxa"/>
              <w:right w:w="85" w:type="dxa"/>
            </w:tcMar>
            <w:shd w:fill="F8F1E9"/>
          </w:tcPr>
          <w:p>
            <w:pPr>
              <w:spacing w:after="0" w:line="250" w:lineRule="auto"/>
            </w:pPr>
            <w:r>
              <w:rPr>
                <w:sz w:val="18"/>
              </w:rPr>
              <w:t>NutriSync_​Project_​Record_​Chat_​Summary_​and_​Amendment_​Log.docx; NutriSync_​Project_​Index_​README.md</w:t>
            </w:r>
          </w:p>
        </w:tc>
        <w:tc>
          <w:tcPr>
            <w:tcW w:type="dxa" w:w="2491"/>
            <w:vAlign w:val="center"/>
            <w:tcMar>
              <w:top w:w="75" w:type="dxa"/>
              <w:bottom w:w="75" w:type="dxa"/>
              <w:left w:w="85" w:type="dxa"/>
              <w:right w:w="85" w:type="dxa"/>
            </w:tcMar>
            <w:shd w:fill="F8F1E9"/>
          </w:tcPr>
          <w:p>
            <w:pPr>
              <w:spacing w:after="0" w:line="250" w:lineRule="auto"/>
            </w:pPr>
            <w:r>
              <w:rPr>
                <w:sz w:val="18"/>
              </w:rPr>
              <w:t>4 Aug 2026; reference/extract.</w:t>
            </w:r>
          </w:p>
        </w:tc>
        <w:tc>
          <w:tcPr>
            <w:tcW w:type="dxa" w:w="3251"/>
            <w:vAlign w:val="center"/>
            <w:tcMar>
              <w:top w:w="75" w:type="dxa"/>
              <w:bottom w:w="75" w:type="dxa"/>
              <w:left w:w="85" w:type="dxa"/>
              <w:right w:w="85" w:type="dxa"/>
            </w:tcMar>
            <w:shd w:fill="F8F1E9"/>
          </w:tcPr>
          <w:p>
            <w:pPr>
              <w:spacing w:after="0" w:line="250" w:lineRule="auto"/>
            </w:pPr>
            <w:r>
              <w:rPr>
                <w:sz w:val="18"/>
              </w:rPr>
              <w:t>Legal document register, controller, retention and cloud/transfer controls.</w:t>
            </w:r>
          </w:p>
        </w:tc>
      </w:tr>
      <w:tr>
        <w:trPr>
          <w:cantSplit/>
        </w:trPr>
        <w:tc>
          <w:tcPr>
            <w:tcW w:type="dxa" w:w="605"/>
            <w:vAlign w:val="center"/>
            <w:tcMar>
              <w:top w:w="75" w:type="dxa"/>
              <w:bottom w:w="75" w:type="dxa"/>
              <w:left w:w="85" w:type="dxa"/>
              <w:right w:w="85" w:type="dxa"/>
            </w:tcMar>
          </w:tcPr>
          <w:p>
            <w:pPr>
              <w:spacing w:after="0" w:line="250" w:lineRule="auto"/>
            </w:pPr>
            <w:r>
              <w:rPr>
                <w:sz w:val="18"/>
              </w:rPr>
              <w:t>S09a</w:t>
            </w:r>
          </w:p>
        </w:tc>
        <w:tc>
          <w:tcPr>
            <w:tcW w:type="dxa" w:w="3600"/>
            <w:vAlign w:val="center"/>
            <w:tcMar>
              <w:top w:w="75" w:type="dxa"/>
              <w:bottom w:w="75" w:type="dxa"/>
              <w:left w:w="85" w:type="dxa"/>
              <w:right w:w="85" w:type="dxa"/>
            </w:tcMar>
          </w:tcPr>
          <w:p>
            <w:pPr>
              <w:spacing w:after="0" w:line="250" w:lineRule="auto"/>
            </w:pPr>
            <w:r>
              <w:rPr>
                <w:sz w:val="18"/>
              </w:rPr>
              <w:t>NutriSync_​Counsel_​Review_​Brief_​Controller_​Cookies_​Transfers.docx and bilingual final counsel-review set</w:t>
            </w:r>
          </w:p>
        </w:tc>
        <w:tc>
          <w:tcPr>
            <w:tcW w:type="dxa" w:w="2491"/>
            <w:vAlign w:val="center"/>
            <w:tcMar>
              <w:top w:w="75" w:type="dxa"/>
              <w:bottom w:w="75" w:type="dxa"/>
              <w:left w:w="85" w:type="dxa"/>
              <w:right w:w="85" w:type="dxa"/>
            </w:tcMar>
          </w:tcPr>
          <w:p>
            <w:pPr>
              <w:spacing w:after="0" w:line="250" w:lineRule="auto"/>
            </w:pPr>
            <w:r>
              <w:rPr>
                <w:sz w:val="18"/>
              </w:rPr>
              <w:t>4 Aug 2026; reference/extract, not legal sign-off.</w:t>
            </w:r>
          </w:p>
        </w:tc>
        <w:tc>
          <w:tcPr>
            <w:tcW w:type="dxa" w:w="3251"/>
            <w:vAlign w:val="center"/>
            <w:tcMar>
              <w:top w:w="75" w:type="dxa"/>
              <w:bottom w:w="75" w:type="dxa"/>
              <w:left w:w="85" w:type="dxa"/>
              <w:right w:w="85" w:type="dxa"/>
            </w:tcMar>
          </w:tcPr>
          <w:p>
            <w:pPr>
              <w:spacing w:after="0" w:line="250" w:lineRule="auto"/>
            </w:pPr>
            <w:r>
              <w:rPr>
                <w:sz w:val="18"/>
              </w:rPr>
              <w:t>Consent, privacy, cookie/SDK and release-readiness dependencies.</w:t>
            </w:r>
          </w:p>
        </w:tc>
      </w:tr>
      <w:tr>
        <w:trPr>
          <w:cantSplit/>
        </w:trPr>
        <w:tc>
          <w:tcPr>
            <w:tcW w:type="dxa" w:w="605"/>
            <w:vAlign w:val="center"/>
            <w:tcMar>
              <w:top w:w="75" w:type="dxa"/>
              <w:bottom w:w="75" w:type="dxa"/>
              <w:left w:w="85" w:type="dxa"/>
              <w:right w:w="85" w:type="dxa"/>
            </w:tcMar>
            <w:shd w:fill="F8F1E9"/>
          </w:tcPr>
          <w:p>
            <w:pPr>
              <w:spacing w:after="0" w:line="250" w:lineRule="auto"/>
            </w:pPr>
            <w:r>
              <w:rPr>
                <w:sz w:val="18"/>
              </w:rPr>
              <w:t>S09b</w:t>
            </w:r>
          </w:p>
        </w:tc>
        <w:tc>
          <w:tcPr>
            <w:tcW w:type="dxa" w:w="3600"/>
            <w:vAlign w:val="center"/>
            <w:tcMar>
              <w:top w:w="75" w:type="dxa"/>
              <w:bottom w:w="75" w:type="dxa"/>
              <w:left w:w="85" w:type="dxa"/>
              <w:right w:w="85" w:type="dxa"/>
            </w:tcMar>
            <w:shd w:fill="F8F1E9"/>
          </w:tcPr>
          <w:p>
            <w:pPr>
              <w:spacing w:after="0" w:line="250" w:lineRule="auto"/>
            </w:pPr>
            <w:r>
              <w:rPr>
                <w:sz w:val="18"/>
              </w:rPr>
              <w:t>NutriSync_​Collective_​Guia_​CB_​vs_​SL_​Madrid_​ES.docx</w:t>
            </w:r>
          </w:p>
        </w:tc>
        <w:tc>
          <w:tcPr>
            <w:tcW w:type="dxa" w:w="2491"/>
            <w:vAlign w:val="center"/>
            <w:tcMar>
              <w:top w:w="75" w:type="dxa"/>
              <w:bottom w:w="75" w:type="dxa"/>
              <w:left w:w="85" w:type="dxa"/>
              <w:right w:w="85" w:type="dxa"/>
            </w:tcMar>
            <w:shd w:fill="F8F1E9"/>
          </w:tcPr>
          <w:p>
            <w:pPr>
              <w:spacing w:after="0" w:line="250" w:lineRule="auto"/>
            </w:pPr>
            <w:r>
              <w:rPr>
                <w:sz w:val="18"/>
              </w:rPr>
              <w:t>13 Aug 2026; reference/extract.</w:t>
            </w:r>
          </w:p>
        </w:tc>
        <w:tc>
          <w:tcPr>
            <w:tcW w:type="dxa" w:w="3251"/>
            <w:vAlign w:val="center"/>
            <w:tcMar>
              <w:top w:w="75" w:type="dxa"/>
              <w:bottom w:w="75" w:type="dxa"/>
              <w:left w:w="85" w:type="dxa"/>
              <w:right w:w="85" w:type="dxa"/>
            </w:tcMar>
            <w:shd w:fill="F8F1E9"/>
          </w:tcPr>
          <w:p>
            <w:pPr>
              <w:spacing w:after="0" w:line="250" w:lineRule="auto"/>
            </w:pPr>
            <w:r>
              <w:rPr>
                <w:sz w:val="18"/>
              </w:rPr>
              <w:t>Corporate/IP questions; no incorporation action taken here.</w:t>
            </w:r>
          </w:p>
        </w:tc>
      </w:tr>
      <w:tr>
        <w:trPr>
          <w:cantSplit/>
        </w:trPr>
        <w:tc>
          <w:tcPr>
            <w:tcW w:type="dxa" w:w="605"/>
            <w:vAlign w:val="center"/>
            <w:tcMar>
              <w:top w:w="75" w:type="dxa"/>
              <w:bottom w:w="75" w:type="dxa"/>
              <w:left w:w="85" w:type="dxa"/>
              <w:right w:w="85" w:type="dxa"/>
            </w:tcMar>
          </w:tcPr>
          <w:p>
            <w:pPr>
              <w:spacing w:after="0" w:line="250" w:lineRule="auto"/>
            </w:pPr>
            <w:r>
              <w:rPr>
                <w:sz w:val="18"/>
              </w:rPr>
              <w:t>S10</w:t>
            </w:r>
          </w:p>
        </w:tc>
        <w:tc>
          <w:tcPr>
            <w:tcW w:type="dxa" w:w="3600"/>
            <w:vAlign w:val="center"/>
            <w:tcMar>
              <w:top w:w="75" w:type="dxa"/>
              <w:bottom w:w="75" w:type="dxa"/>
              <w:left w:w="85" w:type="dxa"/>
              <w:right w:w="85" w:type="dxa"/>
            </w:tcMar>
          </w:tcPr>
          <w:p>
            <w:pPr>
              <w:spacing w:after="0" w:line="250" w:lineRule="auto"/>
            </w:pPr>
            <w:r>
              <w:rPr>
                <w:sz w:val="18"/>
              </w:rPr>
              <w:t>Draft-Plan-Lanzamiento-8Oct-v2 (1).html</w:t>
            </w:r>
          </w:p>
        </w:tc>
        <w:tc>
          <w:tcPr>
            <w:tcW w:type="dxa" w:w="2491"/>
            <w:vAlign w:val="center"/>
            <w:tcMar>
              <w:top w:w="75" w:type="dxa"/>
              <w:bottom w:w="75" w:type="dxa"/>
              <w:left w:w="85" w:type="dxa"/>
              <w:right w:w="85" w:type="dxa"/>
            </w:tcMar>
          </w:tcPr>
          <w:p>
            <w:pPr>
              <w:spacing w:after="0" w:line="250" w:lineRule="auto"/>
            </w:pPr>
            <w:r>
              <w:rPr>
                <w:sz w:val="18"/>
              </w:rPr>
              <w:t>August draft; full original.</w:t>
            </w:r>
          </w:p>
        </w:tc>
        <w:tc>
          <w:tcPr>
            <w:tcW w:type="dxa" w:w="3251"/>
            <w:vAlign w:val="center"/>
            <w:tcMar>
              <w:top w:w="75" w:type="dxa"/>
              <w:bottom w:w="75" w:type="dxa"/>
              <w:left w:w="85" w:type="dxa"/>
              <w:right w:w="85" w:type="dxa"/>
            </w:tcMar>
          </w:tcPr>
          <w:p>
            <w:pPr>
              <w:spacing w:after="0" w:line="250" w:lineRule="auto"/>
            </w:pPr>
            <w:r>
              <w:rPr>
                <w:sz w:val="18"/>
              </w:rPr>
              <w:t>Historical launch work; dates must be confirmed rather than assumed.</w:t>
            </w:r>
          </w:p>
        </w:tc>
      </w:tr>
      <w:tr>
        <w:trPr>
          <w:cantSplit/>
        </w:trPr>
        <w:tc>
          <w:tcPr>
            <w:tcW w:type="dxa" w:w="605"/>
            <w:vAlign w:val="center"/>
            <w:tcMar>
              <w:top w:w="75" w:type="dxa"/>
              <w:bottom w:w="75" w:type="dxa"/>
              <w:left w:w="85" w:type="dxa"/>
              <w:right w:w="85" w:type="dxa"/>
            </w:tcMar>
            <w:shd w:fill="F8F1E9"/>
          </w:tcPr>
          <w:p>
            <w:pPr>
              <w:spacing w:after="0" w:line="250" w:lineRule="auto"/>
            </w:pPr>
            <w:r>
              <w:rPr>
                <w:sz w:val="18"/>
              </w:rPr>
              <w:t>S11</w:t>
            </w:r>
          </w:p>
        </w:tc>
        <w:tc>
          <w:tcPr>
            <w:tcW w:type="dxa" w:w="3600"/>
            <w:vAlign w:val="center"/>
            <w:tcMar>
              <w:top w:w="75" w:type="dxa"/>
              <w:bottom w:w="75" w:type="dxa"/>
              <w:left w:w="85" w:type="dxa"/>
              <w:right w:w="85" w:type="dxa"/>
            </w:tcMar>
            <w:shd w:fill="F8F1E9"/>
          </w:tcPr>
          <w:p>
            <w:pPr>
              <w:spacing w:after="0" w:line="250" w:lineRule="auto"/>
            </w:pPr>
            <w:r>
              <w:rPr>
                <w:sz w:val="18"/>
              </w:rPr>
              <w:t>Meeting 1 notes with Tony and the founder instructions in this conversation</w:t>
            </w:r>
          </w:p>
        </w:tc>
        <w:tc>
          <w:tcPr>
            <w:tcW w:type="dxa" w:w="2491"/>
            <w:vAlign w:val="center"/>
            <w:tcMar>
              <w:top w:w="75" w:type="dxa"/>
              <w:bottom w:w="75" w:type="dxa"/>
              <w:left w:w="85" w:type="dxa"/>
              <w:right w:w="85" w:type="dxa"/>
            </w:tcMar>
            <w:shd w:fill="F8F1E9"/>
          </w:tcPr>
          <w:p>
            <w:pPr>
              <w:spacing w:after="0" w:line="250" w:lineRule="auto"/>
            </w:pPr>
            <w:r>
              <w:rPr>
                <w:sz w:val="18"/>
              </w:rPr>
              <w:t>User supplied; Annex F, with 8 Sep 2026 brand clarification in Annex J.</w:t>
            </w:r>
          </w:p>
        </w:tc>
        <w:tc>
          <w:tcPr>
            <w:tcW w:type="dxa" w:w="3251"/>
            <w:vAlign w:val="center"/>
            <w:tcMar>
              <w:top w:w="75" w:type="dxa"/>
              <w:bottom w:w="75" w:type="dxa"/>
              <w:left w:w="85" w:type="dxa"/>
              <w:right w:w="85" w:type="dxa"/>
            </w:tcMar>
            <w:shd w:fill="F8F1E9"/>
          </w:tcPr>
          <w:p>
            <w:pPr>
              <w:spacing w:after="0" w:line="250" w:lineRule="auto"/>
            </w:pPr>
            <w:r>
              <w:rPr>
                <w:sz w:val="18"/>
              </w:rPr>
              <w:t>Investor questions, funding scope, own-capacity plan, expansion and woman-centred/community-led positioning.</w:t>
            </w:r>
          </w:p>
        </w:tc>
      </w:tr>
      <w:tr>
        <w:trPr>
          <w:cantSplit/>
        </w:trPr>
        <w:tc>
          <w:tcPr>
            <w:tcW w:type="dxa" w:w="605"/>
            <w:vAlign w:val="center"/>
            <w:tcMar>
              <w:top w:w="75" w:type="dxa"/>
              <w:bottom w:w="75" w:type="dxa"/>
              <w:left w:w="85" w:type="dxa"/>
              <w:right w:w="85" w:type="dxa"/>
            </w:tcMar>
          </w:tcPr>
          <w:p>
            <w:pPr>
              <w:spacing w:after="0" w:line="250" w:lineRule="auto"/>
            </w:pPr>
            <w:r>
              <w:rPr>
                <w:sz w:val="18"/>
              </w:rPr>
              <w:t>S12</w:t>
            </w:r>
          </w:p>
        </w:tc>
        <w:tc>
          <w:tcPr>
            <w:tcW w:type="dxa" w:w="3600"/>
            <w:vAlign w:val="center"/>
            <w:tcMar>
              <w:top w:w="75" w:type="dxa"/>
              <w:bottom w:w="75" w:type="dxa"/>
              <w:left w:w="85" w:type="dxa"/>
              <w:right w:w="85" w:type="dxa"/>
            </w:tcMar>
          </w:tcPr>
          <w:p>
            <w:pPr>
              <w:spacing w:after="0" w:line="250" w:lineRule="auto"/>
            </w:pPr>
            <w:r>
              <w:rPr>
                <w:sz w:val="18"/>
              </w:rPr>
              <w:t>User-supplied Oura-related screenshot</w:t>
            </w:r>
          </w:p>
        </w:tc>
        <w:tc>
          <w:tcPr>
            <w:tcW w:type="dxa" w:w="2491"/>
            <w:vAlign w:val="center"/>
            <w:tcMar>
              <w:top w:w="75" w:type="dxa"/>
              <w:bottom w:w="75" w:type="dxa"/>
              <w:left w:w="85" w:type="dxa"/>
              <w:right w:w="85" w:type="dxa"/>
            </w:tcMar>
          </w:tcPr>
          <w:p>
            <w:pPr>
              <w:spacing w:after="0" w:line="250" w:lineRule="auto"/>
            </w:pPr>
            <w:r>
              <w:rPr>
                <w:sz w:val="18"/>
              </w:rPr>
              <w:t>Conversation image; included in the source bundle and discussed in Annex G.</w:t>
            </w:r>
          </w:p>
        </w:tc>
        <w:tc>
          <w:tcPr>
            <w:tcW w:type="dxa" w:w="3251"/>
            <w:vAlign w:val="center"/>
            <w:tcMar>
              <w:top w:w="75" w:type="dxa"/>
              <w:bottom w:w="75" w:type="dxa"/>
              <w:left w:w="85" w:type="dxa"/>
              <w:right w:w="85" w:type="dxa"/>
            </w:tcMar>
          </w:tcPr>
          <w:p>
            <w:pPr>
              <w:spacing w:after="0" w:line="250" w:lineRule="auto"/>
            </w:pPr>
            <w:r>
              <w:rPr>
                <w:sz w:val="18"/>
              </w:rPr>
              <w:t>Output transparency and claims risk; not a verified litigation record.</w:t>
            </w:r>
          </w:p>
        </w:tc>
      </w:tr>
    </w:tbl>
    <w:p>
      <w:pPr>
        <w:spacing w:after="20" w:before="0" w:line="72" w:lineRule="auto"/>
      </w:pPr>
      <w:r>
        <w:rPr>
          <w:sz w:val="4"/>
        </w:rPr>
      </w:r>
    </w:p>
    <w:p>
      <w:r>
        <w:rPr/>
        <w:t xml:space="preserve">The earlier conversation titles </w:t>
      </w:r>
      <w:r>
        <w:rPr>
          <w:b/>
        </w:rPr>
        <w:t>“Company Write-Up Request”</w:t>
      </w:r>
      <w:r>
        <w:rPr/>
        <w:t xml:space="preserve"> and </w:t>
      </w:r>
      <w:r>
        <w:rPr>
          <w:b/>
        </w:rPr>
        <w:t>“Competitor Analysis Overview”</w:t>
      </w:r>
      <w:r>
        <w:rPr/>
        <w:t xml:space="preserve"> are carried forward through S05 and S04/S07 respectively. They are not additional independent market studies. The earlier healthcare-led ATL/BTL discussion is reflected in the distribution and campaign design; no missing original transcript is represented as an attached file.</w:t>
      </w:r>
    </w:p>
    <w:p>
      <w:bookmarkStart w:id="22" w:name="section_22"/>
      <w:pPr>
        <w:pStyle w:val="Heading1"/>
      </w:pPr>
      <w:r>
        <w:rPr/>
        <w:t>Annex B. Product and innovation source brief</w:t>
      </w:r>
      <w:bookmarkEnd w:id="22"/>
    </w:p>
    <w:p>
      <w:r>
        <w:rPr>
          <w:b/>
        </w:rPr>
        <w:t>Proposal 32 continuity.</w:t>
      </w:r>
      <w:r>
        <w:rPr/>
        <w:t xml:space="preserve"> Preserve submitted-photo logging with an editable draft; activity capture at home, outdoors or in a gym; optional wearable signals; self-reported mood/energy; source provenance; within-person observations; and a complete manual/non-wearable route. Its market tables are planning bases, not automatically paying customers. Candidate AI outputs remain different from confirmed user records. [S01, S01a]</w:t>
      </w:r>
    </w:p>
    <w:p>
      <w:r>
        <w:rPr>
          <w:b/>
        </w:rPr>
        <w:t>Ten Types application.</w:t>
      </w:r>
      <w:r>
        <w:rPr/>
        <w:t xml:space="preserve"> The framework is retained without the claim that ticking ten boxes establishes commercial success. Original maturity labels are historical statements requiring current verification. [S03, S03a]</w:t>
      </w:r>
    </w:p>
    <w:tbl>
      <w:tblPr>
        <w:tblW w:type="auto" w:w="0"/>
        <w:jc w:val="center"/>
        <w:tblLayout w:type="fixed"/>
        <w:tblLook w:firstColumn="1" w:firstRow="1" w:lastColumn="0" w:lastRow="0" w:noHBand="0" w:noVBand="1" w:val="04A0"/>
      </w:tblPr>
      <w:tblGrid>
        <w:gridCol w:w="2419"/>
        <w:gridCol w:w="3773"/>
        <w:gridCol w:w="3755"/>
      </w:tblGrid>
      <w:tr>
        <w:trPr>
          <w:cantSplit/>
          <w:tblHeader/>
        </w:trPr>
        <w:tc>
          <w:tcPr>
            <w:tcW w:type="dxa" w:w="2419"/>
            <w:vAlign w:val="center"/>
            <w:tcMar>
              <w:top w:w="75" w:type="dxa"/>
              <w:bottom w:w="75" w:type="dxa"/>
              <w:left w:w="85" w:type="dxa"/>
              <w:right w:w="85" w:type="dxa"/>
            </w:tcMar>
            <w:shd w:fill="282220"/>
          </w:tcPr>
          <w:p>
            <w:pPr>
              <w:spacing w:after="0" w:line="250" w:lineRule="auto"/>
            </w:pPr>
            <w:r>
              <w:rPr>
                <w:b/>
                <w:color w:val="FFFFFF"/>
                <w:sz w:val="18"/>
              </w:rPr>
              <w:t>Type</w:t>
            </w:r>
          </w:p>
        </w:tc>
        <w:tc>
          <w:tcPr>
            <w:tcW w:type="dxa" w:w="3773"/>
            <w:vAlign w:val="center"/>
            <w:tcMar>
              <w:top w:w="75" w:type="dxa"/>
              <w:bottom w:w="75" w:type="dxa"/>
              <w:left w:w="85" w:type="dxa"/>
              <w:right w:w="85" w:type="dxa"/>
            </w:tcMar>
            <w:shd w:fill="282220"/>
          </w:tcPr>
          <w:p>
            <w:pPr>
              <w:spacing w:after="0" w:line="250" w:lineRule="auto"/>
            </w:pPr>
            <w:r>
              <w:rPr>
                <w:b/>
                <w:color w:val="FFFFFF"/>
                <w:sz w:val="18"/>
              </w:rPr>
              <w:t>Application in this proposal</w:t>
            </w:r>
          </w:p>
        </w:tc>
        <w:tc>
          <w:tcPr>
            <w:tcW w:type="dxa" w:w="3755"/>
            <w:vAlign w:val="center"/>
            <w:tcMar>
              <w:top w:w="75" w:type="dxa"/>
              <w:bottom w:w="75" w:type="dxa"/>
              <w:left w:w="85" w:type="dxa"/>
              <w:right w:w="85" w:type="dxa"/>
            </w:tcMar>
            <w:shd w:fill="282220"/>
          </w:tcPr>
          <w:p>
            <w:pPr>
              <w:spacing w:after="0" w:line="250" w:lineRule="auto"/>
            </w:pPr>
            <w:r>
              <w:rPr>
                <w:b/>
                <w:color w:val="FFFFFF"/>
                <w:sz w:val="18"/>
              </w:rPr>
              <w:t>Evidence of progress</w:t>
            </w:r>
          </w:p>
        </w:tc>
      </w:tr>
      <w:tr>
        <w:trPr>
          <w:cantSplit/>
        </w:trPr>
        <w:tc>
          <w:tcPr>
            <w:tcW w:type="dxa" w:w="2419"/>
            <w:vAlign w:val="center"/>
            <w:tcMar>
              <w:top w:w="75" w:type="dxa"/>
              <w:bottom w:w="75" w:type="dxa"/>
              <w:left w:w="85" w:type="dxa"/>
              <w:right w:w="85" w:type="dxa"/>
            </w:tcMar>
            <w:shd w:fill="F8F1E9"/>
          </w:tcPr>
          <w:p>
            <w:pPr>
              <w:spacing w:after="0" w:line="250" w:lineRule="auto"/>
            </w:pPr>
            <w:r>
              <w:rPr>
                <w:sz w:val="18"/>
              </w:rPr>
              <w:t>Profit model</w:t>
            </w:r>
          </w:p>
        </w:tc>
        <w:tc>
          <w:tcPr>
            <w:tcW w:type="dxa" w:w="3773"/>
            <w:vAlign w:val="center"/>
            <w:tcMar>
              <w:top w:w="75" w:type="dxa"/>
              <w:bottom w:w="75" w:type="dxa"/>
              <w:left w:w="85" w:type="dxa"/>
              <w:right w:w="85" w:type="dxa"/>
            </w:tcMar>
            <w:shd w:fill="F8F1E9"/>
          </w:tcPr>
          <w:p>
            <w:pPr>
              <w:spacing w:after="0" w:line="250" w:lineRule="auto"/>
            </w:pPr>
            <w:r>
              <w:rPr>
                <w:sz w:val="18"/>
              </w:rPr>
              <w:t>B2C subscriptions, B2B licences and separately reported services/partners.</w:t>
            </w:r>
          </w:p>
        </w:tc>
        <w:tc>
          <w:tcPr>
            <w:tcW w:type="dxa" w:w="3755"/>
            <w:vAlign w:val="center"/>
            <w:tcMar>
              <w:top w:w="75" w:type="dxa"/>
              <w:bottom w:w="75" w:type="dxa"/>
              <w:left w:w="85" w:type="dxa"/>
              <w:right w:w="85" w:type="dxa"/>
            </w:tcMar>
            <w:shd w:fill="F8F1E9"/>
          </w:tcPr>
          <w:p>
            <w:pPr>
              <w:spacing w:after="0" w:line="250" w:lineRule="auto"/>
            </w:pPr>
            <w:r>
              <w:rPr>
                <w:sz w:val="18"/>
              </w:rPr>
              <w:t>Recurring contribution and renewal.</w:t>
            </w:r>
          </w:p>
        </w:tc>
      </w:tr>
      <w:tr>
        <w:trPr>
          <w:cantSplit/>
        </w:trPr>
        <w:tc>
          <w:tcPr>
            <w:tcW w:type="dxa" w:w="2419"/>
            <w:vAlign w:val="center"/>
            <w:tcMar>
              <w:top w:w="75" w:type="dxa"/>
              <w:bottom w:w="75" w:type="dxa"/>
              <w:left w:w="85" w:type="dxa"/>
              <w:right w:w="85" w:type="dxa"/>
            </w:tcMar>
          </w:tcPr>
          <w:p>
            <w:pPr>
              <w:spacing w:after="0" w:line="250" w:lineRule="auto"/>
            </w:pPr>
            <w:r>
              <w:rPr>
                <w:sz w:val="18"/>
              </w:rPr>
              <w:t>Network</w:t>
            </w:r>
          </w:p>
        </w:tc>
        <w:tc>
          <w:tcPr>
            <w:tcW w:type="dxa" w:w="3773"/>
            <w:vAlign w:val="center"/>
            <w:tcMar>
              <w:top w:w="75" w:type="dxa"/>
              <w:bottom w:w="75" w:type="dxa"/>
              <w:left w:w="85" w:type="dxa"/>
              <w:right w:w="85" w:type="dxa"/>
            </w:tcMar>
          </w:tcPr>
          <w:p>
            <w:pPr>
              <w:spacing w:after="0" w:line="250" w:lineRule="auto"/>
            </w:pPr>
            <w:r>
              <w:rPr>
                <w:sz w:val="18"/>
              </w:rPr>
              <w:t>Women and community hosts, experts, gyms, institutions, employers and approved wearable routes.</w:t>
            </w:r>
          </w:p>
        </w:tc>
        <w:tc>
          <w:tcPr>
            <w:tcW w:type="dxa" w:w="3755"/>
            <w:vAlign w:val="center"/>
            <w:tcMar>
              <w:top w:w="75" w:type="dxa"/>
              <w:bottom w:w="75" w:type="dxa"/>
              <w:left w:w="85" w:type="dxa"/>
              <w:right w:w="85" w:type="dxa"/>
            </w:tcMar>
          </w:tcPr>
          <w:p>
            <w:pPr>
              <w:spacing w:after="0" w:line="250" w:lineRule="auto"/>
            </w:pPr>
            <w:r>
              <w:rPr>
                <w:sz w:val="18"/>
              </w:rPr>
              <w:t>Productive relationships, not logos.</w:t>
            </w:r>
          </w:p>
        </w:tc>
      </w:tr>
      <w:tr>
        <w:trPr>
          <w:cantSplit/>
        </w:trPr>
        <w:tc>
          <w:tcPr>
            <w:tcW w:type="dxa" w:w="2419"/>
            <w:vAlign w:val="center"/>
            <w:tcMar>
              <w:top w:w="75" w:type="dxa"/>
              <w:bottom w:w="75" w:type="dxa"/>
              <w:left w:w="85" w:type="dxa"/>
              <w:right w:w="85" w:type="dxa"/>
            </w:tcMar>
            <w:shd w:fill="F8F1E9"/>
          </w:tcPr>
          <w:p>
            <w:pPr>
              <w:spacing w:after="0" w:line="250" w:lineRule="auto"/>
            </w:pPr>
            <w:r>
              <w:rPr>
                <w:sz w:val="18"/>
              </w:rPr>
              <w:t>Structure</w:t>
            </w:r>
          </w:p>
        </w:tc>
        <w:tc>
          <w:tcPr>
            <w:tcW w:type="dxa" w:w="3773"/>
            <w:vAlign w:val="center"/>
            <w:tcMar>
              <w:top w:w="75" w:type="dxa"/>
              <w:bottom w:w="75" w:type="dxa"/>
              <w:left w:w="85" w:type="dxa"/>
              <w:right w:w="85" w:type="dxa"/>
            </w:tcMar>
            <w:shd w:fill="F8F1E9"/>
          </w:tcPr>
          <w:p>
            <w:pPr>
              <w:spacing w:after="0" w:line="250" w:lineRule="auto"/>
            </w:pPr>
            <w:r>
              <w:rPr>
                <w:sz w:val="18"/>
              </w:rPr>
              <w:t>Accountable founders, member feedback and independent editorial, safety and privacy responsibility.</w:t>
            </w:r>
          </w:p>
        </w:tc>
        <w:tc>
          <w:tcPr>
            <w:tcW w:type="dxa" w:w="3755"/>
            <w:vAlign w:val="center"/>
            <w:tcMar>
              <w:top w:w="75" w:type="dxa"/>
              <w:bottom w:w="75" w:type="dxa"/>
              <w:left w:w="85" w:type="dxa"/>
              <w:right w:w="85" w:type="dxa"/>
            </w:tcMar>
            <w:shd w:fill="F8F1E9"/>
          </w:tcPr>
          <w:p>
            <w:pPr>
              <w:spacing w:after="0" w:line="250" w:lineRule="auto"/>
            </w:pPr>
            <w:r>
              <w:rPr>
                <w:sz w:val="18"/>
              </w:rPr>
              <w:t>Named responsibility and documented decisions.</w:t>
            </w:r>
          </w:p>
        </w:tc>
      </w:tr>
      <w:tr>
        <w:trPr>
          <w:cantSplit/>
        </w:trPr>
        <w:tc>
          <w:tcPr>
            <w:tcW w:type="dxa" w:w="2419"/>
            <w:vAlign w:val="center"/>
            <w:tcMar>
              <w:top w:w="75" w:type="dxa"/>
              <w:bottom w:w="75" w:type="dxa"/>
              <w:left w:w="85" w:type="dxa"/>
              <w:right w:w="85" w:type="dxa"/>
            </w:tcMar>
          </w:tcPr>
          <w:p>
            <w:pPr>
              <w:spacing w:after="0" w:line="250" w:lineRule="auto"/>
            </w:pPr>
            <w:r>
              <w:rPr>
                <w:sz w:val="18"/>
              </w:rPr>
              <w:t>Process</w:t>
            </w:r>
          </w:p>
        </w:tc>
        <w:tc>
          <w:tcPr>
            <w:tcW w:type="dxa" w:w="3773"/>
            <w:vAlign w:val="center"/>
            <w:tcMar>
              <w:top w:w="75" w:type="dxa"/>
              <w:bottom w:w="75" w:type="dxa"/>
              <w:left w:w="85" w:type="dxa"/>
              <w:right w:w="85" w:type="dxa"/>
            </w:tcMar>
          </w:tcPr>
          <w:p>
            <w:pPr>
              <w:spacing w:after="0" w:line="250" w:lineRule="auto"/>
            </w:pPr>
            <w:r>
              <w:rPr>
                <w:sz w:val="18"/>
              </w:rPr>
              <w:t>Co-design with women; connect voluntary action and reflection with uncertainty-aware guidance.</w:t>
            </w:r>
          </w:p>
        </w:tc>
        <w:tc>
          <w:tcPr>
            <w:tcW w:type="dxa" w:w="3755"/>
            <w:vAlign w:val="center"/>
            <w:tcMar>
              <w:top w:w="75" w:type="dxa"/>
              <w:bottom w:w="75" w:type="dxa"/>
              <w:left w:w="85" w:type="dxa"/>
              <w:right w:w="85" w:type="dxa"/>
            </w:tcMar>
          </w:tcPr>
          <w:p>
            <w:pPr>
              <w:spacing w:after="0" w:line="250" w:lineRule="auto"/>
            </w:pPr>
            <w:r>
              <w:rPr>
                <w:sz w:val="18"/>
              </w:rPr>
              <w:t>Calibration and appropriate evaluation.</w:t>
            </w:r>
          </w:p>
        </w:tc>
      </w:tr>
      <w:tr>
        <w:trPr>
          <w:cantSplit/>
        </w:trPr>
        <w:tc>
          <w:tcPr>
            <w:tcW w:type="dxa" w:w="2419"/>
            <w:vAlign w:val="center"/>
            <w:tcMar>
              <w:top w:w="75" w:type="dxa"/>
              <w:bottom w:w="75" w:type="dxa"/>
              <w:left w:w="85" w:type="dxa"/>
              <w:right w:w="85" w:type="dxa"/>
            </w:tcMar>
            <w:shd w:fill="F8F1E9"/>
          </w:tcPr>
          <w:p>
            <w:pPr>
              <w:spacing w:after="0" w:line="250" w:lineRule="auto"/>
            </w:pPr>
            <w:r>
              <w:rPr>
                <w:sz w:val="18"/>
              </w:rPr>
              <w:t>Product performance</w:t>
            </w:r>
          </w:p>
        </w:tc>
        <w:tc>
          <w:tcPr>
            <w:tcW w:type="dxa" w:w="3773"/>
            <w:vAlign w:val="center"/>
            <w:tcMar>
              <w:top w:w="75" w:type="dxa"/>
              <w:bottom w:w="75" w:type="dxa"/>
              <w:left w:w="85" w:type="dxa"/>
              <w:right w:w="85" w:type="dxa"/>
            </w:tcMar>
            <w:shd w:fill="F8F1E9"/>
          </w:tcPr>
          <w:p>
            <w:pPr>
              <w:spacing w:after="0" w:line="250" w:lineRule="auto"/>
            </w:pPr>
            <w:r>
              <w:rPr>
                <w:sz w:val="18"/>
              </w:rPr>
              <w:t>Cycle-aware guidance responding to her everyday needs across nutrition, movement and wellbeing.</w:t>
            </w:r>
          </w:p>
        </w:tc>
        <w:tc>
          <w:tcPr>
            <w:tcW w:type="dxa" w:w="3755"/>
            <w:vAlign w:val="center"/>
            <w:tcMar>
              <w:top w:w="75" w:type="dxa"/>
              <w:bottom w:w="75" w:type="dxa"/>
              <w:left w:w="85" w:type="dxa"/>
              <w:right w:w="85" w:type="dxa"/>
            </w:tcMar>
            <w:shd w:fill="F8F1E9"/>
          </w:tcPr>
          <w:p>
            <w:pPr>
              <w:spacing w:after="0" w:line="250" w:lineRule="auto"/>
            </w:pPr>
            <w:r>
              <w:rPr>
                <w:sz w:val="18"/>
              </w:rPr>
              <w:t>Usefulness, completion and safe operation.</w:t>
            </w:r>
          </w:p>
        </w:tc>
      </w:tr>
      <w:tr>
        <w:trPr>
          <w:cantSplit/>
        </w:trPr>
        <w:tc>
          <w:tcPr>
            <w:tcW w:type="dxa" w:w="2419"/>
            <w:vAlign w:val="center"/>
            <w:tcMar>
              <w:top w:w="75" w:type="dxa"/>
              <w:bottom w:w="75" w:type="dxa"/>
              <w:left w:w="85" w:type="dxa"/>
              <w:right w:w="85" w:type="dxa"/>
            </w:tcMar>
          </w:tcPr>
          <w:p>
            <w:pPr>
              <w:spacing w:after="0" w:line="250" w:lineRule="auto"/>
            </w:pPr>
            <w:r>
              <w:rPr>
                <w:sz w:val="18"/>
              </w:rPr>
              <w:t>Product system</w:t>
            </w:r>
          </w:p>
        </w:tc>
        <w:tc>
          <w:tcPr>
            <w:tcW w:type="dxa" w:w="3773"/>
            <w:vAlign w:val="center"/>
            <w:tcMar>
              <w:top w:w="75" w:type="dxa"/>
              <w:bottom w:w="75" w:type="dxa"/>
              <w:left w:w="85" w:type="dxa"/>
              <w:right w:w="85" w:type="dxa"/>
            </w:tcMar>
          </w:tcPr>
          <w:p>
            <w:pPr>
              <w:spacing w:after="0" w:line="250" w:lineRule="auto"/>
            </w:pPr>
            <w:r>
              <w:rPr>
                <w:sz w:val="18"/>
              </w:rPr>
              <w:t>Shared app, content and community, with private logs, optional connections and support.</w:t>
            </w:r>
          </w:p>
        </w:tc>
        <w:tc>
          <w:tcPr>
            <w:tcW w:type="dxa" w:w="3755"/>
            <w:vAlign w:val="center"/>
            <w:tcMar>
              <w:top w:w="75" w:type="dxa"/>
              <w:bottom w:w="75" w:type="dxa"/>
              <w:left w:w="85" w:type="dxa"/>
              <w:right w:w="85" w:type="dxa"/>
            </w:tcMar>
          </w:tcPr>
          <w:p>
            <w:pPr>
              <w:spacing w:after="0" w:line="250" w:lineRule="auto"/>
            </w:pPr>
            <w:r>
              <w:rPr>
                <w:sz w:val="18"/>
              </w:rPr>
              <w:t>End-to-end journeys without mandatory hardware.</w:t>
            </w:r>
          </w:p>
        </w:tc>
      </w:tr>
      <w:tr>
        <w:trPr>
          <w:cantSplit/>
        </w:trPr>
        <w:tc>
          <w:tcPr>
            <w:tcW w:type="dxa" w:w="2419"/>
            <w:vAlign w:val="center"/>
            <w:tcMar>
              <w:top w:w="75" w:type="dxa"/>
              <w:bottom w:w="75" w:type="dxa"/>
              <w:left w:w="85" w:type="dxa"/>
              <w:right w:w="85" w:type="dxa"/>
            </w:tcMar>
            <w:shd w:fill="F8F1E9"/>
          </w:tcPr>
          <w:p>
            <w:pPr>
              <w:spacing w:after="0" w:line="250" w:lineRule="auto"/>
            </w:pPr>
            <w:r>
              <w:rPr>
                <w:sz w:val="18"/>
              </w:rPr>
              <w:t>Service</w:t>
            </w:r>
          </w:p>
        </w:tc>
        <w:tc>
          <w:tcPr>
            <w:tcW w:type="dxa" w:w="3773"/>
            <w:vAlign w:val="center"/>
            <w:tcMar>
              <w:top w:w="75" w:type="dxa"/>
              <w:bottom w:w="75" w:type="dxa"/>
              <w:left w:w="85" w:type="dxa"/>
              <w:right w:w="85" w:type="dxa"/>
            </w:tcMar>
            <w:shd w:fill="F8F1E9"/>
          </w:tcPr>
          <w:p>
            <w:pPr>
              <w:spacing w:after="0" w:line="250" w:lineRule="auto"/>
            </w:pPr>
            <w:r>
              <w:rPr>
                <w:sz w:val="18"/>
              </w:rPr>
              <w:t>Onboarding, facilitation, moderation, explanations and appropriate escalation.</w:t>
            </w:r>
          </w:p>
        </w:tc>
        <w:tc>
          <w:tcPr>
            <w:tcW w:type="dxa" w:w="3755"/>
            <w:vAlign w:val="center"/>
            <w:tcMar>
              <w:top w:w="75" w:type="dxa"/>
              <w:bottom w:w="75" w:type="dxa"/>
              <w:left w:w="85" w:type="dxa"/>
              <w:right w:w="85" w:type="dxa"/>
            </w:tcMar>
            <w:shd w:fill="F8F1E9"/>
          </w:tcPr>
          <w:p>
            <w:pPr>
              <w:spacing w:after="0" w:line="250" w:lineRule="auto"/>
            </w:pPr>
            <w:r>
              <w:rPr>
                <w:sz w:val="18"/>
              </w:rPr>
              <w:t>Resolution time and cost to serve.</w:t>
            </w:r>
          </w:p>
        </w:tc>
      </w:tr>
      <w:tr>
        <w:trPr>
          <w:cantSplit/>
        </w:trPr>
        <w:tc>
          <w:tcPr>
            <w:tcW w:type="dxa" w:w="2419"/>
            <w:vAlign w:val="center"/>
            <w:tcMar>
              <w:top w:w="75" w:type="dxa"/>
              <w:bottom w:w="75" w:type="dxa"/>
              <w:left w:w="85" w:type="dxa"/>
              <w:right w:w="85" w:type="dxa"/>
            </w:tcMar>
          </w:tcPr>
          <w:p>
            <w:pPr>
              <w:spacing w:after="0" w:line="250" w:lineRule="auto"/>
            </w:pPr>
            <w:r>
              <w:rPr>
                <w:sz w:val="18"/>
              </w:rPr>
              <w:t>Channel</w:t>
            </w:r>
          </w:p>
        </w:tc>
        <w:tc>
          <w:tcPr>
            <w:tcW w:type="dxa" w:w="3773"/>
            <w:vAlign w:val="center"/>
            <w:tcMar>
              <w:top w:w="75" w:type="dxa"/>
              <w:bottom w:w="75" w:type="dxa"/>
              <w:left w:w="85" w:type="dxa"/>
              <w:right w:w="85" w:type="dxa"/>
            </w:tcMar>
          </w:tcPr>
          <w:p>
            <w:pPr>
              <w:spacing w:after="0" w:line="250" w:lineRule="auto"/>
            </w:pPr>
            <w:r>
              <w:rPr>
                <w:sz w:val="18"/>
              </w:rPr>
              <w:t>Direct, professional, organisation and community routes.</w:t>
            </w:r>
          </w:p>
        </w:tc>
        <w:tc>
          <w:tcPr>
            <w:tcW w:type="dxa" w:w="3755"/>
            <w:vAlign w:val="center"/>
            <w:tcMar>
              <w:top w:w="75" w:type="dxa"/>
              <w:bottom w:w="75" w:type="dxa"/>
              <w:left w:w="85" w:type="dxa"/>
              <w:right w:w="85" w:type="dxa"/>
            </w:tcMar>
          </w:tcPr>
          <w:p>
            <w:pPr>
              <w:spacing w:after="0" w:line="250" w:lineRule="auto"/>
            </w:pPr>
            <w:r>
              <w:rPr>
                <w:sz w:val="18"/>
              </w:rPr>
              <w:t>Incremental paying users and contract value.</w:t>
            </w:r>
          </w:p>
        </w:tc>
      </w:tr>
      <w:tr>
        <w:trPr>
          <w:cantSplit/>
        </w:trPr>
        <w:tc>
          <w:tcPr>
            <w:tcW w:type="dxa" w:w="2419"/>
            <w:vAlign w:val="center"/>
            <w:tcMar>
              <w:top w:w="75" w:type="dxa"/>
              <w:bottom w:w="75" w:type="dxa"/>
              <w:left w:w="85" w:type="dxa"/>
              <w:right w:w="85" w:type="dxa"/>
            </w:tcMar>
            <w:shd w:fill="F8F1E9"/>
          </w:tcPr>
          <w:p>
            <w:pPr>
              <w:spacing w:after="0" w:line="250" w:lineRule="auto"/>
            </w:pPr>
            <w:r>
              <w:rPr>
                <w:sz w:val="18"/>
              </w:rPr>
              <w:t>Brand</w:t>
            </w:r>
          </w:p>
        </w:tc>
        <w:tc>
          <w:tcPr>
            <w:tcW w:type="dxa" w:w="3773"/>
            <w:vAlign w:val="center"/>
            <w:tcMar>
              <w:top w:w="75" w:type="dxa"/>
              <w:bottom w:w="75" w:type="dxa"/>
              <w:left w:w="85" w:type="dxa"/>
              <w:right w:w="85" w:type="dxa"/>
            </w:tcMar>
            <w:shd w:fill="F8F1E9"/>
          </w:tcPr>
          <w:p>
            <w:pPr>
              <w:spacing w:after="0" w:line="250" w:lineRule="auto"/>
            </w:pPr>
            <w:r>
              <w:rPr>
                <w:sz w:val="18"/>
              </w:rPr>
              <w:t>Nutrition that moooves with your Cycle. A community-led app for women.</w:t>
            </w:r>
          </w:p>
        </w:tc>
        <w:tc>
          <w:tcPr>
            <w:tcW w:type="dxa" w:w="3755"/>
            <w:vAlign w:val="center"/>
            <w:tcMar>
              <w:top w:w="75" w:type="dxa"/>
              <w:bottom w:w="75" w:type="dxa"/>
              <w:left w:w="85" w:type="dxa"/>
              <w:right w:w="85" w:type="dxa"/>
            </w:tcMar>
            <w:shd w:fill="F8F1E9"/>
          </w:tcPr>
          <w:p>
            <w:pPr>
              <w:spacing w:after="0" w:line="250" w:lineRule="auto"/>
            </w:pPr>
            <w:r>
              <w:rPr>
                <w:sz w:val="18"/>
              </w:rPr>
              <w:t>Trust and clear understanding of limitations.</w:t>
            </w:r>
          </w:p>
        </w:tc>
      </w:tr>
      <w:tr>
        <w:trPr>
          <w:cantSplit/>
        </w:trPr>
        <w:tc>
          <w:tcPr>
            <w:tcW w:type="dxa" w:w="2419"/>
            <w:vAlign w:val="center"/>
            <w:tcMar>
              <w:top w:w="75" w:type="dxa"/>
              <w:bottom w:w="75" w:type="dxa"/>
              <w:left w:w="85" w:type="dxa"/>
              <w:right w:w="85" w:type="dxa"/>
            </w:tcMar>
          </w:tcPr>
          <w:p>
            <w:pPr>
              <w:spacing w:after="0" w:line="250" w:lineRule="auto"/>
            </w:pPr>
            <w:r>
              <w:rPr>
                <w:sz w:val="18"/>
              </w:rPr>
              <w:t>Customer engagement</w:t>
            </w:r>
          </w:p>
        </w:tc>
        <w:tc>
          <w:tcPr>
            <w:tcW w:type="dxa" w:w="3773"/>
            <w:vAlign w:val="center"/>
            <w:tcMar>
              <w:top w:w="75" w:type="dxa"/>
              <w:bottom w:w="75" w:type="dxa"/>
              <w:left w:w="85" w:type="dxa"/>
              <w:right w:w="85" w:type="dxa"/>
            </w:tcMar>
          </w:tcPr>
          <w:p>
            <w:pPr>
              <w:spacing w:after="0" w:line="250" w:lineRule="auto"/>
            </w:pPr>
            <w:r>
              <w:rPr>
                <w:sz w:val="18"/>
              </w:rPr>
              <w:t>Women shape the experience, share voluntarily and find useful support without punitive tracking.</w:t>
            </w:r>
          </w:p>
        </w:tc>
        <w:tc>
          <w:tcPr>
            <w:tcW w:type="dxa" w:w="3755"/>
            <w:vAlign w:val="center"/>
            <w:tcMar>
              <w:top w:w="75" w:type="dxa"/>
              <w:bottom w:w="75" w:type="dxa"/>
              <w:left w:w="85" w:type="dxa"/>
              <w:right w:w="85" w:type="dxa"/>
            </w:tcMar>
          </w:tcPr>
          <w:p>
            <w:pPr>
              <w:spacing w:after="0" w:line="250" w:lineRule="auto"/>
            </w:pPr>
            <w:r>
              <w:rPr>
                <w:sz w:val="18"/>
              </w:rPr>
              <w:t>Helpfulness, belonging, safe repeat participation and retained payment.</w:t>
            </w:r>
          </w:p>
        </w:tc>
      </w:tr>
    </w:tbl>
    <w:p>
      <w:pPr>
        <w:spacing w:after="20" w:before="0" w:line="72" w:lineRule="auto"/>
      </w:pPr>
      <w:r>
        <w:rPr>
          <w:sz w:val="4"/>
        </w:rPr>
      </w:r>
    </w:p>
    <w:p>
      <w:r>
        <w:t>The report retains segment-of-one learning as a supporting capability beneath the woman-centred, cycle-aware and community-led proposition. Individual insight and shared support have different data boundaries. Neither a compelling tagline nor a community implies proven health outcomes, unique functionality or causal effectiveness.</w:t>
      </w:r>
    </w:p>
    <w:p>
      <w:bookmarkStart w:id="23" w:name="section_23"/>
      <w:pPr>
        <w:pStyle w:val="Heading1"/>
      </w:pPr>
      <w:r>
        <w:rPr/>
        <w:t>Annex C. Company write-up: commercial applications</w:t>
      </w:r>
      <w:bookmarkEnd w:id="23"/>
    </w:p>
    <w:p>
      <w:r>
        <w:rPr/>
        <w:t xml:space="preserve">All names below are </w:t>
      </w:r>
      <w:r>
        <w:rPr>
          <w:b/>
        </w:rPr>
        <w:t>prospects carried forward from the commercial radar</w:t>
      </w:r>
      <w:r>
        <w:rPr/>
        <w:t>, not confirmed partners, approved campaigns or commitments. Brand ownership, local availability, product suitability and relevant decision-makers must be checked immediately before outreach. This annex summarises proposed NutriSync offers; the complete original company write-up is supplied as S05.</w:t>
      </w:r>
    </w:p>
    <w:tbl>
      <w:tblPr>
        <w:tblW w:type="auto" w:w="0"/>
        <w:jc w:val="center"/>
        <w:tblLayout w:type="fixed"/>
        <w:tblLook w:firstColumn="1" w:firstRow="1" w:lastColumn="0" w:lastRow="0" w:noHBand="0" w:noVBand="1" w:val="04A0"/>
      </w:tblPr>
      <w:tblGrid>
        <w:gridCol w:w="2419"/>
        <w:gridCol w:w="3773"/>
        <w:gridCol w:w="3755"/>
      </w:tblGrid>
      <w:tr>
        <w:trPr>
          <w:cantSplit/>
          <w:tblHeader/>
        </w:trPr>
        <w:tc>
          <w:tcPr>
            <w:tcW w:type="dxa" w:w="2419"/>
            <w:vAlign w:val="center"/>
            <w:tcMar>
              <w:top w:w="75" w:type="dxa"/>
              <w:bottom w:w="75" w:type="dxa"/>
              <w:left w:w="85" w:type="dxa"/>
              <w:right w:w="85" w:type="dxa"/>
            </w:tcMar>
            <w:shd w:fill="282220"/>
          </w:tcPr>
          <w:p>
            <w:pPr>
              <w:spacing w:after="0" w:line="250" w:lineRule="auto"/>
            </w:pPr>
            <w:r>
              <w:rPr>
                <w:b/>
                <w:color w:val="FFFFFF"/>
                <w:sz w:val="18"/>
              </w:rPr>
              <w:t>Prospect</w:t>
            </w:r>
          </w:p>
        </w:tc>
        <w:tc>
          <w:tcPr>
            <w:tcW w:type="dxa" w:w="3773"/>
            <w:vAlign w:val="center"/>
            <w:tcMar>
              <w:top w:w="75" w:type="dxa"/>
              <w:bottom w:w="75" w:type="dxa"/>
              <w:left w:w="85" w:type="dxa"/>
              <w:right w:w="85" w:type="dxa"/>
            </w:tcMar>
            <w:shd w:fill="282220"/>
          </w:tcPr>
          <w:p>
            <w:pPr>
              <w:spacing w:after="0" w:line="250" w:lineRule="auto"/>
            </w:pPr>
            <w:r>
              <w:rPr>
                <w:b/>
                <w:color w:val="FFFFFF"/>
                <w:sz w:val="18"/>
              </w:rPr>
              <w:t>Proposed conversation</w:t>
            </w:r>
          </w:p>
        </w:tc>
        <w:tc>
          <w:tcPr>
            <w:tcW w:type="dxa" w:w="3755"/>
            <w:vAlign w:val="center"/>
            <w:tcMar>
              <w:top w:w="75" w:type="dxa"/>
              <w:bottom w:w="75" w:type="dxa"/>
              <w:left w:w="85" w:type="dxa"/>
              <w:right w:w="85" w:type="dxa"/>
            </w:tcMar>
            <w:shd w:fill="282220"/>
          </w:tcPr>
          <w:p>
            <w:pPr>
              <w:spacing w:after="0" w:line="250" w:lineRule="auto"/>
            </w:pPr>
            <w:r>
              <w:rPr>
                <w:b/>
                <w:color w:val="FFFFFF"/>
                <w:sz w:val="18"/>
              </w:rPr>
              <w:t>Safeguard / first proof</w:t>
            </w:r>
          </w:p>
        </w:tc>
      </w:tr>
      <w:tr>
        <w:trPr>
          <w:cantSplit/>
        </w:trPr>
        <w:tc>
          <w:tcPr>
            <w:tcW w:type="dxa" w:w="2419"/>
            <w:vAlign w:val="center"/>
            <w:tcMar>
              <w:top w:w="75" w:type="dxa"/>
              <w:bottom w:w="75" w:type="dxa"/>
              <w:left w:w="85" w:type="dxa"/>
              <w:right w:w="85" w:type="dxa"/>
            </w:tcMar>
            <w:shd w:fill="F8F1E9"/>
          </w:tcPr>
          <w:p>
            <w:pPr>
              <w:spacing w:after="0" w:line="250" w:lineRule="auto"/>
            </w:pPr>
            <w:r>
              <w:rPr>
                <w:sz w:val="18"/>
              </w:rPr>
              <w:t>Essity</w:t>
            </w:r>
          </w:p>
        </w:tc>
        <w:tc>
          <w:tcPr>
            <w:tcW w:type="dxa" w:w="3773"/>
            <w:vAlign w:val="center"/>
            <w:tcMar>
              <w:top w:w="75" w:type="dxa"/>
              <w:bottom w:w="75" w:type="dxa"/>
              <w:left w:w="85" w:type="dxa"/>
              <w:right w:w="85" w:type="dxa"/>
            </w:tcMar>
            <w:shd w:fill="F8F1E9"/>
          </w:tcPr>
          <w:p>
            <w:pPr>
              <w:spacing w:after="0" w:line="250" w:lineRule="auto"/>
            </w:pPr>
            <w:r>
              <w:rPr>
                <w:sz w:val="18"/>
              </w:rPr>
              <w:t>Menstrual-wellbeing education and contextually sponsored programmes.</w:t>
            </w:r>
          </w:p>
        </w:tc>
        <w:tc>
          <w:tcPr>
            <w:tcW w:type="dxa" w:w="3755"/>
            <w:vAlign w:val="center"/>
            <w:tcMar>
              <w:top w:w="75" w:type="dxa"/>
              <w:bottom w:w="75" w:type="dxa"/>
              <w:left w:w="85" w:type="dxa"/>
              <w:right w:w="85" w:type="dxa"/>
            </w:tcMar>
            <w:shd w:fill="F8F1E9"/>
          </w:tcPr>
          <w:p>
            <w:pPr>
              <w:spacing w:after="0" w:line="250" w:lineRule="auto"/>
            </w:pPr>
            <w:r>
              <w:rPr>
                <w:sz w:val="18"/>
              </w:rPr>
              <w:t>No symptom or cycle-phase targeting; test user acceptance.</w:t>
            </w:r>
          </w:p>
        </w:tc>
      </w:tr>
      <w:tr>
        <w:trPr>
          <w:cantSplit/>
        </w:trPr>
        <w:tc>
          <w:tcPr>
            <w:tcW w:type="dxa" w:w="2419"/>
            <w:vAlign w:val="center"/>
            <w:tcMar>
              <w:top w:w="75" w:type="dxa"/>
              <w:bottom w:w="75" w:type="dxa"/>
              <w:left w:w="85" w:type="dxa"/>
              <w:right w:w="85" w:type="dxa"/>
            </w:tcMar>
          </w:tcPr>
          <w:p>
            <w:pPr>
              <w:spacing w:after="0" w:line="250" w:lineRule="auto"/>
            </w:pPr>
            <w:r>
              <w:rPr>
                <w:sz w:val="18"/>
              </w:rPr>
              <w:t>Procter &amp; Gamble</w:t>
            </w:r>
          </w:p>
        </w:tc>
        <w:tc>
          <w:tcPr>
            <w:tcW w:type="dxa" w:w="3773"/>
            <w:vAlign w:val="center"/>
            <w:tcMar>
              <w:top w:w="75" w:type="dxa"/>
              <w:bottom w:w="75" w:type="dxa"/>
              <w:left w:w="85" w:type="dxa"/>
              <w:right w:w="85" w:type="dxa"/>
            </w:tcMar>
          </w:tcPr>
          <w:p>
            <w:pPr>
              <w:spacing w:after="0" w:line="250" w:lineRule="auto"/>
            </w:pPr>
            <w:r>
              <w:rPr>
                <w:sz w:val="18"/>
              </w:rPr>
              <w:t>Everyday-care education and distribution through appropriate brands.</w:t>
            </w:r>
          </w:p>
        </w:tc>
        <w:tc>
          <w:tcPr>
            <w:tcW w:type="dxa" w:w="3755"/>
            <w:vAlign w:val="center"/>
            <w:tcMar>
              <w:top w:w="75" w:type="dxa"/>
              <w:bottom w:w="75" w:type="dxa"/>
              <w:left w:w="85" w:type="dxa"/>
              <w:right w:w="85" w:type="dxa"/>
            </w:tcMar>
          </w:tcPr>
          <w:p>
            <w:pPr>
              <w:spacing w:after="0" w:line="250" w:lineRule="auto"/>
            </w:pPr>
            <w:r>
              <w:rPr>
                <w:sz w:val="18"/>
              </w:rPr>
              <w:t>Verify the local brand/team and keep sponsor content separate.</w:t>
            </w:r>
          </w:p>
        </w:tc>
      </w:tr>
      <w:tr>
        <w:trPr>
          <w:cantSplit/>
        </w:trPr>
        <w:tc>
          <w:tcPr>
            <w:tcW w:type="dxa" w:w="2419"/>
            <w:vAlign w:val="center"/>
            <w:tcMar>
              <w:top w:w="75" w:type="dxa"/>
              <w:bottom w:w="75" w:type="dxa"/>
              <w:left w:w="85" w:type="dxa"/>
              <w:right w:w="85" w:type="dxa"/>
            </w:tcMar>
            <w:shd w:fill="F8F1E9"/>
          </w:tcPr>
          <w:p>
            <w:pPr>
              <w:spacing w:after="0" w:line="250" w:lineRule="auto"/>
            </w:pPr>
            <w:r>
              <w:rPr>
                <w:sz w:val="18"/>
              </w:rPr>
              <w:t>Danone</w:t>
            </w:r>
          </w:p>
        </w:tc>
        <w:tc>
          <w:tcPr>
            <w:tcW w:type="dxa" w:w="3773"/>
            <w:vAlign w:val="center"/>
            <w:tcMar>
              <w:top w:w="75" w:type="dxa"/>
              <w:bottom w:w="75" w:type="dxa"/>
              <w:left w:w="85" w:type="dxa"/>
              <w:right w:w="85" w:type="dxa"/>
            </w:tcMar>
            <w:shd w:fill="F8F1E9"/>
          </w:tcPr>
          <w:p>
            <w:pPr>
              <w:spacing w:after="0" w:line="250" w:lineRule="auto"/>
            </w:pPr>
            <w:r>
              <w:rPr>
                <w:sz w:val="18"/>
              </w:rPr>
              <w:t>Practical food education, recipe workshops and voluntary product discovery.</w:t>
            </w:r>
          </w:p>
        </w:tc>
        <w:tc>
          <w:tcPr>
            <w:tcW w:type="dxa" w:w="3755"/>
            <w:vAlign w:val="center"/>
            <w:tcMar>
              <w:top w:w="75" w:type="dxa"/>
              <w:bottom w:w="75" w:type="dxa"/>
              <w:left w:w="85" w:type="dxa"/>
              <w:right w:w="85" w:type="dxa"/>
            </w:tcMar>
            <w:shd w:fill="F8F1E9"/>
          </w:tcPr>
          <w:p>
            <w:pPr>
              <w:spacing w:after="0" w:line="250" w:lineRule="auto"/>
            </w:pPr>
            <w:r>
              <w:rPr>
                <w:sz w:val="18"/>
              </w:rPr>
              <w:t>Independent nutrition review; no paid recommendation ranking.</w:t>
            </w:r>
          </w:p>
        </w:tc>
      </w:tr>
      <w:tr>
        <w:trPr>
          <w:cantSplit/>
        </w:trPr>
        <w:tc>
          <w:tcPr>
            <w:tcW w:type="dxa" w:w="2419"/>
            <w:vAlign w:val="center"/>
            <w:tcMar>
              <w:top w:w="75" w:type="dxa"/>
              <w:bottom w:w="75" w:type="dxa"/>
              <w:left w:w="85" w:type="dxa"/>
              <w:right w:w="85" w:type="dxa"/>
            </w:tcMar>
          </w:tcPr>
          <w:p>
            <w:pPr>
              <w:spacing w:after="0" w:line="250" w:lineRule="auto"/>
            </w:pPr>
            <w:r>
              <w:rPr>
                <w:sz w:val="18"/>
              </w:rPr>
              <w:t>Myprotein</w:t>
            </w:r>
          </w:p>
        </w:tc>
        <w:tc>
          <w:tcPr>
            <w:tcW w:type="dxa" w:w="3773"/>
            <w:vAlign w:val="center"/>
            <w:tcMar>
              <w:top w:w="75" w:type="dxa"/>
              <w:bottom w:w="75" w:type="dxa"/>
              <w:left w:w="85" w:type="dxa"/>
              <w:right w:w="85" w:type="dxa"/>
            </w:tcMar>
          </w:tcPr>
          <w:p>
            <w:pPr>
              <w:spacing w:after="0" w:line="250" w:lineRule="auto"/>
            </w:pPr>
            <w:r>
              <w:rPr>
                <w:sz w:val="18"/>
              </w:rPr>
              <w:t>Appropriately reviewed sports-nutrition education and voluntary offers.</w:t>
            </w:r>
          </w:p>
        </w:tc>
        <w:tc>
          <w:tcPr>
            <w:tcW w:type="dxa" w:w="3755"/>
            <w:vAlign w:val="center"/>
            <w:tcMar>
              <w:top w:w="75" w:type="dxa"/>
              <w:bottom w:w="75" w:type="dxa"/>
              <w:left w:w="85" w:type="dxa"/>
              <w:right w:w="85" w:type="dxa"/>
            </w:tcMar>
          </w:tcPr>
          <w:p>
            <w:pPr>
              <w:spacing w:after="0" w:line="250" w:lineRule="auto"/>
            </w:pPr>
            <w:r>
              <w:rPr>
                <w:sz w:val="18"/>
              </w:rPr>
              <w:t>Product/claims review; no pregnancy or hormone-balancing campaign by default.</w:t>
            </w:r>
          </w:p>
        </w:tc>
      </w:tr>
      <w:tr>
        <w:trPr>
          <w:cantSplit/>
        </w:trPr>
        <w:tc>
          <w:tcPr>
            <w:tcW w:type="dxa" w:w="2419"/>
            <w:vAlign w:val="center"/>
            <w:tcMar>
              <w:top w:w="75" w:type="dxa"/>
              <w:bottom w:w="75" w:type="dxa"/>
              <w:left w:w="85" w:type="dxa"/>
              <w:right w:w="85" w:type="dxa"/>
            </w:tcMar>
            <w:shd w:fill="F8F1E9"/>
          </w:tcPr>
          <w:p>
            <w:pPr>
              <w:spacing w:after="0" w:line="250" w:lineRule="auto"/>
            </w:pPr>
            <w:r>
              <w:rPr>
                <w:sz w:val="18"/>
              </w:rPr>
              <w:t>HelloFresh</w:t>
            </w:r>
          </w:p>
        </w:tc>
        <w:tc>
          <w:tcPr>
            <w:tcW w:type="dxa" w:w="3773"/>
            <w:vAlign w:val="center"/>
            <w:tcMar>
              <w:top w:w="75" w:type="dxa"/>
              <w:bottom w:w="75" w:type="dxa"/>
              <w:left w:w="85" w:type="dxa"/>
              <w:right w:w="85" w:type="dxa"/>
            </w:tcMar>
            <w:shd w:fill="F8F1E9"/>
          </w:tcPr>
          <w:p>
            <w:pPr>
              <w:spacing w:after="0" w:line="250" w:lineRule="auto"/>
            </w:pPr>
            <w:r>
              <w:rPr>
                <w:sz w:val="18"/>
              </w:rPr>
              <w:t>Future-market cooking and meal-planning collaboration.</w:t>
            </w:r>
          </w:p>
        </w:tc>
        <w:tc>
          <w:tcPr>
            <w:tcW w:type="dxa" w:w="3755"/>
            <w:vAlign w:val="center"/>
            <w:tcMar>
              <w:top w:w="75" w:type="dxa"/>
              <w:bottom w:w="75" w:type="dxa"/>
              <w:left w:w="85" w:type="dxa"/>
              <w:right w:w="85" w:type="dxa"/>
            </w:tcMar>
            <w:shd w:fill="F8F1E9"/>
          </w:tcPr>
          <w:p>
            <w:pPr>
              <w:spacing w:after="0" w:line="250" w:lineRule="auto"/>
            </w:pPr>
            <w:r>
              <w:rPr>
                <w:sz w:val="18"/>
              </w:rPr>
              <w:t>Conditional on current market service and campaign fulfilment.</w:t>
            </w:r>
          </w:p>
        </w:tc>
      </w:tr>
      <w:tr>
        <w:trPr>
          <w:cantSplit/>
        </w:trPr>
        <w:tc>
          <w:tcPr>
            <w:tcW w:type="dxa" w:w="2419"/>
            <w:vAlign w:val="center"/>
            <w:tcMar>
              <w:top w:w="75" w:type="dxa"/>
              <w:bottom w:w="75" w:type="dxa"/>
              <w:left w:w="85" w:type="dxa"/>
              <w:right w:w="85" w:type="dxa"/>
            </w:tcMar>
          </w:tcPr>
          <w:p>
            <w:pPr>
              <w:spacing w:after="0" w:line="250" w:lineRule="auto"/>
            </w:pPr>
            <w:r>
              <w:rPr>
                <w:sz w:val="18"/>
              </w:rPr>
              <w:t>Oura</w:t>
            </w:r>
          </w:p>
        </w:tc>
        <w:tc>
          <w:tcPr>
            <w:tcW w:type="dxa" w:w="3773"/>
            <w:vAlign w:val="center"/>
            <w:tcMar>
              <w:top w:w="75" w:type="dxa"/>
              <w:bottom w:w="75" w:type="dxa"/>
              <w:left w:w="85" w:type="dxa"/>
              <w:right w:w="85" w:type="dxa"/>
            </w:tcMar>
          </w:tcPr>
          <w:p>
            <w:pPr>
              <w:spacing w:after="0" w:line="250" w:lineRule="auto"/>
            </w:pPr>
            <w:r>
              <w:rPr>
                <w:sz w:val="18"/>
              </w:rPr>
              <w:t>Authorised signal integration and possible ecosystem cooperation.</w:t>
            </w:r>
          </w:p>
        </w:tc>
        <w:tc>
          <w:tcPr>
            <w:tcW w:type="dxa" w:w="3755"/>
            <w:vAlign w:val="center"/>
            <w:tcMar>
              <w:top w:w="75" w:type="dxa"/>
              <w:bottom w:w="75" w:type="dxa"/>
              <w:left w:w="85" w:type="dxa"/>
              <w:right w:w="85" w:type="dxa"/>
            </w:tcMar>
          </w:tcPr>
          <w:p>
            <w:pPr>
              <w:spacing w:after="0" w:line="250" w:lineRule="auto"/>
            </w:pPr>
            <w:r>
              <w:rPr>
                <w:sz w:val="18"/>
              </w:rPr>
              <w:t>API/AI terms, attribution and permissions; no assumed co-marketing.</w:t>
            </w:r>
          </w:p>
        </w:tc>
      </w:tr>
      <w:tr>
        <w:trPr>
          <w:cantSplit/>
        </w:trPr>
        <w:tc>
          <w:tcPr>
            <w:tcW w:type="dxa" w:w="2419"/>
            <w:vAlign w:val="center"/>
            <w:tcMar>
              <w:top w:w="75" w:type="dxa"/>
              <w:bottom w:w="75" w:type="dxa"/>
              <w:left w:w="85" w:type="dxa"/>
              <w:right w:w="85" w:type="dxa"/>
            </w:tcMar>
            <w:shd w:fill="F8F1E9"/>
          </w:tcPr>
          <w:p>
            <w:pPr>
              <w:spacing w:after="0" w:line="250" w:lineRule="auto"/>
            </w:pPr>
            <w:r>
              <w:rPr>
                <w:sz w:val="18"/>
              </w:rPr>
              <w:t>Garmin</w:t>
            </w:r>
          </w:p>
        </w:tc>
        <w:tc>
          <w:tcPr>
            <w:tcW w:type="dxa" w:w="3773"/>
            <w:vAlign w:val="center"/>
            <w:tcMar>
              <w:top w:w="75" w:type="dxa"/>
              <w:bottom w:w="75" w:type="dxa"/>
              <w:left w:w="85" w:type="dxa"/>
              <w:right w:w="85" w:type="dxa"/>
            </w:tcMar>
            <w:shd w:fill="F8F1E9"/>
          </w:tcPr>
          <w:p>
            <w:pPr>
              <w:spacing w:after="0" w:line="250" w:lineRule="auto"/>
            </w:pPr>
            <w:r>
              <w:rPr>
                <w:sz w:val="18"/>
              </w:rPr>
              <w:t>Activity/recovery context and movement-community programmes.</w:t>
            </w:r>
          </w:p>
        </w:tc>
        <w:tc>
          <w:tcPr>
            <w:tcW w:type="dxa" w:w="3755"/>
            <w:vAlign w:val="center"/>
            <w:tcMar>
              <w:top w:w="75" w:type="dxa"/>
              <w:bottom w:w="75" w:type="dxa"/>
              <w:left w:w="85" w:type="dxa"/>
              <w:right w:w="85" w:type="dxa"/>
            </w:tcMar>
            <w:shd w:fill="F8F1E9"/>
          </w:tcPr>
          <w:p>
            <w:pPr>
              <w:spacing w:after="0" w:line="250" w:lineRule="auto"/>
            </w:pPr>
            <w:r>
              <w:rPr>
                <w:sz w:val="18"/>
              </w:rPr>
              <w:t>Programme approval and commercial terms; no assumed free access.</w:t>
            </w:r>
          </w:p>
        </w:tc>
      </w:tr>
      <w:tr>
        <w:trPr>
          <w:cantSplit/>
        </w:trPr>
        <w:tc>
          <w:tcPr>
            <w:tcW w:type="dxa" w:w="2419"/>
            <w:vAlign w:val="center"/>
            <w:tcMar>
              <w:top w:w="75" w:type="dxa"/>
              <w:bottom w:w="75" w:type="dxa"/>
              <w:left w:w="85" w:type="dxa"/>
              <w:right w:w="85" w:type="dxa"/>
            </w:tcMar>
          </w:tcPr>
          <w:p>
            <w:pPr>
              <w:spacing w:after="0" w:line="250" w:lineRule="auto"/>
            </w:pPr>
            <w:r>
              <w:rPr>
                <w:sz w:val="18"/>
              </w:rPr>
              <w:t>WHOOP</w:t>
            </w:r>
          </w:p>
        </w:tc>
        <w:tc>
          <w:tcPr>
            <w:tcW w:type="dxa" w:w="3773"/>
            <w:vAlign w:val="center"/>
            <w:tcMar>
              <w:top w:w="75" w:type="dxa"/>
              <w:bottom w:w="75" w:type="dxa"/>
              <w:left w:w="85" w:type="dxa"/>
              <w:right w:w="85" w:type="dxa"/>
            </w:tcMar>
          </w:tcPr>
          <w:p>
            <w:pPr>
              <w:spacing w:after="0" w:line="250" w:lineRule="auto"/>
            </w:pPr>
            <w:r>
              <w:rPr>
                <w:sz w:val="18"/>
              </w:rPr>
              <w:t>Recovery literacy, activity programmes and potential ecosystem cooperation.</w:t>
            </w:r>
          </w:p>
        </w:tc>
        <w:tc>
          <w:tcPr>
            <w:tcW w:type="dxa" w:w="3755"/>
            <w:vAlign w:val="center"/>
            <w:tcMar>
              <w:top w:w="75" w:type="dxa"/>
              <w:bottom w:w="75" w:type="dxa"/>
              <w:left w:w="85" w:type="dxa"/>
              <w:right w:w="85" w:type="dxa"/>
            </w:tcMar>
          </w:tcPr>
          <w:p>
            <w:pPr>
              <w:spacing w:after="0" w:line="250" w:lineRule="auto"/>
            </w:pPr>
            <w:r>
              <w:rPr>
                <w:sz w:val="18"/>
              </w:rPr>
              <w:t>Distinguish provider estimates from medical measurements.</w:t>
            </w:r>
          </w:p>
        </w:tc>
      </w:tr>
      <w:tr>
        <w:trPr>
          <w:cantSplit/>
        </w:trPr>
        <w:tc>
          <w:tcPr>
            <w:tcW w:type="dxa" w:w="2419"/>
            <w:vAlign w:val="center"/>
            <w:tcMar>
              <w:top w:w="75" w:type="dxa"/>
              <w:bottom w:w="75" w:type="dxa"/>
              <w:left w:w="85" w:type="dxa"/>
              <w:right w:w="85" w:type="dxa"/>
            </w:tcMar>
            <w:shd w:fill="F8F1E9"/>
          </w:tcPr>
          <w:p>
            <w:pPr>
              <w:spacing w:after="0" w:line="250" w:lineRule="auto"/>
            </w:pPr>
            <w:r>
              <w:rPr>
                <w:sz w:val="18"/>
              </w:rPr>
              <w:t>Bayer</w:t>
            </w:r>
          </w:p>
        </w:tc>
        <w:tc>
          <w:tcPr>
            <w:tcW w:type="dxa" w:w="3773"/>
            <w:vAlign w:val="center"/>
            <w:tcMar>
              <w:top w:w="75" w:type="dxa"/>
              <w:bottom w:w="75" w:type="dxa"/>
              <w:left w:w="85" w:type="dxa"/>
              <w:right w:w="85" w:type="dxa"/>
            </w:tcMar>
            <w:shd w:fill="F8F1E9"/>
          </w:tcPr>
          <w:p>
            <w:pPr>
              <w:spacing w:after="0" w:line="250" w:lineRule="auto"/>
            </w:pPr>
            <w:r>
              <w:rPr>
                <w:sz w:val="18"/>
              </w:rPr>
              <w:t>Reviewed non-promotional education or suitable consumer-health programmes.</w:t>
            </w:r>
          </w:p>
        </w:tc>
        <w:tc>
          <w:tcPr>
            <w:tcW w:type="dxa" w:w="3755"/>
            <w:vAlign w:val="center"/>
            <w:tcMar>
              <w:top w:w="75" w:type="dxa"/>
              <w:bottom w:w="75" w:type="dxa"/>
              <w:left w:w="85" w:type="dxa"/>
              <w:right w:w="85" w:type="dxa"/>
            </w:tcMar>
            <w:shd w:fill="F8F1E9"/>
          </w:tcPr>
          <w:p>
            <w:pPr>
              <w:spacing w:after="0" w:line="250" w:lineRule="auto"/>
            </w:pPr>
            <w:r>
              <w:rPr>
                <w:sz w:val="18"/>
              </w:rPr>
              <w:t>Specific entity/product review; no prescription promotion.</w:t>
            </w:r>
          </w:p>
        </w:tc>
      </w:tr>
      <w:tr>
        <w:trPr>
          <w:cantSplit/>
        </w:trPr>
        <w:tc>
          <w:tcPr>
            <w:tcW w:type="dxa" w:w="2419"/>
            <w:vAlign w:val="center"/>
            <w:tcMar>
              <w:top w:w="75" w:type="dxa"/>
              <w:bottom w:w="75" w:type="dxa"/>
              <w:left w:w="85" w:type="dxa"/>
              <w:right w:w="85" w:type="dxa"/>
            </w:tcMar>
          </w:tcPr>
          <w:p>
            <w:pPr>
              <w:spacing w:after="0" w:line="250" w:lineRule="auto"/>
            </w:pPr>
            <w:r>
              <w:rPr>
                <w:sz w:val="18"/>
              </w:rPr>
              <w:t>Haleon</w:t>
            </w:r>
          </w:p>
        </w:tc>
        <w:tc>
          <w:tcPr>
            <w:tcW w:type="dxa" w:w="3773"/>
            <w:vAlign w:val="center"/>
            <w:tcMar>
              <w:top w:w="75" w:type="dxa"/>
              <w:bottom w:w="75" w:type="dxa"/>
              <w:left w:w="85" w:type="dxa"/>
              <w:right w:w="85" w:type="dxa"/>
            </w:tcMar>
          </w:tcPr>
          <w:p>
            <w:pPr>
              <w:spacing w:after="0" w:line="250" w:lineRule="auto"/>
            </w:pPr>
            <w:r>
              <w:rPr>
                <w:sz w:val="18"/>
              </w:rPr>
              <w:t>General wellbeing education with an appropriate category team.</w:t>
            </w:r>
          </w:p>
        </w:tc>
        <w:tc>
          <w:tcPr>
            <w:tcW w:type="dxa" w:w="3755"/>
            <w:vAlign w:val="center"/>
            <w:tcMar>
              <w:top w:w="75" w:type="dxa"/>
              <w:bottom w:w="75" w:type="dxa"/>
              <w:left w:w="85" w:type="dxa"/>
              <w:right w:w="85" w:type="dxa"/>
            </w:tcMar>
          </w:tcPr>
          <w:p>
            <w:pPr>
              <w:spacing w:after="0" w:line="250" w:lineRule="auto"/>
            </w:pPr>
            <w:r>
              <w:rPr>
                <w:sz w:val="18"/>
              </w:rPr>
              <w:t>Claims, labelling and sensitive-data separation.</w:t>
            </w:r>
          </w:p>
        </w:tc>
      </w:tr>
      <w:tr>
        <w:trPr>
          <w:cantSplit/>
        </w:trPr>
        <w:tc>
          <w:tcPr>
            <w:tcW w:type="dxa" w:w="2419"/>
            <w:vAlign w:val="center"/>
            <w:tcMar>
              <w:top w:w="75" w:type="dxa"/>
              <w:bottom w:w="75" w:type="dxa"/>
              <w:left w:w="85" w:type="dxa"/>
              <w:right w:w="85" w:type="dxa"/>
            </w:tcMar>
            <w:shd w:fill="F8F1E9"/>
          </w:tcPr>
          <w:p>
            <w:pPr>
              <w:spacing w:after="0" w:line="250" w:lineRule="auto"/>
            </w:pPr>
            <w:r>
              <w:rPr>
                <w:sz w:val="18"/>
              </w:rPr>
              <w:t>lululemon</w:t>
            </w:r>
          </w:p>
        </w:tc>
        <w:tc>
          <w:tcPr>
            <w:tcW w:type="dxa" w:w="3773"/>
            <w:vAlign w:val="center"/>
            <w:tcMar>
              <w:top w:w="75" w:type="dxa"/>
              <w:bottom w:w="75" w:type="dxa"/>
              <w:left w:w="85" w:type="dxa"/>
              <w:right w:w="85" w:type="dxa"/>
            </w:tcMar>
            <w:shd w:fill="F8F1E9"/>
          </w:tcPr>
          <w:p>
            <w:pPr>
              <w:spacing w:after="0" w:line="250" w:lineRule="auto"/>
            </w:pPr>
            <w:r>
              <w:rPr>
                <w:sz w:val="18"/>
              </w:rPr>
              <w:t>Movement sessions, community activity and recovery content.</w:t>
            </w:r>
          </w:p>
        </w:tc>
        <w:tc>
          <w:tcPr>
            <w:tcW w:type="dxa" w:w="3755"/>
            <w:vAlign w:val="center"/>
            <w:tcMar>
              <w:top w:w="75" w:type="dxa"/>
              <w:bottom w:w="75" w:type="dxa"/>
              <w:left w:w="85" w:type="dxa"/>
              <w:right w:w="85" w:type="dxa"/>
            </w:tcMar>
            <w:shd w:fill="F8F1E9"/>
          </w:tcPr>
          <w:p>
            <w:pPr>
              <w:spacing w:after="0" w:line="250" w:lineRule="auto"/>
            </w:pPr>
            <w:r>
              <w:rPr>
                <w:sz w:val="18"/>
              </w:rPr>
              <w:t>Body-neutral messaging; evaluate actual activation.</w:t>
            </w:r>
          </w:p>
        </w:tc>
      </w:tr>
      <w:tr>
        <w:trPr>
          <w:cantSplit/>
        </w:trPr>
        <w:tc>
          <w:tcPr>
            <w:tcW w:type="dxa" w:w="2419"/>
            <w:vAlign w:val="center"/>
            <w:tcMar>
              <w:top w:w="75" w:type="dxa"/>
              <w:bottom w:w="75" w:type="dxa"/>
              <w:left w:w="85" w:type="dxa"/>
              <w:right w:w="85" w:type="dxa"/>
            </w:tcMar>
          </w:tcPr>
          <w:p>
            <w:pPr>
              <w:spacing w:after="0" w:line="250" w:lineRule="auto"/>
            </w:pPr>
            <w:r>
              <w:rPr>
                <w:sz w:val="18"/>
              </w:rPr>
              <w:t>Decathlon</w:t>
            </w:r>
          </w:p>
        </w:tc>
        <w:tc>
          <w:tcPr>
            <w:tcW w:type="dxa" w:w="3773"/>
            <w:vAlign w:val="center"/>
            <w:tcMar>
              <w:top w:w="75" w:type="dxa"/>
              <w:bottom w:w="75" w:type="dxa"/>
              <w:left w:w="85" w:type="dxa"/>
              <w:right w:w="85" w:type="dxa"/>
            </w:tcMar>
          </w:tcPr>
          <w:p>
            <w:pPr>
              <w:spacing w:after="0" w:line="250" w:lineRule="auto"/>
            </w:pPr>
            <w:r>
              <w:rPr>
                <w:sz w:val="18"/>
              </w:rPr>
              <w:t>Accessible movement, store/community activities and beginner programmes.</w:t>
            </w:r>
          </w:p>
        </w:tc>
        <w:tc>
          <w:tcPr>
            <w:tcW w:type="dxa" w:w="3755"/>
            <w:vAlign w:val="center"/>
            <w:tcMar>
              <w:top w:w="75" w:type="dxa"/>
              <w:bottom w:w="75" w:type="dxa"/>
              <w:left w:w="85" w:type="dxa"/>
              <w:right w:w="85" w:type="dxa"/>
            </w:tcMar>
          </w:tcPr>
          <w:p>
            <w:pPr>
              <w:spacing w:after="0" w:line="250" w:lineRule="auto"/>
            </w:pPr>
            <w:r>
              <w:rPr>
                <w:sz w:val="18"/>
              </w:rPr>
              <w:t>Low-risk pilot with clear event-to-app conversion.</w:t>
            </w:r>
          </w:p>
        </w:tc>
      </w:tr>
      <w:tr>
        <w:trPr>
          <w:cantSplit/>
        </w:trPr>
        <w:tc>
          <w:tcPr>
            <w:tcW w:type="dxa" w:w="2419"/>
            <w:vAlign w:val="center"/>
            <w:tcMar>
              <w:top w:w="75" w:type="dxa"/>
              <w:bottom w:w="75" w:type="dxa"/>
              <w:left w:w="85" w:type="dxa"/>
              <w:right w:w="85" w:type="dxa"/>
            </w:tcMar>
            <w:shd w:fill="F8F1E9"/>
          </w:tcPr>
          <w:p>
            <w:pPr>
              <w:spacing w:after="0" w:line="250" w:lineRule="auto"/>
            </w:pPr>
            <w:r>
              <w:rPr>
                <w:sz w:val="18"/>
              </w:rPr>
              <w:t>Kenvue</w:t>
            </w:r>
          </w:p>
        </w:tc>
        <w:tc>
          <w:tcPr>
            <w:tcW w:type="dxa" w:w="3773"/>
            <w:vAlign w:val="center"/>
            <w:tcMar>
              <w:top w:w="75" w:type="dxa"/>
              <w:bottom w:w="75" w:type="dxa"/>
              <w:left w:w="85" w:type="dxa"/>
              <w:right w:w="85" w:type="dxa"/>
            </w:tcMar>
            <w:shd w:fill="F8F1E9"/>
          </w:tcPr>
          <w:p>
            <w:pPr>
              <w:spacing w:after="0" w:line="250" w:lineRule="auto"/>
            </w:pPr>
            <w:r>
              <w:rPr>
                <w:sz w:val="18"/>
              </w:rPr>
              <w:t>Appropriate everyday-care education and contextual consumer activity.</w:t>
            </w:r>
          </w:p>
        </w:tc>
        <w:tc>
          <w:tcPr>
            <w:tcW w:type="dxa" w:w="3755"/>
            <w:vAlign w:val="center"/>
            <w:tcMar>
              <w:top w:w="75" w:type="dxa"/>
              <w:bottom w:w="75" w:type="dxa"/>
              <w:left w:w="85" w:type="dxa"/>
              <w:right w:w="85" w:type="dxa"/>
            </w:tcMar>
            <w:shd w:fill="F8F1E9"/>
          </w:tcPr>
          <w:p>
            <w:pPr>
              <w:spacing w:after="0" w:line="250" w:lineRule="auto"/>
            </w:pPr>
            <w:r>
              <w:rPr>
                <w:sz w:val="18"/>
              </w:rPr>
              <w:t>Verify current brand/entity; keep it distinct from the J&amp;J proposition.</w:t>
            </w:r>
          </w:p>
        </w:tc>
      </w:tr>
      <w:tr>
        <w:trPr>
          <w:cantSplit/>
        </w:trPr>
        <w:tc>
          <w:tcPr>
            <w:tcW w:type="dxa" w:w="2419"/>
            <w:vAlign w:val="center"/>
            <w:tcMar>
              <w:top w:w="75" w:type="dxa"/>
              <w:bottom w:w="75" w:type="dxa"/>
              <w:left w:w="85" w:type="dxa"/>
              <w:right w:w="85" w:type="dxa"/>
            </w:tcMar>
          </w:tcPr>
          <w:p>
            <w:pPr>
              <w:spacing w:after="0" w:line="250" w:lineRule="auto"/>
            </w:pPr>
            <w:r>
              <w:rPr>
                <w:sz w:val="18"/>
              </w:rPr>
              <w:t>Johnson &amp; Johnson</w:t>
            </w:r>
          </w:p>
        </w:tc>
        <w:tc>
          <w:tcPr>
            <w:tcW w:type="dxa" w:w="3773"/>
            <w:vAlign w:val="center"/>
            <w:tcMar>
              <w:top w:w="75" w:type="dxa"/>
              <w:bottom w:w="75" w:type="dxa"/>
              <w:left w:w="85" w:type="dxa"/>
              <w:right w:w="85" w:type="dxa"/>
            </w:tcMar>
          </w:tcPr>
          <w:p>
            <w:pPr>
              <w:spacing w:after="0" w:line="250" w:lineRule="auto"/>
            </w:pPr>
            <w:r>
              <w:rPr>
                <w:sz w:val="18"/>
              </w:rPr>
              <w:t>Institutional innovation, research or health-equity discussion.</w:t>
            </w:r>
          </w:p>
        </w:tc>
        <w:tc>
          <w:tcPr>
            <w:tcW w:type="dxa" w:w="3755"/>
            <w:vAlign w:val="center"/>
            <w:tcMar>
              <w:top w:w="75" w:type="dxa"/>
              <w:bottom w:w="75" w:type="dxa"/>
              <w:left w:w="85" w:type="dxa"/>
              <w:right w:w="85" w:type="dxa"/>
            </w:tcMar>
          </w:tcPr>
          <w:p>
            <w:pPr>
              <w:spacing w:after="0" w:line="250" w:lineRule="auto"/>
            </w:pPr>
            <w:r>
              <w:rPr>
                <w:sz w:val="18"/>
              </w:rPr>
              <w:t>Research/education governance; no assumption of a consumer-advertising deal.</w:t>
            </w:r>
          </w:p>
        </w:tc>
      </w:tr>
    </w:tbl>
    <w:p>
      <w:pPr>
        <w:spacing w:after="20" w:before="0" w:line="72" w:lineRule="auto"/>
      </w:pPr>
      <w:r>
        <w:rPr>
          <w:sz w:val="4"/>
        </w:rPr>
      </w:r>
    </w:p>
    <w:p>
      <w:r>
        <w:rPr/>
        <w:t>Additional prospect pools should include Spanish and international gym/studio groups, maternity and lifestyle retailers, employers, universities, professional colleges, pharmacy networks and digital agencies. Lucía's Singapore digital-sector contacts should enter the same register with company, relationship, relevance, contact permission, proposed meeting and evidence of interest. A known firm is not automatically a customer or investment source.</w:t>
      </w:r>
    </w:p>
    <w:p>
      <w:bookmarkStart w:id="24" w:name="section_24"/>
      <w:pPr>
        <w:pStyle w:val="Heading1"/>
      </w:pPr>
      <w:r>
        <w:rPr/>
        <w:t>Annex D. Competitor analysis overview</w:t>
      </w:r>
      <w:bookmarkEnd w:id="24"/>
    </w:p>
    <w:p>
      <w:r>
        <w:rPr/>
        <w:t>The August competitor research provides a useful map but includes binary labels and exclusivity language that should not be repeated uncritically. Keep named competitors and date-stamped evidence. Absence of a public description is not evidence that a capability does not exist. Privacy and AI are necessary capabilities, not automatically a moat. [S04, S07]</w:t>
      </w:r>
    </w:p>
    <w:tbl>
      <w:tblPr>
        <w:tblW w:type="auto" w:w="0"/>
        <w:jc w:val="center"/>
        <w:tblLayout w:type="fixed"/>
        <w:tblLook w:firstColumn="1" w:firstRow="1" w:lastColumn="0" w:lastRow="0" w:noHBand="0" w:noVBand="1" w:val="04A0"/>
      </w:tblPr>
      <w:tblGrid>
        <w:gridCol w:w="2419"/>
        <w:gridCol w:w="3773"/>
        <w:gridCol w:w="3755"/>
      </w:tblGrid>
      <w:tr>
        <w:trPr>
          <w:cantSplit/>
          <w:tblHeader/>
        </w:trPr>
        <w:tc>
          <w:tcPr>
            <w:tcW w:type="dxa" w:w="2419"/>
            <w:vAlign w:val="center"/>
            <w:tcMar>
              <w:top w:w="75" w:type="dxa"/>
              <w:bottom w:w="75" w:type="dxa"/>
              <w:left w:w="85" w:type="dxa"/>
              <w:right w:w="85" w:type="dxa"/>
            </w:tcMar>
            <w:shd w:fill="282220"/>
          </w:tcPr>
          <w:p>
            <w:pPr>
              <w:spacing w:after="0" w:line="250" w:lineRule="auto"/>
            </w:pPr>
            <w:r>
              <w:rPr>
                <w:b/>
                <w:color w:val="FFFFFF"/>
                <w:sz w:val="18"/>
              </w:rPr>
              <w:t>Comparison group</w:t>
            </w:r>
          </w:p>
        </w:tc>
        <w:tc>
          <w:tcPr>
            <w:tcW w:type="dxa" w:w="3773"/>
            <w:vAlign w:val="center"/>
            <w:tcMar>
              <w:top w:w="75" w:type="dxa"/>
              <w:bottom w:w="75" w:type="dxa"/>
              <w:left w:w="85" w:type="dxa"/>
              <w:right w:w="85" w:type="dxa"/>
            </w:tcMar>
            <w:shd w:fill="282220"/>
          </w:tcPr>
          <w:p>
            <w:pPr>
              <w:spacing w:after="0" w:line="250" w:lineRule="auto"/>
            </w:pPr>
            <w:r>
              <w:rPr>
                <w:b/>
                <w:color w:val="FFFFFF"/>
                <w:sz w:val="18"/>
              </w:rPr>
              <w:t>Names retained from the source work</w:t>
            </w:r>
          </w:p>
        </w:tc>
        <w:tc>
          <w:tcPr>
            <w:tcW w:type="dxa" w:w="3755"/>
            <w:vAlign w:val="center"/>
            <w:tcMar>
              <w:top w:w="75" w:type="dxa"/>
              <w:bottom w:w="75" w:type="dxa"/>
              <w:left w:w="85" w:type="dxa"/>
              <w:right w:w="85" w:type="dxa"/>
            </w:tcMar>
            <w:shd w:fill="282220"/>
          </w:tcPr>
          <w:p>
            <w:pPr>
              <w:spacing w:after="0" w:line="250" w:lineRule="auto"/>
            </w:pPr>
            <w:r>
              <w:rPr>
                <w:b/>
                <w:color w:val="FFFFFF"/>
                <w:sz w:val="18"/>
              </w:rPr>
              <w:t>NutriSync test</w:t>
            </w:r>
          </w:p>
        </w:tc>
      </w:tr>
      <w:tr>
        <w:trPr>
          <w:cantSplit/>
        </w:trPr>
        <w:tc>
          <w:tcPr>
            <w:tcW w:type="dxa" w:w="2419"/>
            <w:vAlign w:val="center"/>
            <w:tcMar>
              <w:top w:w="75" w:type="dxa"/>
              <w:bottom w:w="75" w:type="dxa"/>
              <w:left w:w="85" w:type="dxa"/>
              <w:right w:w="85" w:type="dxa"/>
            </w:tcMar>
            <w:shd w:fill="F8F1E9"/>
          </w:tcPr>
          <w:p>
            <w:pPr>
              <w:spacing w:after="0" w:line="250" w:lineRule="auto"/>
            </w:pPr>
            <w:r>
              <w:rPr>
                <w:sz w:val="18"/>
              </w:rPr>
              <w:t>Integrated cycle, movement and nutrition</w:t>
            </w:r>
          </w:p>
        </w:tc>
        <w:tc>
          <w:tcPr>
            <w:tcW w:type="dxa" w:w="3773"/>
            <w:vAlign w:val="center"/>
            <w:tcMar>
              <w:top w:w="75" w:type="dxa"/>
              <w:bottom w:w="75" w:type="dxa"/>
              <w:left w:w="85" w:type="dxa"/>
              <w:right w:w="85" w:type="dxa"/>
            </w:tcMar>
            <w:shd w:fill="F8F1E9"/>
          </w:tcPr>
          <w:p>
            <w:pPr>
              <w:spacing w:after="0" w:line="250" w:lineRule="auto"/>
            </w:pPr>
            <w:r>
              <w:rPr>
                <w:sz w:val="18"/>
              </w:rPr>
              <w:t>Wild.AI, Hormona, 28, Harmony and Flo Living.</w:t>
            </w:r>
          </w:p>
        </w:tc>
        <w:tc>
          <w:tcPr>
            <w:tcW w:type="dxa" w:w="3755"/>
            <w:vAlign w:val="center"/>
            <w:tcMar>
              <w:top w:w="75" w:type="dxa"/>
              <w:bottom w:w="75" w:type="dxa"/>
              <w:left w:w="85" w:type="dxa"/>
              <w:right w:w="85" w:type="dxa"/>
            </w:tcMar>
            <w:shd w:fill="F8F1E9"/>
          </w:tcPr>
          <w:p>
            <w:pPr>
              <w:spacing w:after="0" w:line="250" w:lineRule="auto"/>
            </w:pPr>
            <w:r>
              <w:rPr>
                <w:sz w:val="18"/>
              </w:rPr>
              <w:t>Does cycle-aware guidance around her real needs, with optional community support, justify sustained use?</w:t>
            </w:r>
          </w:p>
        </w:tc>
      </w:tr>
      <w:tr>
        <w:trPr>
          <w:cantSplit/>
        </w:trPr>
        <w:tc>
          <w:tcPr>
            <w:tcW w:type="dxa" w:w="2419"/>
            <w:vAlign w:val="center"/>
            <w:tcMar>
              <w:top w:w="75" w:type="dxa"/>
              <w:bottom w:w="75" w:type="dxa"/>
              <w:left w:w="85" w:type="dxa"/>
              <w:right w:w="85" w:type="dxa"/>
            </w:tcMar>
          </w:tcPr>
          <w:p>
            <w:pPr>
              <w:spacing w:after="0" w:line="250" w:lineRule="auto"/>
            </w:pPr>
            <w:r>
              <w:rPr>
                <w:sz w:val="18"/>
              </w:rPr>
              <w:t>Cycle tracking, education and broader women's-health experience</w:t>
            </w:r>
          </w:p>
        </w:tc>
        <w:tc>
          <w:tcPr>
            <w:tcW w:type="dxa" w:w="3773"/>
            <w:vAlign w:val="center"/>
            <w:tcMar>
              <w:top w:w="75" w:type="dxa"/>
              <w:bottom w:w="75" w:type="dxa"/>
              <w:left w:w="85" w:type="dxa"/>
              <w:right w:w="85" w:type="dxa"/>
            </w:tcMar>
          </w:tcPr>
          <w:p>
            <w:pPr>
              <w:spacing w:after="0" w:line="250" w:lineRule="auto"/>
            </w:pPr>
            <w:r>
              <w:rPr>
                <w:sz w:val="18"/>
              </w:rPr>
              <w:t>Flo and Clue.</w:t>
            </w:r>
          </w:p>
        </w:tc>
        <w:tc>
          <w:tcPr>
            <w:tcW w:type="dxa" w:w="3755"/>
            <w:vAlign w:val="center"/>
            <w:tcMar>
              <w:top w:w="75" w:type="dxa"/>
              <w:bottom w:w="75" w:type="dxa"/>
              <w:left w:w="85" w:type="dxa"/>
              <w:right w:w="85" w:type="dxa"/>
            </w:tcMar>
          </w:tcPr>
          <w:p>
            <w:pPr>
              <w:spacing w:after="0" w:line="250" w:lineRule="auto"/>
            </w:pPr>
            <w:r>
              <w:rPr>
                <w:sz w:val="18"/>
              </w:rPr>
              <w:t>Can woman-centred action and shared support justify choosing NutriSync beyond logging alone?</w:t>
            </w:r>
          </w:p>
        </w:tc>
      </w:tr>
      <w:tr>
        <w:trPr>
          <w:cantSplit/>
        </w:trPr>
        <w:tc>
          <w:tcPr>
            <w:tcW w:type="dxa" w:w="2419"/>
            <w:vAlign w:val="center"/>
            <w:tcMar>
              <w:top w:w="75" w:type="dxa"/>
              <w:bottom w:w="75" w:type="dxa"/>
              <w:left w:w="85" w:type="dxa"/>
              <w:right w:w="85" w:type="dxa"/>
            </w:tcMar>
            <w:shd w:fill="F8F1E9"/>
          </w:tcPr>
          <w:p>
            <w:pPr>
              <w:spacing w:after="0" w:line="250" w:lineRule="auto"/>
            </w:pPr>
            <w:r>
              <w:rPr>
                <w:sz w:val="18"/>
              </w:rPr>
              <w:t>Fertility-focused and regulated uses</w:t>
            </w:r>
          </w:p>
        </w:tc>
        <w:tc>
          <w:tcPr>
            <w:tcW w:type="dxa" w:w="3773"/>
            <w:vAlign w:val="center"/>
            <w:tcMar>
              <w:top w:w="75" w:type="dxa"/>
              <w:bottom w:w="75" w:type="dxa"/>
              <w:left w:w="85" w:type="dxa"/>
              <w:right w:w="85" w:type="dxa"/>
            </w:tcMar>
            <w:shd w:fill="F8F1E9"/>
          </w:tcPr>
          <w:p>
            <w:pPr>
              <w:spacing w:after="0" w:line="250" w:lineRule="auto"/>
            </w:pPr>
            <w:r>
              <w:rPr>
                <w:sz w:val="18"/>
              </w:rPr>
              <w:t>Natural Cycles.</w:t>
            </w:r>
          </w:p>
        </w:tc>
        <w:tc>
          <w:tcPr>
            <w:tcW w:type="dxa" w:w="3755"/>
            <w:vAlign w:val="center"/>
            <w:tcMar>
              <w:top w:w="75" w:type="dxa"/>
              <w:bottom w:w="75" w:type="dxa"/>
              <w:left w:w="85" w:type="dxa"/>
              <w:right w:w="85" w:type="dxa"/>
            </w:tcMar>
            <w:shd w:fill="F8F1E9"/>
          </w:tcPr>
          <w:p>
            <w:pPr>
              <w:spacing w:after="0" w:line="250" w:lineRule="auto"/>
            </w:pPr>
            <w:r>
              <w:rPr>
                <w:sz w:val="18"/>
              </w:rPr>
              <w:t>Avoid suggesting equivalent medical purpose or regulatory status; keep the intended use distinct.</w:t>
            </w:r>
          </w:p>
        </w:tc>
      </w:tr>
      <w:tr>
        <w:trPr>
          <w:cantSplit/>
        </w:trPr>
        <w:tc>
          <w:tcPr>
            <w:tcW w:type="dxa" w:w="2419"/>
            <w:vAlign w:val="center"/>
            <w:tcMar>
              <w:top w:w="75" w:type="dxa"/>
              <w:bottom w:w="75" w:type="dxa"/>
              <w:left w:w="85" w:type="dxa"/>
              <w:right w:w="85" w:type="dxa"/>
            </w:tcMar>
          </w:tcPr>
          <w:p>
            <w:pPr>
              <w:spacing w:after="0" w:line="250" w:lineRule="auto"/>
            </w:pPr>
            <w:r>
              <w:rPr>
                <w:sz w:val="18"/>
              </w:rPr>
              <w:t>Adjacent nutrition, training and wearable experiences</w:t>
            </w:r>
          </w:p>
        </w:tc>
        <w:tc>
          <w:tcPr>
            <w:tcW w:type="dxa" w:w="3773"/>
            <w:vAlign w:val="center"/>
            <w:tcMar>
              <w:top w:w="75" w:type="dxa"/>
              <w:bottom w:w="75" w:type="dxa"/>
              <w:left w:w="85" w:type="dxa"/>
              <w:right w:w="85" w:type="dxa"/>
            </w:tcMar>
          </w:tcPr>
          <w:p>
            <w:pPr>
              <w:spacing w:after="0" w:line="250" w:lineRule="auto"/>
            </w:pPr>
            <w:r>
              <w:rPr>
                <w:sz w:val="18"/>
              </w:rPr>
              <w:t>To be maintained as a separate product-use comparison set.</w:t>
            </w:r>
          </w:p>
        </w:tc>
        <w:tc>
          <w:tcPr>
            <w:tcW w:type="dxa" w:w="3755"/>
            <w:vAlign w:val="center"/>
            <w:tcMar>
              <w:top w:w="75" w:type="dxa"/>
              <w:bottom w:w="75" w:type="dxa"/>
              <w:left w:w="85" w:type="dxa"/>
              <w:right w:w="85" w:type="dxa"/>
            </w:tcMar>
          </w:tcPr>
          <w:p>
            <w:pPr>
              <w:spacing w:after="0" w:line="250" w:lineRule="auto"/>
            </w:pPr>
            <w:r>
              <w:rPr>
                <w:sz w:val="18"/>
              </w:rPr>
              <w:t>Test replacement, complementarity, switching cost and willingness to pay.</w:t>
            </w:r>
          </w:p>
        </w:tc>
      </w:tr>
    </w:tbl>
    <w:p>
      <w:pPr>
        <w:spacing w:after="20" w:before="0" w:line="72" w:lineRule="auto"/>
      </w:pPr>
      <w:r>
        <w:rPr>
          <w:sz w:val="4"/>
        </w:rPr>
      </w:r>
    </w:p>
    <w:p>
      <w:r>
        <w:rPr/>
        <w:t>For each competitive claim, the evidence register should show the public source, observation date, market, product version and whether the claim describes a live feature, a marketing statement or a roadmap. NutriSync's own column must use the same standard. No assertion that rivals need a fixed number of years to copy the product is retained.</w:t>
      </w:r>
    </w:p>
    <w:p>
      <w:bookmarkStart w:id="25" w:name="section_25"/>
      <w:pPr>
        <w:pStyle w:val="Heading1"/>
      </w:pPr>
      <w:r>
        <w:rPr/>
        <w:t>Annex E. Deck and financial reconciliation</w:t>
      </w:r>
      <w:bookmarkEnd w:id="25"/>
    </w:p>
    <w:p>
      <w:r>
        <w:rPr/>
        <w:t xml:space="preserve">The latest retrieved deck is the 7 September upload of </w:t>
      </w:r>
      <w:r>
        <w:rPr>
          <w:b/>
        </w:rPr>
        <w:t>NutriSync PPT Aug 2026.pptx</w:t>
      </w:r>
      <w:r>
        <w:rPr/>
        <w:t>, not the older August PDF. Its funding slide shows €350K while presentation notes retain €250K. Those amounts can now be explained as endpoints of one scoped validation level, but the selected investor-facing ask must still be consistent on the slide, notes and model. [S02]</w:t>
      </w:r>
    </w:p>
    <w:p>
      <w:r>
        <w:rPr/>
        <w:t>The latest deck also mixes a main growth narrative with historical appendix scenarios, and treats several wearable and acquisition assumptions too confidently. Remove or requalify “50% churn reduction,” automatic patient/employee conversion, free API assumptions, hormonal-signature language and a current audience that is actually a future target. Preserve the source files unchanged; make corrections in a separately approved investor version. [S02, S07]</w:t>
      </w:r>
    </w:p>
    <w:p>
      <w:r>
        <w:rPr/>
        <w:t xml:space="preserve">The rebuilt financial workbook's retrieved assumptions explicitly include starting financing of €350K, seed funding in month 13 and, in some scenarios, a further round in month 25. Those inflows are not operating revenue and do not prove a no-investment runway. The Drive file </w:t>
      </w:r>
      <w:r>
        <w:rPr>
          <w:b/>
        </w:rPr>
        <w:t>NutriSync Finance</w:t>
      </w:r>
      <w:r>
        <w:rPr/>
        <w:t xml:space="preserve"> is a different, earlier workbook and must not be relabelled as the rebuilt model. [S08, S08a]</w:t>
      </w:r>
    </w:p>
    <w:p>
      <w:r>
        <w:rPr/>
        <w:t>Before adopting an investor forecast, reconcile opening cash, founder contributions, pricing/taxes, monthly registrations, conversion lag, retention, B2B active contracts, billable seats, support/AI/cloud costs, financing dates and net proceeds. Keep annual earned revenue separate from the year-end annualised run rate. The companion planning workbook in this package supplies transparent budget and funnel assumptions; no claim is made that every formula in the historical models has been audited or repaired.</w:t>
      </w:r>
    </w:p>
    <w:p>
      <w:bookmarkStart w:id="26" w:name="section_26"/>
      <w:pPr>
        <w:pStyle w:val="Heading1"/>
      </w:pPr>
      <w:r>
        <w:rPr/>
        <w:t>Annex F. Tony's questions and source-note treatment</w:t>
      </w:r>
      <w:bookmarkEnd w:id="26"/>
    </w:p>
    <w:p>
      <w:r>
        <w:rPr/>
        <w:t>The source notes attribute two principal requests to Tony: show a practical route to market and explain what materially larger capital would buy. They also raise investor returns and future discussion of valuation/instruments. This proposal answers all four while explaining the smaller cash levels and the founders' independent execution plan. [S11]</w:t>
      </w:r>
    </w:p>
    <w:p>
      <w:r>
        <w:rPr/>
        <w:t>His reported sector background and investment success figures remain unverified. They are not reproduced as third-party validation. The notes contain no confirmed personal cheque size, signed term sheet or investment commitment. His stated diligence period is not used as a cash-receipt date.</w:t>
      </w:r>
    </w:p>
    <w:p>
      <w:r>
        <w:rPr/>
        <w:t>The separate one-page Q&amp;A is the meeting handout. It is intentionally much shorter than the investment and operational detail here. Founder approval is required before it is circulated as the company's formal position.</w:t>
      </w:r>
    </w:p>
    <w:p>
      <w:bookmarkStart w:id="27" w:name="section_27"/>
      <w:pPr>
        <w:pStyle w:val="Heading1"/>
      </w:pPr>
      <w:r>
        <w:rPr/>
        <w:t>Annex G. Source screenshot and product-risk response</w:t>
      </w:r>
      <w:bookmarkEnd w:id="27"/>
    </w:p>
    <w:p>
      <w:r>
        <w:rPr/>
        <w:t>The supplied screenshot draws attention to the distinction between measurement, inference and lived experience. It is included in the source bundle as the exact user-supplied image. It is not treated as evidence of a court finding or as a competitor-disparagement claim. [S12]</w:t>
      </w:r>
    </w:p>
    <w:p>
      <w:r>
        <w:rPr/>
        <w:t>The proposed response is a product control: label source observations, algorithmic estimates, user reports and recommendations differently; retain timestamps and provenance; expose uncertainty; and provide correction, decline and disconnection paths. This applies equally to meal estimates, activity interpretation, cycle context, recovery metrics and pregnancy content.</w:t>
      </w:r>
    </w:p>
    <w:p>
      <w:bookmarkStart w:id="28" w:name="section_28"/>
      <w:pPr>
        <w:pStyle w:val="Heading1"/>
      </w:pPr>
      <w:r>
        <w:rPr/>
        <w:t>Annex H. International support and readiness reference notes</w:t>
      </w:r>
      <w:bookmarkEnd w:id="28"/>
    </w:p>
    <w:p>
      <w:r>
        <w:rPr/>
        <w:t xml:space="preserve">Singapore government support is an </w:t>
      </w:r>
      <w:r>
        <w:rPr>
          <w:b/>
        </w:rPr>
        <w:t>eligibility-dependent option</w:t>
      </w:r>
      <w:r>
        <w:rPr/>
        <w:t>, not a personal entitlement arising from PR status. Lucía's network provides an initial route to discovery; a suitable company, project, ownership structure and operational commitment must still exist. Grant conditions can affect hiring, location of activity, intellectual property, expenditure timing, co-funding and reporting. No award or eligibility has been established for NutriSync. [W01–W04]</w:t>
      </w:r>
    </w:p>
    <w:p>
      <w:r>
        <w:rPr/>
        <w:t>Australia is likewise an exploration candidate, not a pre-approved destination. Assess consumers, partner appetite, regulatory status and full costs before opening a local operation. R&amp;D tax support concerns eligible entities and qualifying activities, not all software development, marketing or international expansion. [W05–W07]</w:t>
      </w:r>
    </w:p>
    <w:p>
      <w:r>
        <w:rPr/>
        <w:t>The international decision file should end with one of four outcomes: continue discovery; authorise a bounded pilot; approve a launch budget; or defer. Every approval has an owner, spending cap and review date. A grant application alone is not a go-to-market strategy.</w:t>
      </w:r>
    </w:p>
    <w:p>
      <w:bookmarkStart w:id="29" w:name="section_29"/>
      <w:pPr>
        <w:pStyle w:val="Heading1"/>
      </w:pPr>
      <w:r>
        <w:rPr/>
        <w:t>Annex I. Public references</w:t>
      </w:r>
      <w:bookmarkEnd w:id="29"/>
    </w:p>
    <w:p>
      <w:r>
        <w:rPr/>
        <w:t xml:space="preserve">Public sources were reviewed on </w:t>
      </w:r>
      <w:r>
        <w:rPr>
          <w:b/>
        </w:rPr>
        <w:t>7 September 2026</w:t>
      </w:r>
      <w:r>
        <w:rPr/>
        <w:t xml:space="preserve"> for the specific propositions used here. The legal/eligibility notes are an initial screen, not professional sign-off. Source pages and scheme conditions must be rechecked before submission or launch.</w:t>
      </w:r>
    </w:p>
    <w:p>
      <w:pPr>
        <w:pStyle w:val="ListBullet"/>
        <w:spacing w:after="100"/>
      </w:pPr>
      <w:r>
        <w:rPr>
          <w:b/>
        </w:rPr>
        <w:t>W01 — Enterprise Singapore, Enterprise Development Grant.</w:t>
      </w:r>
      <w:r>
        <w:rPr/>
        <w:t xml:space="preserve"> Singapore operation, qualifying ultimate citizen/PR ownership, project readiness and the published EDGE transition notice. </w:t>
      </w:r>
      <w:hyperlink r:id="rId11">
        <w:r>
          <w:rPr>
            <w:color w:val="BF5037"/>
          </w:rPr>
          <w:t>https://www.enterprisesg.gov.sg/financial-support/enterprise-development-grant</w:t>
        </w:r>
      </w:hyperlink>
    </w:p>
    <w:p>
      <w:pPr>
        <w:pStyle w:val="ListBullet"/>
        <w:spacing w:after="100"/>
      </w:pPr>
      <w:r>
        <w:rPr>
          <w:b/>
        </w:rPr>
        <w:t>W02 — Singapore MTI, written parliamentary reply, 5 August 2026.</w:t>
      </w:r>
      <w:r>
        <w:rPr/>
        <w:t xml:space="preserve"> Startup SG Founder applicant and company-age conditions. </w:t>
      </w:r>
      <w:hyperlink r:id="rId12">
        <w:r>
          <w:rPr>
            <w:color w:val="BF5037"/>
          </w:rPr>
          <w:t>https://www.mti.gov.sg/newsroom/written-reply-to-pq-on-reviewing-requirement-in-startup-sg-founder-programme-for-at-least-one-first-time-founder-that-has-no-prior-registered-private-limited-entity/</w:t>
        </w:r>
      </w:hyperlink>
    </w:p>
    <w:p>
      <w:pPr>
        <w:pStyle w:val="ListBullet"/>
        <w:spacing w:after="100"/>
      </w:pPr>
      <w:r>
        <w:rPr>
          <w:b/>
        </w:rPr>
        <w:t>W03 — Startup SG, Startup SG Tech.</w:t>
      </w:r>
      <w:r>
        <w:rPr/>
        <w:t xml:space="preserve"> Proprietary technology, off-the-shelf integration distinction and share-subscription component. </w:t>
      </w:r>
      <w:hyperlink r:id="rId13">
        <w:r>
          <w:rPr>
            <w:color w:val="BF5037"/>
          </w:rPr>
          <w:t>https://www.startupsg.gov.sg/programmes/4897/startup-sg-tech</w:t>
        </w:r>
      </w:hyperlink>
    </w:p>
    <w:p>
      <w:pPr>
        <w:pStyle w:val="ListBullet"/>
        <w:spacing w:after="100"/>
      </w:pPr>
      <w:r>
        <w:rPr>
          <w:b/>
        </w:rPr>
        <w:t>W04 — Enterprise Singapore, Market Readiness Assistance.</w:t>
      </w:r>
      <w:r>
        <w:rPr/>
        <w:t xml:space="preserve"> Overseas expansion scope, ownership/project requirements and transition notice. </w:t>
      </w:r>
      <w:hyperlink r:id="rId14">
        <w:r>
          <w:rPr>
            <w:color w:val="BF5037"/>
          </w:rPr>
          <w:t>https://www.enterprisesg.gov.sg/financial-support/market-readiness-assistance-grant</w:t>
        </w:r>
      </w:hyperlink>
    </w:p>
    <w:p>
      <w:pPr>
        <w:pStyle w:val="ListBullet"/>
        <w:spacing w:after="100"/>
      </w:pPr>
      <w:r>
        <w:rPr>
          <w:b/>
        </w:rPr>
        <w:t>W05 — Australian TGA, behavioural change or coaching software exclusion.</w:t>
      </w:r>
      <w:r>
        <w:rPr/>
        <w:t xml:space="preserve"> Intended-purpose and exclusion assessment. </w:t>
      </w:r>
      <w:hyperlink r:id="rId15">
        <w:r>
          <w:rPr>
            <w:color w:val="BF5037"/>
          </w:rPr>
          <w:t>https://www.tga.gov.au/resources/guidance/understanding-behavioural-change-or-coaching-software-exclusion</w:t>
        </w:r>
      </w:hyperlink>
    </w:p>
    <w:p>
      <w:pPr>
        <w:pStyle w:val="ListBullet"/>
        <w:spacing w:after="100"/>
      </w:pPr>
      <w:r>
        <w:rPr>
          <w:b/>
        </w:rPr>
        <w:t>W06 — OAIC, Guide to health privacy.</w:t>
      </w:r>
      <w:r>
        <w:rPr/>
        <w:t xml:space="preserve"> Australian health-information privacy assessment. </w:t>
      </w:r>
      <w:hyperlink r:id="rId16">
        <w:r>
          <w:rPr>
            <w:color w:val="BF5037"/>
          </w:rPr>
          <w:t>https://www.oaic.gov.au/privacy/privacy-guidance-for-organisations-and-government-agencies/health-service-providers/guide-to-health-privacy</w:t>
        </w:r>
      </w:hyperlink>
    </w:p>
    <w:p>
      <w:pPr>
        <w:pStyle w:val="ListBullet"/>
        <w:spacing w:after="100"/>
      </w:pPr>
      <w:r>
        <w:rPr>
          <w:b/>
        </w:rPr>
        <w:t>W07 — Australian Government, R&amp;D Tax Incentive eligibility.</w:t>
      </w:r>
      <w:r>
        <w:rPr/>
        <w:t xml:space="preserve"> Entity and activity eligibility; not a general market-entry subsidy. </w:t>
      </w:r>
      <w:hyperlink r:id="rId17">
        <w:r>
          <w:rPr>
            <w:color w:val="BF5037"/>
          </w:rPr>
          <w:t>https://business.gov.au/grants-and-programs/research-and-development-tax-incentive/check-if-you-are-eligible-for-the-randd-tax-incentive</w:t>
        </w:r>
      </w:hyperlink>
    </w:p>
    <w:p>
      <w:pPr>
        <w:pStyle w:val="ListBullet"/>
        <w:spacing w:after="100"/>
      </w:pPr>
      <w:r>
        <w:rPr>
          <w:b/>
        </w:rPr>
        <w:t>W08 — Supabase, Shared Responsibility Model.</w:t>
      </w:r>
      <w:r>
        <w:rPr/>
        <w:t xml:space="preserve"> Customer responsibility for access, data and application security. </w:t>
      </w:r>
      <w:hyperlink r:id="rId18">
        <w:r>
          <w:rPr>
            <w:color w:val="BF5037"/>
          </w:rPr>
          <w:t>https://supabase.com/docs/guides/deployment/shared-responsibility-model</w:t>
        </w:r>
      </w:hyperlink>
    </w:p>
    <w:p>
      <w:pPr>
        <w:pStyle w:val="ListBullet"/>
        <w:spacing w:after="100"/>
      </w:pPr>
      <w:r>
        <w:rPr>
          <w:b/>
        </w:rPr>
        <w:t>W09 — OpenAI, API data controls.</w:t>
      </w:r>
      <w:r>
        <w:rPr/>
        <w:t xml:space="preserve"> Training default, retention and regional controls. </w:t>
      </w:r>
      <w:hyperlink r:id="rId19">
        <w:r>
          <w:rPr>
            <w:color w:val="BF5037"/>
          </w:rPr>
          <w:t>https://platform.openai.com/docs/guides/your-data</w:t>
        </w:r>
      </w:hyperlink>
    </w:p>
    <w:p>
      <w:pPr>
        <w:pStyle w:val="ListBullet"/>
        <w:spacing w:after="100"/>
      </w:pPr>
      <w:r>
        <w:rPr>
          <w:b/>
        </w:rPr>
        <w:t>W10 — EU GDPR.</w:t>
      </w:r>
      <w:r>
        <w:rPr/>
        <w:t xml:space="preserve"> Health data, accountability, security and transfer framework. </w:t>
      </w:r>
      <w:hyperlink r:id="rId20">
        <w:r>
          <w:rPr>
            <w:color w:val="BF5037"/>
          </w:rPr>
          <w:t>https://eur-lex.europa.eu/eli/reg/2016/679/oj/eng</w:t>
        </w:r>
      </w:hyperlink>
    </w:p>
    <w:p>
      <w:pPr>
        <w:pStyle w:val="ListBullet"/>
        <w:spacing w:after="100"/>
      </w:pPr>
      <w:r>
        <w:rPr>
          <w:b/>
        </w:rPr>
        <w:t>W11 — Singapore PDPC, Data Protection Obligations.</w:t>
      </w:r>
      <w:r>
        <w:rPr/>
        <w:t xml:space="preserve"> Accountability, protection, retention and cross-border transfer requirements. </w:t>
      </w:r>
      <w:hyperlink r:id="rId21">
        <w:r>
          <w:rPr>
            <w:color w:val="BF5037"/>
          </w:rPr>
          <w:t>https://www.pdpc.gov.sg/overview-of-pdpa/the-legislation/personal-data-protection-act/data-protection-obligations</w:t>
        </w:r>
      </w:hyperlink>
    </w:p>
    <w:p>
      <w:pPr>
        <w:pStyle w:val="ListBullet"/>
        <w:spacing w:after="100"/>
      </w:pPr>
      <w:r>
        <w:rPr>
          <w:b/>
        </w:rPr>
        <w:t>W12 — Singapore HSA, Digital Health.</w:t>
      </w:r>
      <w:r>
        <w:rPr/>
        <w:t xml:space="preserve"> Medical-purpose test for digital health devices. </w:t>
      </w:r>
      <w:hyperlink r:id="rId22">
        <w:r>
          <w:rPr>
            <w:color w:val="BF5037"/>
          </w:rPr>
          <w:t>https://www.hsa.gov.sg/medical-devices/digital-health/</w:t>
        </w:r>
      </w:hyperlink>
    </w:p>
    <w:p>
      <w:pPr>
        <w:pStyle w:val="ListBullet"/>
        <w:spacing w:after="100"/>
      </w:pPr>
      <w:r>
        <w:rPr>
          <w:b/>
        </w:rPr>
        <w:t>W13 — European Commission, MDCG 2019-11 rev.1, June 2025.</w:t>
      </w:r>
      <w:r>
        <w:rPr/>
        <w:t xml:space="preserve"> Medical-software qualification and classification guidance. </w:t>
      </w:r>
      <w:hyperlink r:id="rId23">
        <w:r>
          <w:rPr>
            <w:color w:val="BF5037"/>
          </w:rPr>
          <w:t>https://health.ec.europa.eu/latest-updates/update-mdcg-2019-11-rev1-qualification-and-classification-software-regulation-eu-2017745-and-2025-06-17_en</w:t>
        </w:r>
      </w:hyperlink>
    </w:p>
    <w:p>
      <w:pPr>
        <w:pStyle w:val="ListBullet"/>
        <w:spacing w:after="100"/>
      </w:pPr>
      <w:r>
        <w:rPr>
          <w:b/>
        </w:rPr>
        <w:t>W14 — Deloitte/Doblin, Innovation.</w:t>
      </w:r>
      <w:r>
        <w:rPr/>
        <w:t xml:space="preserve"> Ten Types and integrated innovation approach. </w:t>
      </w:r>
      <w:hyperlink r:id="rId24">
        <w:r>
          <w:rPr>
            <w:color w:val="BF5037"/>
          </w:rPr>
          <w:t>https://www.deloitte.com/gr/en/services/consulting/services/innovation-doblin-consulting-services.html</w:t>
        </w:r>
      </w:hyperlink>
    </w:p>
    <w:p>
      <w:pPr>
        <w:pStyle w:val="ListBullet"/>
        <w:spacing w:after="100"/>
      </w:pPr>
      <w:r>
        <w:rPr>
          <w:b/>
        </w:rPr>
        <w:t>W15 — Blue Ocean Strategy, ERRC grid.</w:t>
      </w:r>
      <w:r>
        <w:rPr/>
        <w:t xml:space="preserve"> Eliminate, reduce, raise and create. </w:t>
      </w:r>
      <w:hyperlink r:id="rId25">
        <w:r>
          <w:rPr>
            <w:color w:val="BF5037"/>
          </w:rPr>
          <w:t>https://www.blueoceanstrategy.com/tools/errc-grid/</w:t>
        </w:r>
      </w:hyperlink>
    </w:p>
    <w:p>
      <w:pPr>
        <w:pStyle w:val="ListBullet"/>
        <w:spacing w:after="100"/>
      </w:pPr>
      <w:r>
        <w:rPr>
          <w:b/>
        </w:rPr>
        <w:t>W16 — Oura API and MCP Agreement.</w:t>
      </w:r>
      <w:r>
        <w:rPr/>
        <w:t xml:space="preserve"> Provider-specific permitted uses and AI restrictions. </w:t>
      </w:r>
      <w:hyperlink r:id="rId26">
        <w:r>
          <w:rPr>
            <w:color w:val="BF5037"/>
          </w:rPr>
          <w:t>https://cloud.ouraring.com/legal/api-agreement</w:t>
        </w:r>
      </w:hyperlink>
    </w:p>
    <w:p>
      <w:bookmarkStart w:id="30" w:name="section_30"/>
      <w:pPr>
        <w:pStyle w:val="Heading1"/>
      </w:pPr>
      <w:r>
        <w:rPr/>
        <w:t>Annex J. Assumptions and approval record</w:t>
      </w:r>
      <w:bookmarkEnd w:id="30"/>
    </w:p>
    <w:p>
      <w:r>
        <w:rPr>
          <w:b/>
        </w:rPr>
        <w:t>New proposal, not historical fact:</w:t>
      </w:r>
      <w:r>
        <w:rPr/>
        <w:t xml:space="preserve"> all six budget allocations; approximately 90-day/12-month/24-month work horizons; staffing ranges; content release quantities; marketing/distribution splits; country-readiness allocations; acquisition and retention examples; the €6/€3.50 modelling revenues; and the valuation/return illustration.</w:t>
      </w:r>
    </w:p>
    <w:p>
      <w:r>
        <w:t xml:space="preserve">Founder-provided context: intention to proceed with own capacity; a cloud-delivered business; Australia and Singapore as exploration candidates; and Lucía's Singapore PR status and digital-sector relationships. </w:t>
      </w:r>
      <w:r>
        <w:rPr>
          <w:b/>
        </w:rPr>
        <w:t>The 8 September 2026 positioning clarification places the woman, her cycle and her community at the core, with 'Nutrition that moooves with your Cycle' as the primary tagline.</w:t>
      </w:r>
      <w:r>
        <w:t xml:space="preserve"> These inputs are not evidence of funding, scheme eligibility, community size or signed partnerships.</w:t>
      </w:r>
    </w:p>
    <w:p>
      <w:r>
        <w:t>Required approvals before external adoption: funding scope; founder contribution schedule; product and community maturity; actual incorporation/controller status; pricing; clinical/pregnancy boundaries; member moderation and privacy controls; brand/campaign copy; grant eligibility; and one reconciled financial model. The financial envelopes and assumptions are unchanged by this positioning revision. Source originals and legal drafts remain preserved.</w:t>
      </w:r>
    </w:p>
    <w:sectPr w:rsidR="00FC693F" w:rsidRPr="0006063C" w:rsidSect="00034616">
      <w:headerReference w:type="default" r:id="rId9"/>
      <w:footerReference w:type="default" r:id="rId10"/>
      <w:pgSz w:w="11905" w:h="16838"/>
      <w:pgMar w:top="994" w:right="979" w:bottom="950" w:left="979" w:header="374" w:footer="36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pPr>
    <w:r>
      <w:rPr>
        <w:color w:val="6D625D"/>
        <w:sz w:val="16"/>
      </w:rPr>
      <w:t>Confidential discussion draft  ·  8 September 2026</w:t>
    </w:r>
    <w:r>
      <w:rPr>
        <w:sz w:val="16"/>
      </w:rPr>
      <w:t xml:space="preserve">        |  </w:t>
    </w: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Calibri" w:hAnsi="Calibri"/>
        <w:color w:val="6D625D"/>
        <w:sz w:val="16"/>
      </w:rPr>
      <w:t>NUTRISYNC COLLECTIVE  /  VALUE &amp; BUSINESS PROPOSITION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20" w:line="264" w:lineRule="auto"/>
    </w:pPr>
    <w:rPr>
      <w:rFonts w:ascii="Calibri" w:hAnsi="Calibri"/>
      <w:color w:val="28222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00" w:after="120"/>
      <w:outlineLvl w:val="0"/>
    </w:pPr>
    <w:rPr>
      <w:rFonts w:asciiTheme="majorHAnsi" w:eastAsiaTheme="majorEastAsia" w:hAnsiTheme="majorHAnsi" w:cstheme="majorBidi" w:ascii="Calibri" w:hAnsi="Calibri"/>
      <w:b/>
      <w:bCs/>
      <w:color w:val="BF5037"/>
      <w:sz w:val="34"/>
      <w:szCs w:val="28"/>
    </w:rPr>
  </w:style>
  <w:style w:type="paragraph" w:styleId="Heading2">
    <w:name w:val="heading 2"/>
    <w:basedOn w:val="Normal"/>
    <w:next w:val="Normal"/>
    <w:link w:val="Heading2Char"/>
    <w:uiPriority w:val="9"/>
    <w:unhideWhenUsed/>
    <w:qFormat/>
    <w:rsid w:val="00FC693F"/>
    <w:pPr>
      <w:keepNext/>
      <w:keepLines/>
      <w:spacing w:before="180" w:after="120"/>
      <w:outlineLvl w:val="1"/>
    </w:pPr>
    <w:rPr>
      <w:rFonts w:asciiTheme="majorHAnsi" w:eastAsiaTheme="majorEastAsia" w:hAnsiTheme="majorHAnsi" w:cstheme="majorBidi" w:ascii="Calibri" w:hAnsi="Calibri"/>
      <w:b/>
      <w:bCs/>
      <w:color w:val="282220"/>
      <w:sz w:val="25"/>
      <w:szCs w:val="26"/>
    </w:rPr>
  </w:style>
  <w:style w:type="paragraph" w:styleId="Heading3">
    <w:name w:val="heading 3"/>
    <w:basedOn w:val="Normal"/>
    <w:next w:val="Normal"/>
    <w:link w:val="Heading3Char"/>
    <w:uiPriority w:val="9"/>
    <w:unhideWhenUsed/>
    <w:qFormat/>
    <w:rsid w:val="00FC693F"/>
    <w:pPr>
      <w:keepNext/>
      <w:keepLines/>
      <w:spacing w:before="180" w:after="120"/>
      <w:outlineLvl w:val="2"/>
    </w:pPr>
    <w:rPr>
      <w:rFonts w:asciiTheme="majorHAnsi" w:eastAsiaTheme="majorEastAsia" w:hAnsiTheme="majorHAnsi" w:cstheme="majorBidi" w:ascii="Calibri" w:hAnsi="Calibri"/>
      <w:b/>
      <w:bCs/>
      <w:color w:val="28222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282220"/>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widowControl/>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widowControl/>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www.enterprisesg.gov.sg/financial-support/enterprise-development-grant" TargetMode="External"/><Relationship Id="rId12" Type="http://schemas.openxmlformats.org/officeDocument/2006/relationships/hyperlink" Target="https://www.mti.gov.sg/newsroom/written-reply-to-pq-on-reviewing-requirement-in-startup-sg-founder-programme-for-at-least-one-first-time-founder-that-has-no-prior-registered-private-limited-entity/" TargetMode="External"/><Relationship Id="rId13" Type="http://schemas.openxmlformats.org/officeDocument/2006/relationships/hyperlink" Target="https://www.startupsg.gov.sg/programmes/4897/startup-sg-tech" TargetMode="External"/><Relationship Id="rId14" Type="http://schemas.openxmlformats.org/officeDocument/2006/relationships/hyperlink" Target="https://www.enterprisesg.gov.sg/financial-support/market-readiness-assistance-grant" TargetMode="External"/><Relationship Id="rId15" Type="http://schemas.openxmlformats.org/officeDocument/2006/relationships/hyperlink" Target="https://www.tga.gov.au/resources/guidance/understanding-behavioural-change-or-coaching-software-exclusion" TargetMode="External"/><Relationship Id="rId16" Type="http://schemas.openxmlformats.org/officeDocument/2006/relationships/hyperlink" Target="https://www.oaic.gov.au/privacy/privacy-guidance-for-organisations-and-government-agencies/health-service-providers/guide-to-health-privacy" TargetMode="External"/><Relationship Id="rId17" Type="http://schemas.openxmlformats.org/officeDocument/2006/relationships/hyperlink" Target="https://business.gov.au/grants-and-programs/research-and-development-tax-incentive/check-if-you-are-eligible-for-the-randd-tax-incentive" TargetMode="External"/><Relationship Id="rId18" Type="http://schemas.openxmlformats.org/officeDocument/2006/relationships/hyperlink" Target="https://supabase.com/docs/guides/deployment/shared-responsibility-model" TargetMode="External"/><Relationship Id="rId19" Type="http://schemas.openxmlformats.org/officeDocument/2006/relationships/hyperlink" Target="https://platform.openai.com/docs/guides/your-data" TargetMode="External"/><Relationship Id="rId20" Type="http://schemas.openxmlformats.org/officeDocument/2006/relationships/hyperlink" Target="https://eur-lex.europa.eu/eli/reg/2016/679/oj/eng" TargetMode="External"/><Relationship Id="rId21" Type="http://schemas.openxmlformats.org/officeDocument/2006/relationships/hyperlink" Target="https://www.pdpc.gov.sg/overview-of-pdpa/the-legislation/personal-data-protection-act/data-protection-obligations" TargetMode="External"/><Relationship Id="rId22" Type="http://schemas.openxmlformats.org/officeDocument/2006/relationships/hyperlink" Target="https://www.hsa.gov.sg/medical-devices/digital-health/" TargetMode="External"/><Relationship Id="rId23" Type="http://schemas.openxmlformats.org/officeDocument/2006/relationships/hyperlink" Target="https://health.ec.europa.eu/latest-updates/update-mdcg-2019-11-rev1-qualification-and-classification-software-regulation-eu-2017745-and-2025-06-17_en" TargetMode="External"/><Relationship Id="rId24" Type="http://schemas.openxmlformats.org/officeDocument/2006/relationships/hyperlink" Target="https://www.deloitte.com/gr/en/services/consulting/services/innovation-doblin-consulting-services.html" TargetMode="External"/><Relationship Id="rId25" Type="http://schemas.openxmlformats.org/officeDocument/2006/relationships/hyperlink" Target="https://www.blueoceanstrategy.com/tools/errc-grid/" TargetMode="External"/><Relationship Id="rId26" Type="http://schemas.openxmlformats.org/officeDocument/2006/relationships/hyperlink" Target="https://cloud.ouraring.com/legal/api-agreemen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NutriSync | Nutrition that moooves with your Cycle | Value and Business Proposal</dc:title>
  <dc:subject>Woman-centred, cycle-aware and community-led business proposition</dc:subject>
  <dc:creator>NutriSync Collective</dc:creator>
  <cp:keywords>NutriSync; business proposition; capital options; Spain; Australia; Singapore</cp:keywords>
  <dc:description>Positioning revision. Financial assumptions and source originals retained.</dc:description>
  <cp:lastModifiedBy/>
  <cp:revision>1</cp:revision>
  <dcterms:created xsi:type="dcterms:W3CDTF">2013-12-23T23:15:00Z</dcterms:created>
  <dcterms:modified xsi:type="dcterms:W3CDTF">2013-12-23T23:15:00Z</dcterms:modified>
  <cp:category/>
  <cp:version>1.1</cp:version>
</cp:coreProperties>
</file>