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BA" w:rsidRPr="00F024BA" w:rsidRDefault="00F024BA" w:rsidP="00F024B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 xml:space="preserve">Использование </w:t>
      </w:r>
      <w:proofErr w:type="spellStart"/>
      <w:r w:rsidRPr="00F024B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>-последовательностей SQL</w:t>
      </w:r>
    </w:p>
    <w:p w:rsidR="00F024BA" w:rsidRPr="00F024BA" w:rsidRDefault="00F024BA" w:rsidP="008173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Драйвер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Microsoft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JDBC для SQL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Server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поддерживает использование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-последовательностей SQL, </w:t>
      </w:r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описанных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в определении API JDBC. 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-последовательности используются в инструкции SQL для передачи драйверу сведений о том, что экранированные части SQL-строки должны обрабатываться иначе. При обработке драйвером JDBC части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-последовательности SQL-строки выполняется преобразование этой части строки в SQL-код, </w:t>
      </w:r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распознаваемый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SQL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Server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Существует пять типов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-последовательностей, требуемых API JDBC, и все они поддерживаются драйвером JDBC: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Литералы-шаблоны LIKE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Обработка функций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Литералы даты и времени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Вызовы хранимых процедур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Внешние </w:t>
      </w:r>
      <w:r w:rsidR="00145A75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объе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динения</w:t>
      </w:r>
    </w:p>
    <w:p w:rsidR="00F024BA" w:rsidRPr="00DC5F4D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DC5F4D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Escape-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синтаксис</w:t>
      </w:r>
      <w:r w:rsidRPr="00DC5F4D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LIMIT</w:t>
      </w:r>
      <w:r w:rsidR="00306B65" w:rsidRPr="00DC5F4D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r w:rsidR="00306B65" w:rsidRPr="00DC5F4D">
        <w:rPr>
          <w:rFonts w:ascii="Segoe UI" w:eastAsia="Times New Roman" w:hAnsi="Segoe UI" w:cs="Segoe UI"/>
          <w:i/>
          <w:color w:val="171717"/>
          <w:sz w:val="24"/>
          <w:szCs w:val="24"/>
          <w:lang w:val="en-US" w:eastAsia="ru-RU"/>
        </w:rPr>
        <w:t>(</w:t>
      </w:r>
      <w:r w:rsidR="00306B65" w:rsidRPr="00306B65">
        <w:rPr>
          <w:rFonts w:ascii="Segoe UI" w:eastAsia="Times New Roman" w:hAnsi="Segoe UI" w:cs="Segoe UI"/>
          <w:i/>
          <w:color w:val="171717"/>
          <w:sz w:val="24"/>
          <w:szCs w:val="24"/>
          <w:lang w:eastAsia="ru-RU"/>
        </w:rPr>
        <w:t>типа</w:t>
      </w:r>
      <w:r w:rsidR="00306B65" w:rsidRPr="00DC5F4D">
        <w:rPr>
          <w:rFonts w:ascii="Segoe UI" w:eastAsia="Times New Roman" w:hAnsi="Segoe UI" w:cs="Segoe UI"/>
          <w:i/>
          <w:color w:val="171717"/>
          <w:sz w:val="24"/>
          <w:szCs w:val="24"/>
          <w:lang w:val="en-US" w:eastAsia="ru-RU"/>
        </w:rPr>
        <w:t xml:space="preserve"> </w:t>
      </w:r>
      <w:r w:rsidR="00306B65" w:rsidRPr="00306B65">
        <w:rPr>
          <w:rFonts w:ascii="Segoe UI" w:eastAsia="Times New Roman" w:hAnsi="Segoe UI" w:cs="Segoe UI"/>
          <w:i/>
          <w:color w:val="171717"/>
          <w:sz w:val="24"/>
          <w:szCs w:val="24"/>
          <w:lang w:val="en-US" w:eastAsia="ru-RU"/>
        </w:rPr>
        <w:t>TOP</w:t>
      </w:r>
      <w:r w:rsidR="00306B65" w:rsidRPr="00DC5F4D">
        <w:rPr>
          <w:rFonts w:ascii="Segoe UI" w:eastAsia="Times New Roman" w:hAnsi="Segoe UI" w:cs="Segoe UI"/>
          <w:i/>
          <w:color w:val="171717"/>
          <w:sz w:val="24"/>
          <w:szCs w:val="24"/>
          <w:lang w:val="en-US" w:eastAsia="ru-RU"/>
        </w:rPr>
        <w:t>)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Драйвер JDBC использует следующий синтаксис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-последовательности: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keyword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 ...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parameters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...}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:rsidR="00F024BA" w:rsidRPr="00F024BA" w:rsidRDefault="00F024BA" w:rsidP="00F024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Для драйвера JDBC всегда включена обработка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 SQL.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следующих разделах описывается пять типов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 и способы их поддержки драйвером JDBC.</w:t>
      </w:r>
    </w:p>
    <w:p w:rsidR="00F024BA" w:rsidRPr="00F024BA" w:rsidRDefault="00F024BA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Литералы-шаблоны LIKE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Драйвер JDBC поддерживает синтаксис 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escape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 '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escape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character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'}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использования шаблонов предложения LIKE в качестве литералов. Например, в следующем коде возвращаются значения col3, для которых значение col2 начинается с символа подчеркивания (и не используется как шаблон).</w:t>
      </w:r>
    </w:p>
    <w:p w:rsidR="00F024BA" w:rsidRPr="00DC5F4D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DC5F4D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Java</w:t>
      </w:r>
    </w:p>
    <w:p w:rsidR="00F024BA" w:rsidRPr="00DC5F4D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ResultSet</w:t>
      </w:r>
      <w:proofErr w:type="spell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rst</w:t>
      </w:r>
      <w:proofErr w:type="spell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stmt.executeQuery</w:t>
      </w:r>
      <w:proofErr w:type="spell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DC5F4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"SELECT col3 FROM test1 WHERE col2   </w:t>
      </w:r>
    </w:p>
    <w:p w:rsidR="00F024BA" w:rsidRPr="00DC5F4D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DC5F4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LIKE '\\_%' {escape '\\'}"</w:t>
      </w: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);  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DC5F4D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eastAsia="ru-RU"/>
        </w:rPr>
        <w:t> </w:t>
      </w:r>
      <w:r w:rsidRPr="00F024B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Примечание</w:t>
      </w:r>
    </w:p>
    <w:p w:rsidR="00F024BA" w:rsidRPr="00F024BA" w:rsidRDefault="00F024BA" w:rsidP="00F024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-последовательность должна быть в конце инструкции SQL. При наличии в командной строке нескольких инструкций SQL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-последовательность должна быть в конце каждой соответствующей инструкции SQL.</w:t>
      </w:r>
    </w:p>
    <w:p w:rsidR="00F024BA" w:rsidRPr="00F024BA" w:rsidRDefault="00F024BA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lastRenderedPageBreak/>
        <w:t>Обработка функций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Драйвер JDBC поддерживает использование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 функций в инструкциях SQL со следующим синтаксисом: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fn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functionName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}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functionName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 собой функцию, поддерживаемую драйвером JDBC. Пример: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</w:p>
    <w:p w:rsidR="00F024BA" w:rsidRPr="00817353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81735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SELECT</w:t>
      </w:r>
      <w:r w:rsidRPr="00817353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{</w:t>
      </w:r>
      <w:proofErr w:type="spellStart"/>
      <w:r w:rsidRPr="00817353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fn</w:t>
      </w:r>
      <w:proofErr w:type="spellEnd"/>
      <w:r w:rsidRPr="00817353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81735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UCASE</w:t>
      </w:r>
      <w:r w:rsidRPr="00817353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1735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Name</w:t>
      </w:r>
      <w:r w:rsidRPr="00817353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)} </w:t>
      </w:r>
      <w:r w:rsidRPr="00817353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FROM</w:t>
      </w:r>
      <w:r w:rsidRPr="00817353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Employee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следующей таблице перечислены различные функции, поддерживаемые драйвером JDBC при использовании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 функций: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2393"/>
        <w:gridCol w:w="2464"/>
        <w:gridCol w:w="2526"/>
      </w:tblGrid>
      <w:tr w:rsidR="00F024BA" w:rsidRPr="00F024BA" w:rsidTr="00F024B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Строковые функции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Числовые функции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Функции </w:t>
            </w:r>
            <w:proofErr w:type="spellStart"/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Системные функции</w:t>
            </w:r>
          </w:p>
        </w:tc>
      </w:tr>
      <w:tr w:rsidR="00F024BA" w:rsidRPr="00F024BA" w:rsidTr="00F024B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DC5F4D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ASCII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CHAR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CONCAT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DIFFERENCE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INSERT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LCASE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LEFT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LENGTH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LOCATE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LTRIM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REPEAT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REPLACE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RIGHT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RTRIM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SOUNDEX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SPACE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SUBSTRING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  <w:t>UCASE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DC5F4D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ABS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ACOS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ASIN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ATAN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ATAN2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CEILING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COS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COT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DEGREES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EXP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FLOOR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LOG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LOG10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MOD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PI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POWER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RADIANS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  <w:t>RAND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ROUND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SIGN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SIN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SQRT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TAN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TRUNCATE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DC5F4D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CURDATE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CURTIME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DAYNAME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DAYOFMONTH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DAYOFWEEK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DAYOFYEAR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EXTRACT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HOUR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MINUTE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MONTH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MONTHNAME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NOW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QUARTER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SECOND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TIMESTAMPADD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TIMESTAMPDIFF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WEEK</w:t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C5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  <w:t>YEAR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DATABASE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IFNULL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Пользователь</w:t>
            </w:r>
          </w:p>
        </w:tc>
      </w:tr>
    </w:tbl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lastRenderedPageBreak/>
        <w:t> Примечание</w:t>
      </w:r>
    </w:p>
    <w:p w:rsidR="00F024BA" w:rsidRPr="00F024BA" w:rsidRDefault="00F024BA" w:rsidP="00F024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Использование функции, не поддерживаемой базой данных, приведет к возникновению ошибки.</w:t>
      </w:r>
    </w:p>
    <w:p w:rsidR="00F024BA" w:rsidRPr="00F024BA" w:rsidRDefault="00F024BA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Литералы даты и времени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Ниже приводится синтаксис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 для литералов даты, времени и отметок времени: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literal-type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'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'}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literal-type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одним из следующих: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2405"/>
        <w:gridCol w:w="4529"/>
      </w:tblGrid>
      <w:tr w:rsidR="00F024BA" w:rsidRPr="00F024BA" w:rsidTr="00F024B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литерала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Формат значения</w:t>
            </w:r>
          </w:p>
        </w:tc>
      </w:tr>
      <w:tr w:rsidR="00F024BA" w:rsidRPr="00F024BA" w:rsidTr="00F024B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гггг</w:t>
            </w:r>
            <w:proofErr w:type="spell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-мм-</w:t>
            </w: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дд</w:t>
            </w:r>
            <w:proofErr w:type="spellEnd"/>
          </w:p>
        </w:tc>
      </w:tr>
      <w:tr w:rsidR="00F024BA" w:rsidRPr="00F024BA" w:rsidTr="00F024B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чч</w:t>
            </w:r>
            <w:proofErr w:type="gram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:м</w:t>
            </w:r>
            <w:proofErr w:type="gram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м:сс</w:t>
            </w:r>
            <w:proofErr w:type="spell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[1]</w:t>
            </w:r>
          </w:p>
        </w:tc>
      </w:tr>
      <w:tr w:rsidR="00F024BA" w:rsidRPr="00F024BA" w:rsidTr="00F024B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гггг</w:t>
            </w:r>
            <w:proofErr w:type="spell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-мм-</w:t>
            </w: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дд</w:t>
            </w:r>
            <w:proofErr w:type="spell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чч</w:t>
            </w:r>
            <w:proofErr w:type="gram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:м</w:t>
            </w:r>
            <w:proofErr w:type="gram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м:сс</w:t>
            </w:r>
            <w:proofErr w:type="spell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[.f...]</w:t>
            </w:r>
          </w:p>
        </w:tc>
      </w:tr>
    </w:tbl>
    <w:p w:rsidR="00F024BA" w:rsidRPr="00DC5F4D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Пример</w:t>
      </w:r>
      <w:r w:rsidRPr="00DC5F4D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:</w:t>
      </w:r>
    </w:p>
    <w:p w:rsidR="00F024BA" w:rsidRPr="00DC5F4D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DC5F4D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SQL</w:t>
      </w:r>
    </w:p>
    <w:p w:rsidR="00F024BA" w:rsidRPr="00DC5F4D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DC5F4D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UPDATE</w:t>
      </w: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Orders </w:t>
      </w:r>
      <w:r w:rsidRPr="00DC5F4D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SET</w:t>
      </w: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OpenDate</w:t>
      </w:r>
      <w:proofErr w:type="spellEnd"/>
      <w:proofErr w:type="gram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={</w:t>
      </w:r>
      <w:proofErr w:type="gram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d </w:t>
      </w:r>
      <w:r w:rsidRPr="00DC5F4D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'2005-01-31'</w:t>
      </w: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}</w:t>
      </w:r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WHERE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OrderID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=1025  </w:t>
      </w:r>
    </w:p>
    <w:p w:rsidR="00F024BA" w:rsidRPr="00F024BA" w:rsidRDefault="00F024BA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Вызовы хранимых процедур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 xml:space="preserve">Драйвер JDBC поддерживает синтаксис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 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{? =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call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proc_name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(?,...)}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call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proc_name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(?,...)}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вызовов хранимых процедур, в зависимости от того, требуется ли обработка возвращаемого параметра.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Процедура представляет собой исполняемый объект, который хранится в базе данных. Обычно процедурой является одна или несколько заранее скомпилированных инструкций SQL. Ниже приводится синтаксис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 вызова хранимой процедуры: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{[?=]</w:t>
      </w:r>
      <w:proofErr w:type="spellStart"/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call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procedure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-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[([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][,[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]]...)]}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procedure-name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указывает имя хранимой процедуры, а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parameter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указывает параметр хранимой процедуры.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Дополнительные сведения об использовании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call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 с хранимыми процедурами см. в разделе </w:t>
      </w:r>
      <w:hyperlink r:id="rId6" w:history="1">
        <w:r w:rsidRPr="00F024B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Использование инструкций с хранимыми процедурами</w:t>
        </w:r>
      </w:hyperlink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F024BA" w:rsidRPr="00F024BA" w:rsidRDefault="00145A75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Внешние </w:t>
      </w:r>
      <w:r w:rsidR="00F024BA"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о</w:t>
      </w: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бъ</w:t>
      </w:r>
      <w:r w:rsidR="00F024BA"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единения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Драйвер JDBC поддерживает синтаксис левого, правого и полного внешнего соединения SQL92. Ниже приводится синтаксис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 для внешних соединений: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oj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outer-join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}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 внешнее соединение: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</w:p>
    <w:p w:rsidR="00F024BA" w:rsidRPr="0046131F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46131F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table-reference</w:t>
      </w:r>
      <w:proofErr w:type="gramEnd"/>
      <w:r w:rsidRPr="0046131F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{LEFT | RIGHT | FULL} OUTER JOIN</w:t>
      </w:r>
    </w:p>
    <w:p w:rsidR="00F024BA" w:rsidRPr="00DC5F4D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  <w:proofErr w:type="gram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table-reference</w:t>
      </w:r>
      <w:proofErr w:type="gram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| outer-join} ON search-condition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table-reference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именем таблицы, а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search-condition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 собой условия соединения, которые необходимо использовать для таблиц.</w:t>
      </w:r>
    </w:p>
    <w:p w:rsidR="00F024BA" w:rsidRPr="00DC5F4D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Пример</w:t>
      </w:r>
      <w:r w:rsidRPr="00DC5F4D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:</w:t>
      </w:r>
    </w:p>
    <w:p w:rsidR="00F024BA" w:rsidRPr="00DC5F4D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DC5F4D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SQL</w:t>
      </w:r>
    </w:p>
    <w:p w:rsidR="00F024BA" w:rsidRPr="00DC5F4D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DC5F4D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SELECT</w:t>
      </w: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Customers.CustID</w:t>
      </w:r>
      <w:proofErr w:type="spell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Customers.Name</w:t>
      </w:r>
      <w:proofErr w:type="spell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Orders.OrderID</w:t>
      </w:r>
      <w:proofErr w:type="spell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Orders.Status</w:t>
      </w:r>
      <w:proofErr w:type="spellEnd"/>
    </w:p>
    <w:p w:rsidR="00F024BA" w:rsidRPr="00DC5F4D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DC5F4D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FROM</w:t>
      </w: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{</w:t>
      </w:r>
      <w:proofErr w:type="spellStart"/>
      <w:proofErr w:type="gram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oj</w:t>
      </w:r>
      <w:proofErr w:type="spellEnd"/>
      <w:proofErr w:type="gram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Customers </w:t>
      </w:r>
      <w:r w:rsidRPr="00DC5F4D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LEFT</w:t>
      </w: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F4D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OUTER</w:t>
      </w: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C5F4D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JOIN</w:t>
      </w:r>
    </w:p>
    <w:p w:rsidR="00F024BA" w:rsidRPr="00DC5F4D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Orders </w:t>
      </w:r>
      <w:r w:rsidRPr="00DC5F4D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ON</w:t>
      </w: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Customers.CustID</w:t>
      </w:r>
      <w:proofErr w:type="spell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Orders.CustID</w:t>
      </w:r>
      <w:proofErr w:type="spellEnd"/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}</w:t>
      </w:r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WHERE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Orders.Status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=</w:t>
      </w:r>
      <w:r w:rsidRPr="00F024BA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ru-RU"/>
        </w:rPr>
        <w:t>'OPEN'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Драйвер JDBC поддерживает следующие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 внешнего соединения:</w:t>
      </w:r>
      <w:proofErr w:type="gramEnd"/>
    </w:p>
    <w:p w:rsidR="00F024BA" w:rsidRPr="00F024BA" w:rsidRDefault="00F024BA" w:rsidP="00F024B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Левые внешние соединения</w:t>
      </w:r>
    </w:p>
    <w:p w:rsidR="00F024BA" w:rsidRPr="00F024BA" w:rsidRDefault="00F024BA" w:rsidP="00F024B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Правые внешние соединения</w:t>
      </w:r>
    </w:p>
    <w:p w:rsidR="00F024BA" w:rsidRPr="00F024BA" w:rsidRDefault="00F024BA" w:rsidP="00F024B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Полные внешние соединения</w:t>
      </w:r>
    </w:p>
    <w:p w:rsidR="00F024BA" w:rsidRPr="00F024BA" w:rsidRDefault="00F024BA" w:rsidP="00F024B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Вложенные внешние соединения</w:t>
      </w:r>
    </w:p>
    <w:p w:rsidR="00F024BA" w:rsidRPr="00F024BA" w:rsidRDefault="00F024BA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lastRenderedPageBreak/>
        <w:t>Escape</w:t>
      </w:r>
      <w:proofErr w:type="spellEnd"/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-синтаксис LIMIT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:rsidR="00F024BA" w:rsidRPr="00F024BA" w:rsidRDefault="00F024BA" w:rsidP="00F024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-синтаксис LIMIT поддерживается только драйвером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Microsoft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JDBC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Driver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4.2 (и более поздних версий) для SQL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Server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при использовании JDBC 4.1 или более поздней версии.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-синтаксис LIMIT выглядит следующим образом:</w:t>
      </w:r>
    </w:p>
    <w:p w:rsidR="00F024BA" w:rsidRPr="00DC5F4D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DC5F4D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SQL</w:t>
      </w:r>
      <w:bookmarkStart w:id="0" w:name="_GoBack"/>
      <w:bookmarkEnd w:id="0"/>
    </w:p>
    <w:p w:rsidR="00F024BA" w:rsidRPr="00DC5F4D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DC5F4D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LIMIT &lt;rows&gt; [OFFSET &lt;row offset&gt;]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-синтаксис состоит из двух частей: &lt;</w:t>
      </w:r>
      <w:r w:rsidRPr="00F024B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строки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&gt; — это обязательная часть, которая указывает число возвращаемых строк. OFFSET и &lt;</w:t>
      </w:r>
      <w:r w:rsidRPr="00F024B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смещение строки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&gt; — это необязательные компоненты, указывающие число строк, которые необходимо пропустить перед началом получения строк. Драйвер JDBC поддерживает только обязательную часть, преобразуя запрос для использования TOP вместо LIMIT. SQL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Server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не поддерживает предложение LIMIT. </w:t>
      </w:r>
      <w:r w:rsidRPr="00F024B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Драйвер JDBC не поддерживает необязательную часть &lt;смещение строки&gt;. При ее использовании драйвер вызовет исключение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AE0F06" w:rsidRDefault="00AE0F06"/>
    <w:sectPr w:rsidR="00AE0F06" w:rsidSect="00F024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3804"/>
    <w:multiLevelType w:val="multilevel"/>
    <w:tmpl w:val="7D2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E7984"/>
    <w:multiLevelType w:val="multilevel"/>
    <w:tmpl w:val="29C8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B648A"/>
    <w:multiLevelType w:val="multilevel"/>
    <w:tmpl w:val="AB42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BA"/>
    <w:rsid w:val="00046673"/>
    <w:rsid w:val="00145A75"/>
    <w:rsid w:val="00306B65"/>
    <w:rsid w:val="0046131F"/>
    <w:rsid w:val="005A142D"/>
    <w:rsid w:val="00817353"/>
    <w:rsid w:val="00962DA2"/>
    <w:rsid w:val="00AE0F06"/>
    <w:rsid w:val="00B5161A"/>
    <w:rsid w:val="00DC5F4D"/>
    <w:rsid w:val="00F024BA"/>
    <w:rsid w:val="00F2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sql/connect/jdbc/using-statements-with-stored-procedures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10</cp:revision>
  <dcterms:created xsi:type="dcterms:W3CDTF">2019-11-13T15:58:00Z</dcterms:created>
  <dcterms:modified xsi:type="dcterms:W3CDTF">2023-08-09T14:03:00Z</dcterms:modified>
</cp:coreProperties>
</file>