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29D7" w14:textId="77777777" w:rsidR="006B77CA" w:rsidRDefault="006B77CA" w:rsidP="006B77CA">
      <w:pPr>
        <w:spacing w:line="480" w:lineRule="auto"/>
        <w:jc w:val="center"/>
        <w:rPr>
          <w:color w:val="000000" w:themeColor="text1"/>
          <w:sz w:val="36"/>
          <w:szCs w:val="36"/>
        </w:rPr>
      </w:pPr>
    </w:p>
    <w:p w14:paraId="14FACAAA" w14:textId="5AB9F571" w:rsidR="006B77CA" w:rsidRPr="00CE4522" w:rsidRDefault="006B77CA" w:rsidP="006B77CA">
      <w:pPr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>mazon Web Services</w:t>
      </w:r>
    </w:p>
    <w:p w14:paraId="743DA004" w14:textId="77777777" w:rsidR="006B77CA" w:rsidRDefault="006B77CA" w:rsidP="006B77CA">
      <w:pPr>
        <w:spacing w:before="100" w:beforeAutospacing="1" w:after="100" w:afterAutospacing="1"/>
        <w:jc w:val="center"/>
        <w:outlineLvl w:val="0"/>
        <w:rPr>
          <w:color w:val="000000" w:themeColor="text1"/>
          <w:sz w:val="36"/>
          <w:szCs w:val="36"/>
        </w:rPr>
      </w:pPr>
    </w:p>
    <w:p w14:paraId="7B30A57F" w14:textId="77777777" w:rsidR="006B77CA" w:rsidRPr="002944FC" w:rsidRDefault="006B77CA" w:rsidP="006B77CA">
      <w:pPr>
        <w:spacing w:before="100" w:beforeAutospacing="1" w:after="100" w:afterAutospacing="1"/>
        <w:jc w:val="center"/>
        <w:outlineLvl w:val="0"/>
        <w:rPr>
          <w:color w:val="000000" w:themeColor="text1"/>
          <w:sz w:val="36"/>
          <w:szCs w:val="36"/>
        </w:rPr>
      </w:pPr>
    </w:p>
    <w:p w14:paraId="1449F6A5" w14:textId="77777777" w:rsidR="006B77CA" w:rsidRDefault="006B77CA" w:rsidP="006B77CA">
      <w:pPr>
        <w:spacing w:line="480" w:lineRule="auto"/>
        <w:jc w:val="center"/>
        <w:rPr>
          <w:color w:val="000000" w:themeColor="text1"/>
        </w:rPr>
      </w:pPr>
      <w:r w:rsidRPr="00281EA1">
        <w:rPr>
          <w:color w:val="000000" w:themeColor="text1"/>
        </w:rPr>
        <w:t>Prabhnoor Kaur (8856211)</w:t>
      </w:r>
    </w:p>
    <w:p w14:paraId="7487D501" w14:textId="77777777" w:rsidR="006B77CA" w:rsidRPr="002944FC" w:rsidRDefault="006B77CA" w:rsidP="006B77CA">
      <w:pPr>
        <w:spacing w:line="480" w:lineRule="auto"/>
        <w:jc w:val="center"/>
        <w:rPr>
          <w:color w:val="000000" w:themeColor="text1"/>
        </w:rPr>
      </w:pPr>
    </w:p>
    <w:p w14:paraId="1A0388FE" w14:textId="77777777" w:rsidR="006B77CA" w:rsidRDefault="006B77CA" w:rsidP="006B77CA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Cloud Technologies</w:t>
      </w:r>
      <w:r w:rsidRPr="00531092">
        <w:rPr>
          <w:rFonts w:cstheme="minorHAnsi"/>
          <w:b/>
          <w:bCs/>
          <w:color w:val="000000" w:themeColor="text1"/>
        </w:rPr>
        <w:t>, Conestoga College</w:t>
      </w:r>
    </w:p>
    <w:p w14:paraId="14AB350B" w14:textId="77777777" w:rsidR="006B77CA" w:rsidRPr="00531092" w:rsidRDefault="006B77CA" w:rsidP="006B77CA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</w:p>
    <w:p w14:paraId="071EA664" w14:textId="77777777" w:rsidR="006B77CA" w:rsidRPr="005656C5" w:rsidRDefault="006B77CA" w:rsidP="006B77CA">
      <w:pPr>
        <w:spacing w:line="480" w:lineRule="auto"/>
        <w:jc w:val="center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5656C5">
        <w:rPr>
          <w:rFonts w:cstheme="minorHAnsi"/>
          <w:color w:val="000000" w:themeColor="text1"/>
          <w:sz w:val="36"/>
          <w:szCs w:val="36"/>
        </w:rPr>
        <w:t xml:space="preserve">Digital Solutions Management </w:t>
      </w:r>
      <w:r w:rsidRPr="005656C5">
        <w:rPr>
          <w:rFonts w:cstheme="minorHAnsi"/>
          <w:color w:val="000000" w:themeColor="text1"/>
          <w:sz w:val="36"/>
          <w:szCs w:val="36"/>
          <w:shd w:val="clear" w:color="auto" w:fill="FFFFFF"/>
        </w:rPr>
        <w:t>1524G</w:t>
      </w:r>
    </w:p>
    <w:p w14:paraId="3DE1F111" w14:textId="77777777" w:rsidR="006B77CA" w:rsidRPr="00281EA1" w:rsidRDefault="006B77CA" w:rsidP="006B77CA">
      <w:pPr>
        <w:spacing w:line="480" w:lineRule="auto"/>
        <w:jc w:val="center"/>
        <w:rPr>
          <w:rFonts w:cstheme="minorHAnsi"/>
          <w:color w:val="000000" w:themeColor="text1"/>
        </w:rPr>
      </w:pPr>
    </w:p>
    <w:p w14:paraId="1FE9EF7F" w14:textId="77777777" w:rsidR="006B77CA" w:rsidRPr="00882DB3" w:rsidRDefault="006B77CA" w:rsidP="006B77CA">
      <w:pPr>
        <w:spacing w:line="480" w:lineRule="auto"/>
        <w:jc w:val="center"/>
        <w:rPr>
          <w:rFonts w:cstheme="minorHAnsi"/>
          <w:color w:val="000000" w:themeColor="text1"/>
        </w:rPr>
      </w:pPr>
      <w:r w:rsidRPr="00F41D7B">
        <w:rPr>
          <w:rFonts w:cstheme="minorHAnsi"/>
          <w:color w:val="000000" w:themeColor="text1"/>
        </w:rPr>
        <w:t xml:space="preserve">Fadi Abd </w:t>
      </w:r>
      <w:proofErr w:type="spellStart"/>
      <w:r w:rsidRPr="00F41D7B">
        <w:rPr>
          <w:rFonts w:cstheme="minorHAnsi"/>
          <w:color w:val="000000" w:themeColor="text1"/>
        </w:rPr>
        <w:t>Ulhamid</w:t>
      </w:r>
      <w:proofErr w:type="spellEnd"/>
      <w:r>
        <w:rPr>
          <w:rStyle w:val="Strong"/>
        </w:rPr>
        <w:t xml:space="preserve"> </w:t>
      </w:r>
    </w:p>
    <w:p w14:paraId="6C959833" w14:textId="77777777" w:rsidR="006B77CA" w:rsidRPr="00281EA1" w:rsidRDefault="006B77CA" w:rsidP="006B77CA">
      <w:pPr>
        <w:spacing w:line="480" w:lineRule="auto"/>
        <w:jc w:val="center"/>
        <w:rPr>
          <w:rFonts w:cstheme="minorHAnsi"/>
          <w:color w:val="000000" w:themeColor="text1"/>
        </w:rPr>
      </w:pPr>
    </w:p>
    <w:p w14:paraId="41FCDE27" w14:textId="4F33C0BF" w:rsidR="006B77CA" w:rsidRDefault="006B77CA" w:rsidP="006B77CA">
      <w:pPr>
        <w:spacing w:line="48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13</w:t>
      </w:r>
      <w:r w:rsidRPr="00281EA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November</w:t>
      </w:r>
      <w:r w:rsidRPr="00281EA1">
        <w:rPr>
          <w:rFonts w:cstheme="minorHAnsi"/>
          <w:color w:val="000000" w:themeColor="text1"/>
        </w:rPr>
        <w:t>2023</w:t>
      </w:r>
    </w:p>
    <w:p w14:paraId="1CE3614D" w14:textId="77777777" w:rsidR="006B77CA" w:rsidRDefault="006B77CA" w:rsidP="006B77CA">
      <w:pPr>
        <w:spacing w:line="480" w:lineRule="auto"/>
        <w:jc w:val="center"/>
        <w:rPr>
          <w:rFonts w:cstheme="minorHAnsi"/>
          <w:color w:val="000000" w:themeColor="text1"/>
        </w:rPr>
      </w:pPr>
    </w:p>
    <w:p w14:paraId="5A18865C" w14:textId="77777777" w:rsidR="006B77CA" w:rsidRDefault="006B77CA" w:rsidP="006B77CA">
      <w:pPr>
        <w:spacing w:line="480" w:lineRule="auto"/>
        <w:jc w:val="center"/>
        <w:rPr>
          <w:rFonts w:cstheme="minorHAnsi"/>
          <w:color w:val="000000" w:themeColor="text1"/>
        </w:rPr>
      </w:pPr>
    </w:p>
    <w:p w14:paraId="79E76AE2" w14:textId="77777777" w:rsidR="006B77CA" w:rsidRDefault="006B77CA" w:rsidP="006B77CA">
      <w:pPr>
        <w:spacing w:line="276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4F6A8B7" w14:textId="77777777" w:rsidR="008F47DC" w:rsidRDefault="008F47DC" w:rsidP="008F47DC"/>
    <w:p w14:paraId="12F94ED9" w14:textId="77777777" w:rsidR="008F47DC" w:rsidRDefault="008F47DC" w:rsidP="008F47DC"/>
    <w:p w14:paraId="564FC833" w14:textId="796FEB90" w:rsidR="008F47DC" w:rsidRPr="00590CE7" w:rsidRDefault="00590CE7" w:rsidP="008F47DC">
      <w:pPr>
        <w:rPr>
          <w:sz w:val="4"/>
          <w:szCs w:val="4"/>
        </w:rPr>
      </w:pPr>
      <w:r w:rsidRPr="00590CE7">
        <w:rPr>
          <w:sz w:val="4"/>
          <w:szCs w:val="4"/>
        </w:rPr>
        <w:t>“</w:t>
      </w:r>
    </w:p>
    <w:p w14:paraId="6AF0A3FD" w14:textId="71FB798B" w:rsidR="00C36CF6" w:rsidRPr="00AA6741" w:rsidRDefault="008F47DC" w:rsidP="00AA6741">
      <w:pPr>
        <w:pStyle w:val="Heading2"/>
        <w:rPr>
          <w:rFonts w:eastAsia="Times New Roman"/>
          <w:b/>
          <w:bCs/>
        </w:rPr>
      </w:pPr>
      <w:r w:rsidRPr="00AA6741">
        <w:rPr>
          <w:rFonts w:eastAsia="Times New Roman"/>
          <w:b/>
          <w:bCs/>
        </w:rPr>
        <w:lastRenderedPageBreak/>
        <w:t xml:space="preserve">Workloads </w:t>
      </w:r>
    </w:p>
    <w:tbl>
      <w:tblPr>
        <w:tblStyle w:val="GridTable1Light-Accent6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3780"/>
        <w:gridCol w:w="4310"/>
      </w:tblGrid>
      <w:tr w:rsidR="004B2664" w14:paraId="442A7C0D" w14:textId="77777777" w:rsidTr="00737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6E4B920" w14:textId="3EA85CA7" w:rsidR="004B2664" w:rsidRDefault="004B2664" w:rsidP="008F47DC">
            <w:r>
              <w:t>Workload</w:t>
            </w:r>
          </w:p>
        </w:tc>
        <w:tc>
          <w:tcPr>
            <w:tcW w:w="3780" w:type="dxa"/>
          </w:tcPr>
          <w:p w14:paraId="1F9EEBC6" w14:textId="13AA3433" w:rsidR="004B2664" w:rsidRDefault="004B2664" w:rsidP="008F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Input</w:t>
            </w:r>
          </w:p>
        </w:tc>
        <w:tc>
          <w:tcPr>
            <w:tcW w:w="4310" w:type="dxa"/>
          </w:tcPr>
          <w:p w14:paraId="2EC7DB08" w14:textId="779C6AD1" w:rsidR="004B2664" w:rsidRDefault="004B2664" w:rsidP="008F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Input</w:t>
            </w:r>
          </w:p>
        </w:tc>
      </w:tr>
      <w:tr w:rsidR="00AA6741" w14:paraId="3763718C" w14:textId="77777777" w:rsidTr="00737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CE5D6C4" w14:textId="652F926C" w:rsidR="00AA6741" w:rsidRPr="00737A69" w:rsidRDefault="00AA6741" w:rsidP="00AA6741">
            <w:pPr>
              <w:rPr>
                <w:sz w:val="20"/>
                <w:szCs w:val="20"/>
              </w:rPr>
            </w:pPr>
            <w:r w:rsidRPr="00737A69">
              <w:rPr>
                <w:rStyle w:val="Strong"/>
                <w:sz w:val="20"/>
                <w:szCs w:val="20"/>
              </w:rPr>
              <w:t>Backend Infrastructure Workloads</w:t>
            </w:r>
          </w:p>
        </w:tc>
        <w:tc>
          <w:tcPr>
            <w:tcW w:w="3780" w:type="dxa"/>
          </w:tcPr>
          <w:p w14:paraId="086CE118" w14:textId="42B0FCED" w:rsidR="00AA6741" w:rsidRPr="00737A69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9">
              <w:rPr>
                <w:sz w:val="20"/>
                <w:szCs w:val="20"/>
              </w:rPr>
              <w:t>Plan for potential player loads and geographical distribution of players</w:t>
            </w:r>
          </w:p>
        </w:tc>
        <w:tc>
          <w:tcPr>
            <w:tcW w:w="4310" w:type="dxa"/>
          </w:tcPr>
          <w:p w14:paraId="5403F88F" w14:textId="49BAC4AC" w:rsidR="00AA6741" w:rsidRPr="00737A69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9">
              <w:rPr>
                <w:sz w:val="20"/>
                <w:szCs w:val="20"/>
              </w:rPr>
              <w:t>Utilize cloud resources efficiently, implement load balancing strategies, and deploy scalable infrastructure using tools like Google Kubernetes Engine (GKE).</w:t>
            </w:r>
          </w:p>
        </w:tc>
      </w:tr>
      <w:tr w:rsidR="00AA6741" w14:paraId="452CEACE" w14:textId="77777777" w:rsidTr="00737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D07DB67" w14:textId="439F8B5E" w:rsidR="00AA6741" w:rsidRPr="00737A69" w:rsidRDefault="00AA6741" w:rsidP="00AA6741">
            <w:pPr>
              <w:rPr>
                <w:sz w:val="20"/>
                <w:szCs w:val="20"/>
              </w:rPr>
            </w:pPr>
            <w:r w:rsidRPr="00737A69">
              <w:rPr>
                <w:rStyle w:val="Strong"/>
                <w:sz w:val="20"/>
                <w:szCs w:val="20"/>
              </w:rPr>
              <w:t>Game Development Workloads</w:t>
            </w:r>
          </w:p>
        </w:tc>
        <w:tc>
          <w:tcPr>
            <w:tcW w:w="3780" w:type="dxa"/>
          </w:tcPr>
          <w:p w14:paraId="3178EC90" w14:textId="29423313" w:rsidR="00AA6741" w:rsidRPr="00737A69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9">
              <w:rPr>
                <w:sz w:val="20"/>
                <w:szCs w:val="20"/>
              </w:rPr>
              <w:t>Understand market trends and player preferences for graphics quality and game mechanics.</w:t>
            </w:r>
          </w:p>
        </w:tc>
        <w:tc>
          <w:tcPr>
            <w:tcW w:w="4310" w:type="dxa"/>
          </w:tcPr>
          <w:p w14:paraId="07182AC1" w14:textId="74D87D47" w:rsidR="00AA6741" w:rsidRPr="00737A69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9">
              <w:rPr>
                <w:sz w:val="20"/>
                <w:szCs w:val="20"/>
              </w:rPr>
              <w:t>Collaborate with graphic designers and game developers, using appropriate tools for graphics rendering and game logic development.</w:t>
            </w:r>
          </w:p>
        </w:tc>
      </w:tr>
      <w:tr w:rsidR="00AA6741" w14:paraId="7E63B65C" w14:textId="77777777" w:rsidTr="00737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738BF9E" w14:textId="09673C73" w:rsidR="00AA6741" w:rsidRPr="00737A69" w:rsidRDefault="00AA6741" w:rsidP="00AA6741">
            <w:pPr>
              <w:rPr>
                <w:sz w:val="20"/>
                <w:szCs w:val="20"/>
              </w:rPr>
            </w:pPr>
            <w:r w:rsidRPr="00737A69">
              <w:rPr>
                <w:rStyle w:val="Strong"/>
                <w:sz w:val="20"/>
                <w:szCs w:val="20"/>
              </w:rPr>
              <w:t>Storage and Data Management Workloads</w:t>
            </w:r>
          </w:p>
        </w:tc>
        <w:tc>
          <w:tcPr>
            <w:tcW w:w="3780" w:type="dxa"/>
          </w:tcPr>
          <w:p w14:paraId="071C07FD" w14:textId="1CB55776" w:rsidR="00AA6741" w:rsidRPr="00737A69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9">
              <w:rPr>
                <w:sz w:val="20"/>
                <w:szCs w:val="20"/>
              </w:rPr>
              <w:t>Identify data storage requirements for analytics and future analysis.</w:t>
            </w:r>
          </w:p>
        </w:tc>
        <w:tc>
          <w:tcPr>
            <w:tcW w:w="4310" w:type="dxa"/>
          </w:tcPr>
          <w:p w14:paraId="596B247D" w14:textId="5237936C" w:rsidR="00AA6741" w:rsidRPr="00737A69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9">
              <w:rPr>
                <w:sz w:val="20"/>
                <w:szCs w:val="20"/>
              </w:rPr>
              <w:t>Implement structured storage for game activity logs and scoring data, leveraging cloud storage solutions.</w:t>
            </w:r>
          </w:p>
        </w:tc>
      </w:tr>
      <w:tr w:rsidR="00AA6741" w14:paraId="7CFC3B8D" w14:textId="77777777" w:rsidTr="00737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BB1AAE2" w14:textId="43DBBD82" w:rsidR="00AA6741" w:rsidRPr="00737A69" w:rsidRDefault="00AA6741" w:rsidP="00AA6741">
            <w:pPr>
              <w:rPr>
                <w:rStyle w:val="Strong"/>
                <w:sz w:val="20"/>
                <w:szCs w:val="20"/>
              </w:rPr>
            </w:pPr>
            <w:r w:rsidRPr="00737A69">
              <w:rPr>
                <w:rStyle w:val="Strong"/>
                <w:sz w:val="20"/>
                <w:szCs w:val="20"/>
              </w:rPr>
              <w:t>Monitoring and Analytics Workloads</w:t>
            </w:r>
          </w:p>
        </w:tc>
        <w:tc>
          <w:tcPr>
            <w:tcW w:w="3780" w:type="dxa"/>
          </w:tcPr>
          <w:p w14:paraId="29F583E8" w14:textId="6D4D9E04" w:rsidR="00AA6741" w:rsidRPr="00737A69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9">
              <w:rPr>
                <w:sz w:val="20"/>
                <w:szCs w:val="20"/>
              </w:rPr>
              <w:t>Emphasize performance monitoring and analytics for informed decision-making.</w:t>
            </w:r>
          </w:p>
        </w:tc>
        <w:tc>
          <w:tcPr>
            <w:tcW w:w="4310" w:type="dxa"/>
          </w:tcPr>
          <w:p w14:paraId="4AD23306" w14:textId="5D0BCF79" w:rsidR="00AA6741" w:rsidRPr="00737A69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9">
              <w:rPr>
                <w:sz w:val="20"/>
                <w:szCs w:val="20"/>
              </w:rPr>
              <w:t>Implement monitoring solutions for server performance, user behavior tracking, and analytics tools for iterative improvements.</w:t>
            </w:r>
          </w:p>
        </w:tc>
      </w:tr>
    </w:tbl>
    <w:p w14:paraId="3EBBC38F" w14:textId="77777777" w:rsidR="00C36CF6" w:rsidRPr="008F47DC" w:rsidRDefault="00C36CF6" w:rsidP="008F47DC"/>
    <w:p w14:paraId="0AE4F2E3" w14:textId="21CB3B57" w:rsidR="008F47DC" w:rsidRDefault="008F47DC" w:rsidP="008F47DC">
      <w:pPr>
        <w:pStyle w:val="Heading2"/>
        <w:rPr>
          <w:b/>
          <w:bCs/>
        </w:rPr>
      </w:pPr>
      <w:r w:rsidRPr="00AA6741">
        <w:rPr>
          <w:b/>
          <w:bCs/>
        </w:rPr>
        <w:t>Migration Strategy</w:t>
      </w:r>
    </w:p>
    <w:p w14:paraId="13C08216" w14:textId="70AAC46B" w:rsidR="00BE5835" w:rsidRPr="00BE5835" w:rsidRDefault="00BE5835" w:rsidP="00BE5835">
      <w:r>
        <w:t>Cloud to cloud migration + Lift and shift fo</w:t>
      </w:r>
      <w:r w:rsidR="00CC1790">
        <w:t>r</w:t>
      </w:r>
      <w:r>
        <w:t xml:space="preserve"> various workloads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865"/>
        <w:gridCol w:w="6475"/>
      </w:tblGrid>
      <w:tr w:rsidR="00AA6741" w14:paraId="164CBFA9" w14:textId="77777777" w:rsidTr="00AA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610B45" w14:textId="0E7D7D5B" w:rsidR="00AA6741" w:rsidRPr="00CC1790" w:rsidRDefault="00AA6741" w:rsidP="008F47DC">
            <w:r w:rsidRPr="00CC1790">
              <w:t>Workload</w:t>
            </w:r>
          </w:p>
        </w:tc>
        <w:tc>
          <w:tcPr>
            <w:tcW w:w="6475" w:type="dxa"/>
          </w:tcPr>
          <w:p w14:paraId="6AFA1035" w14:textId="2BC381A1" w:rsidR="00AA6741" w:rsidRPr="00CC1790" w:rsidRDefault="00AA6741" w:rsidP="008F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1790">
              <w:t>Migration Strategy</w:t>
            </w:r>
          </w:p>
        </w:tc>
      </w:tr>
      <w:tr w:rsidR="00AA6741" w14:paraId="4B5E4FE9" w14:textId="77777777" w:rsidTr="00AA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9617A5B" w14:textId="4061A285" w:rsidR="00AA6741" w:rsidRPr="00AA6741" w:rsidRDefault="00AA6741" w:rsidP="00AA6741">
            <w:pPr>
              <w:rPr>
                <w:sz w:val="20"/>
                <w:szCs w:val="20"/>
              </w:rPr>
            </w:pPr>
            <w:r w:rsidRPr="00AA6741">
              <w:rPr>
                <w:rStyle w:val="Strong"/>
                <w:sz w:val="20"/>
                <w:szCs w:val="20"/>
              </w:rPr>
              <w:t>Backend Infrastructure Workloads</w:t>
            </w:r>
          </w:p>
        </w:tc>
        <w:tc>
          <w:tcPr>
            <w:tcW w:w="6475" w:type="dxa"/>
          </w:tcPr>
          <w:p w14:paraId="4B9FC53B" w14:textId="76BFAD7E" w:rsidR="00AA6741" w:rsidRPr="00AA6741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6741">
              <w:rPr>
                <w:sz w:val="20"/>
                <w:szCs w:val="20"/>
              </w:rPr>
              <w:t>Phased life and shift</w:t>
            </w:r>
          </w:p>
        </w:tc>
      </w:tr>
      <w:tr w:rsidR="00AA6741" w14:paraId="32BE3BF2" w14:textId="77777777" w:rsidTr="00AA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2C7190" w14:textId="7CA4A646" w:rsidR="00AA6741" w:rsidRPr="00AA6741" w:rsidRDefault="00AA6741" w:rsidP="00AA6741">
            <w:pPr>
              <w:rPr>
                <w:sz w:val="20"/>
                <w:szCs w:val="20"/>
              </w:rPr>
            </w:pPr>
            <w:r w:rsidRPr="00AA6741">
              <w:rPr>
                <w:rStyle w:val="Strong"/>
                <w:sz w:val="20"/>
                <w:szCs w:val="20"/>
              </w:rPr>
              <w:t>Game Development Workloads</w:t>
            </w:r>
          </w:p>
        </w:tc>
        <w:tc>
          <w:tcPr>
            <w:tcW w:w="6475" w:type="dxa"/>
          </w:tcPr>
          <w:p w14:paraId="500D8BEF" w14:textId="011D54C0" w:rsidR="00AA6741" w:rsidRPr="00AA6741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6741">
              <w:rPr>
                <w:sz w:val="20"/>
                <w:szCs w:val="20"/>
              </w:rPr>
              <w:t>Phased life and shift</w:t>
            </w:r>
          </w:p>
        </w:tc>
      </w:tr>
      <w:tr w:rsidR="00AA6741" w14:paraId="584B4D65" w14:textId="77777777" w:rsidTr="00AA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70E90E0" w14:textId="538BC317" w:rsidR="00AA6741" w:rsidRPr="00AA6741" w:rsidRDefault="00AA6741" w:rsidP="00AA6741">
            <w:pPr>
              <w:rPr>
                <w:sz w:val="20"/>
                <w:szCs w:val="20"/>
              </w:rPr>
            </w:pPr>
            <w:r w:rsidRPr="00AA6741">
              <w:rPr>
                <w:rStyle w:val="Strong"/>
                <w:sz w:val="20"/>
                <w:szCs w:val="20"/>
              </w:rPr>
              <w:t>Storage and Data Management Workloads</w:t>
            </w:r>
          </w:p>
        </w:tc>
        <w:tc>
          <w:tcPr>
            <w:tcW w:w="6475" w:type="dxa"/>
          </w:tcPr>
          <w:p w14:paraId="14D8B2AD" w14:textId="011CB5C1" w:rsidR="00AA6741" w:rsidRPr="00AA6741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6741">
              <w:rPr>
                <w:sz w:val="20"/>
                <w:szCs w:val="20"/>
              </w:rPr>
              <w:t>Lift and Shift</w:t>
            </w:r>
          </w:p>
        </w:tc>
      </w:tr>
      <w:tr w:rsidR="00AA6741" w14:paraId="0F585F8A" w14:textId="77777777" w:rsidTr="00AA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BE4FE85" w14:textId="33C82658" w:rsidR="00AA6741" w:rsidRPr="00AA6741" w:rsidRDefault="00AA6741" w:rsidP="00AA6741">
            <w:pPr>
              <w:rPr>
                <w:sz w:val="20"/>
                <w:szCs w:val="20"/>
              </w:rPr>
            </w:pPr>
            <w:r w:rsidRPr="00AA6741">
              <w:rPr>
                <w:rStyle w:val="Strong"/>
                <w:sz w:val="20"/>
                <w:szCs w:val="20"/>
              </w:rPr>
              <w:t>Monitoring and Analytics Workloads</w:t>
            </w:r>
          </w:p>
        </w:tc>
        <w:tc>
          <w:tcPr>
            <w:tcW w:w="6475" w:type="dxa"/>
          </w:tcPr>
          <w:p w14:paraId="7B05248E" w14:textId="3714C09C" w:rsidR="00AA6741" w:rsidRPr="00AA6741" w:rsidRDefault="00AA6741" w:rsidP="00AA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6741">
              <w:rPr>
                <w:sz w:val="20"/>
                <w:szCs w:val="20"/>
              </w:rPr>
              <w:t>Lift and shift</w:t>
            </w:r>
          </w:p>
        </w:tc>
      </w:tr>
    </w:tbl>
    <w:p w14:paraId="78D03D51" w14:textId="77777777" w:rsidR="00AA6741" w:rsidRDefault="00AA6741" w:rsidP="008F47DC"/>
    <w:p w14:paraId="2AF6E991" w14:textId="0ACEE041" w:rsidR="008F47DC" w:rsidRPr="00AA6741" w:rsidRDefault="008F47DC" w:rsidP="008F47DC">
      <w:pPr>
        <w:pStyle w:val="Heading2"/>
        <w:rPr>
          <w:b/>
          <w:bCs/>
        </w:rPr>
      </w:pPr>
      <w:r w:rsidRPr="00AA6741">
        <w:rPr>
          <w:b/>
          <w:bCs/>
        </w:rPr>
        <w:t>Migration Tool</w:t>
      </w:r>
    </w:p>
    <w:p w14:paraId="4243A8B6" w14:textId="6E584F56" w:rsidR="00BE5835" w:rsidRDefault="00BE5835" w:rsidP="00BE5835">
      <w:pPr>
        <w:pStyle w:val="NormalWeb"/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</w:pPr>
      <w:r w:rsidRPr="00BE5835"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 xml:space="preserve">The choice of migration tool for AWS depends on the specific characteristics of your workloads and the migration strategy </w:t>
      </w:r>
      <w:r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 xml:space="preserve">is adopted. </w:t>
      </w:r>
      <w:r w:rsidR="00C0792C"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Also,</w:t>
      </w:r>
      <w:r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 xml:space="preserve"> the </w:t>
      </w:r>
      <w:r w:rsidR="00C0792C"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 xml:space="preserve">different configuration </w:t>
      </w:r>
      <w:r w:rsidR="00AF194D"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matter</w:t>
      </w:r>
      <w:r w:rsidR="00C0792C"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 xml:space="preserve"> can include destination </w:t>
      </w:r>
      <w:r w:rsidR="009B0D13"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type (</w:t>
      </w:r>
      <w:r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 xml:space="preserve">serverless </w:t>
      </w:r>
      <w:r w:rsidR="00C0792C"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or containers specific), amount of data, deployment configuration, diversity of workloads, etc.</w:t>
      </w:r>
    </w:p>
    <w:p w14:paraId="74D3B233" w14:textId="6B86FD37" w:rsidR="00C0792C" w:rsidRDefault="00C0792C" w:rsidP="00BE5835">
      <w:pPr>
        <w:pStyle w:val="NormalWeb"/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Some AWS Migration tool</w:t>
      </w:r>
      <w:r w:rsidR="00AF194D"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 xml:space="preserve">s are </w:t>
      </w:r>
      <w:r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listed as follows: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5170"/>
        <w:gridCol w:w="5170"/>
      </w:tblGrid>
      <w:tr w:rsidR="00C0792C" w14:paraId="6826B110" w14:textId="77777777" w:rsidTr="009B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</w:tcPr>
          <w:p w14:paraId="5CFF9EC6" w14:textId="0AAE25C8" w:rsidR="00C0792C" w:rsidRPr="00CC1790" w:rsidRDefault="00C0792C" w:rsidP="00BE5835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Migration Tool</w:t>
            </w:r>
          </w:p>
        </w:tc>
        <w:tc>
          <w:tcPr>
            <w:tcW w:w="5170" w:type="dxa"/>
          </w:tcPr>
          <w:p w14:paraId="557AEEC4" w14:textId="6A5357EF" w:rsidR="00C0792C" w:rsidRPr="00CC1790" w:rsidRDefault="00C0792C" w:rsidP="00BE5835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Best Suited for</w:t>
            </w:r>
          </w:p>
        </w:tc>
      </w:tr>
      <w:tr w:rsidR="00C0792C" w14:paraId="3ACCB44A" w14:textId="77777777" w:rsidTr="009B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</w:tcPr>
          <w:p w14:paraId="2F63A72D" w14:textId="4140B747" w:rsidR="00C0792C" w:rsidRPr="00CC1790" w:rsidRDefault="00C0792C" w:rsidP="00BE5835">
            <w:pPr>
              <w:pStyle w:val="NormalWeb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  <w:t>AWS DataSync</w:t>
            </w:r>
          </w:p>
        </w:tc>
        <w:tc>
          <w:tcPr>
            <w:tcW w:w="5170" w:type="dxa"/>
          </w:tcPr>
          <w:p w14:paraId="1D114690" w14:textId="25B09528" w:rsidR="00C0792C" w:rsidRPr="00CC1790" w:rsidRDefault="00C0792C" w:rsidP="00BE5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  <w:t>Transferring large amounts of game data</w:t>
            </w:r>
          </w:p>
        </w:tc>
      </w:tr>
      <w:tr w:rsidR="00C0792C" w14:paraId="75BA547D" w14:textId="77777777" w:rsidTr="009B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</w:tcPr>
          <w:p w14:paraId="5A2D5AA4" w14:textId="3D2FEBAF" w:rsidR="00C0792C" w:rsidRPr="00CC1790" w:rsidRDefault="009B0D13" w:rsidP="00BE5835">
            <w:pPr>
              <w:pStyle w:val="NormalWeb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  <w:t>AWS Migration Hub</w:t>
            </w:r>
          </w:p>
        </w:tc>
        <w:tc>
          <w:tcPr>
            <w:tcW w:w="5170" w:type="dxa"/>
          </w:tcPr>
          <w:p w14:paraId="18FB24AA" w14:textId="43F5B519" w:rsidR="00C0792C" w:rsidRPr="00CC1790" w:rsidRDefault="009B0D13" w:rsidP="00BE5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  <w:t>Coordinating and tracking multiple migration tasks.</w:t>
            </w:r>
          </w:p>
        </w:tc>
      </w:tr>
      <w:tr w:rsidR="00C0792C" w14:paraId="09DAC5C2" w14:textId="77777777" w:rsidTr="009B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</w:tcPr>
          <w:p w14:paraId="08482B3C" w14:textId="6BA3569F" w:rsidR="00C0792C" w:rsidRPr="00CC1790" w:rsidRDefault="009B0D13" w:rsidP="00BE5835">
            <w:pPr>
              <w:pStyle w:val="NormalWeb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  <w:t>AWS Serverless Application Model (SAM)</w:t>
            </w:r>
          </w:p>
        </w:tc>
        <w:tc>
          <w:tcPr>
            <w:tcW w:w="5170" w:type="dxa"/>
          </w:tcPr>
          <w:p w14:paraId="53AF5EF5" w14:textId="50B9F6E9" w:rsidR="00C0792C" w:rsidRPr="00CC1790" w:rsidRDefault="009B0D13" w:rsidP="00BE5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  <w:t>Migrating specific game features to a serverless architecture</w:t>
            </w:r>
          </w:p>
        </w:tc>
      </w:tr>
      <w:tr w:rsidR="009B0D13" w14:paraId="3FFC6267" w14:textId="77777777" w:rsidTr="009B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</w:tcPr>
          <w:p w14:paraId="7CEF929C" w14:textId="05B526A2" w:rsidR="009B0D13" w:rsidRPr="00CC1790" w:rsidRDefault="009B0D13" w:rsidP="00BE5835">
            <w:pPr>
              <w:pStyle w:val="NormalWeb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  <w:t>CloudEndure Migration</w:t>
            </w:r>
          </w:p>
        </w:tc>
        <w:tc>
          <w:tcPr>
            <w:tcW w:w="5170" w:type="dxa"/>
          </w:tcPr>
          <w:p w14:paraId="0DD859DE" w14:textId="6B22D2E3" w:rsidR="009B0D13" w:rsidRPr="00CC1790" w:rsidRDefault="009B0D13" w:rsidP="00BE5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  <w:t>Continuous replication and migration of game servers</w:t>
            </w:r>
          </w:p>
        </w:tc>
      </w:tr>
      <w:tr w:rsidR="009B0D13" w14:paraId="6C64B6CF" w14:textId="77777777" w:rsidTr="009B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</w:tcPr>
          <w:p w14:paraId="5057F191" w14:textId="11A8395B" w:rsidR="009B0D13" w:rsidRPr="00CC1790" w:rsidRDefault="009B0D13" w:rsidP="00BE5835">
            <w:pPr>
              <w:pStyle w:val="NormalWeb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0"/>
                <w:szCs w:val="20"/>
                <w14:ligatures w14:val="standardContextual"/>
              </w:rPr>
              <w:t>AWS Server Migration Service</w:t>
            </w:r>
          </w:p>
        </w:tc>
        <w:tc>
          <w:tcPr>
            <w:tcW w:w="5170" w:type="dxa"/>
          </w:tcPr>
          <w:p w14:paraId="58DB33F2" w14:textId="6565E3ED" w:rsidR="009B0D13" w:rsidRPr="00CC1790" w:rsidRDefault="009B0D13" w:rsidP="00BE5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</w:pPr>
            <w:r w:rsidRPr="00CC1790"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14:ligatures w14:val="standardContextual"/>
              </w:rPr>
              <w:t>Lift-and-shift migration of virtual machines</w:t>
            </w:r>
          </w:p>
        </w:tc>
      </w:tr>
    </w:tbl>
    <w:p w14:paraId="7CB767F5" w14:textId="77777777" w:rsidR="00BC5D19" w:rsidRDefault="00C0792C" w:rsidP="00BC5D19">
      <w:pPr>
        <w:pStyle w:val="Heading2"/>
        <w:rPr>
          <w:b/>
          <w:bCs/>
        </w:rPr>
      </w:pPr>
      <w:r w:rsidRPr="00BC5D19">
        <w:rPr>
          <w:b/>
          <w:bCs/>
        </w:rPr>
        <w:t xml:space="preserve"> </w:t>
      </w:r>
    </w:p>
    <w:p w14:paraId="7FA71D49" w14:textId="58457C1E" w:rsidR="008F47DC" w:rsidRPr="00AA6741" w:rsidRDefault="008F47DC" w:rsidP="00BC5D19">
      <w:pPr>
        <w:pStyle w:val="Heading2"/>
        <w:rPr>
          <w:b/>
          <w:bCs/>
        </w:rPr>
      </w:pPr>
      <w:r w:rsidRPr="00AA6741">
        <w:rPr>
          <w:b/>
          <w:bCs/>
        </w:rPr>
        <w:t>Comparison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525"/>
        <w:gridCol w:w="2790"/>
        <w:gridCol w:w="3060"/>
        <w:gridCol w:w="2965"/>
      </w:tblGrid>
      <w:tr w:rsidR="009B0D13" w14:paraId="13A25E83" w14:textId="77777777" w:rsidTr="00E57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6AA7E68" w14:textId="3F85B382" w:rsidR="009B0D13" w:rsidRPr="00CC1790" w:rsidRDefault="00915577" w:rsidP="008F47DC">
            <w:r w:rsidRPr="00CC1790">
              <w:t>Aspect</w:t>
            </w:r>
          </w:p>
        </w:tc>
        <w:tc>
          <w:tcPr>
            <w:tcW w:w="2790" w:type="dxa"/>
          </w:tcPr>
          <w:p w14:paraId="65C03B17" w14:textId="74072AB6" w:rsidR="009B0D13" w:rsidRPr="00CC1790" w:rsidRDefault="00915577" w:rsidP="008F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1790">
              <w:t>AWS Migration Tool</w:t>
            </w:r>
          </w:p>
        </w:tc>
        <w:tc>
          <w:tcPr>
            <w:tcW w:w="3060" w:type="dxa"/>
          </w:tcPr>
          <w:p w14:paraId="1AA7BCFF" w14:textId="4D396A04" w:rsidR="009B0D13" w:rsidRPr="00CC1790" w:rsidRDefault="00915577" w:rsidP="008F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1790">
              <w:t xml:space="preserve">GCP Migration Tool </w:t>
            </w:r>
          </w:p>
        </w:tc>
        <w:tc>
          <w:tcPr>
            <w:tcW w:w="2965" w:type="dxa"/>
          </w:tcPr>
          <w:p w14:paraId="300A3BBC" w14:textId="7B0539F9" w:rsidR="009B0D13" w:rsidRPr="00CC1790" w:rsidRDefault="00915577" w:rsidP="008F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1790">
              <w:t>Azure Migration Tool</w:t>
            </w:r>
          </w:p>
        </w:tc>
      </w:tr>
      <w:tr w:rsidR="009B0D13" w14:paraId="70EF2CBC" w14:textId="77777777" w:rsidTr="00E5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107871" w14:textId="42B557C0" w:rsidR="009B0D13" w:rsidRPr="00285BE1" w:rsidRDefault="00915577" w:rsidP="008F47DC">
            <w:pPr>
              <w:rPr>
                <w:b w:val="0"/>
                <w:bCs w:val="0"/>
                <w:sz w:val="20"/>
                <w:szCs w:val="20"/>
              </w:rPr>
            </w:pPr>
            <w:r w:rsidRPr="00285BE1">
              <w:rPr>
                <w:b w:val="0"/>
                <w:bCs w:val="0"/>
                <w:sz w:val="20"/>
                <w:szCs w:val="20"/>
              </w:rPr>
              <w:t xml:space="preserve">Compute Migration </w:t>
            </w:r>
          </w:p>
        </w:tc>
        <w:tc>
          <w:tcPr>
            <w:tcW w:w="2790" w:type="dxa"/>
          </w:tcPr>
          <w:p w14:paraId="2DE97160" w14:textId="79C523C6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AWS Server Migration Service (SMS):</w:t>
            </w:r>
            <w:r w:rsidRPr="00285BE1">
              <w:rPr>
                <w:sz w:val="20"/>
                <w:szCs w:val="20"/>
              </w:rPr>
              <w:t xml:space="preserve"> Continuous replication for minimal downtime during VM migrations</w:t>
            </w:r>
          </w:p>
        </w:tc>
        <w:tc>
          <w:tcPr>
            <w:tcW w:w="3060" w:type="dxa"/>
          </w:tcPr>
          <w:p w14:paraId="6FAF400C" w14:textId="09BFF729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Compute Engine Migration:</w:t>
            </w:r>
            <w:r w:rsidRPr="00285BE1">
              <w:rPr>
                <w:sz w:val="20"/>
                <w:szCs w:val="20"/>
              </w:rPr>
              <w:t xml:space="preserve"> Simplified migration process for VMs</w:t>
            </w:r>
          </w:p>
        </w:tc>
        <w:tc>
          <w:tcPr>
            <w:tcW w:w="2965" w:type="dxa"/>
          </w:tcPr>
          <w:p w14:paraId="3138F3D6" w14:textId="781EFAD9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Azure Migrate:</w:t>
            </w:r>
            <w:r w:rsidRPr="00285BE1">
              <w:rPr>
                <w:sz w:val="20"/>
                <w:szCs w:val="20"/>
              </w:rPr>
              <w:t xml:space="preserve"> Comprehensive assessment and migration of on-premises servers to Azure</w:t>
            </w:r>
          </w:p>
        </w:tc>
      </w:tr>
      <w:tr w:rsidR="009B0D13" w14:paraId="3B10D23F" w14:textId="77777777" w:rsidTr="00E5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29419E4" w14:textId="145B746D" w:rsidR="009B0D13" w:rsidRPr="00285BE1" w:rsidRDefault="00915577" w:rsidP="008F47DC">
            <w:pPr>
              <w:rPr>
                <w:b w:val="0"/>
                <w:bCs w:val="0"/>
                <w:sz w:val="20"/>
                <w:szCs w:val="20"/>
              </w:rPr>
            </w:pPr>
            <w:r w:rsidRPr="00285BE1">
              <w:rPr>
                <w:b w:val="0"/>
                <w:bCs w:val="0"/>
                <w:sz w:val="20"/>
                <w:szCs w:val="20"/>
              </w:rPr>
              <w:t>Database Migration</w:t>
            </w:r>
          </w:p>
        </w:tc>
        <w:tc>
          <w:tcPr>
            <w:tcW w:w="2790" w:type="dxa"/>
          </w:tcPr>
          <w:p w14:paraId="26B20164" w14:textId="63CC3815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AWS Database Migration Service (DMS):</w:t>
            </w:r>
            <w:r w:rsidRPr="00285BE1">
              <w:rPr>
                <w:sz w:val="20"/>
                <w:szCs w:val="20"/>
              </w:rPr>
              <w:t xml:space="preserve"> Supports various database engines, minimizing downtime</w:t>
            </w:r>
          </w:p>
        </w:tc>
        <w:tc>
          <w:tcPr>
            <w:tcW w:w="3060" w:type="dxa"/>
          </w:tcPr>
          <w:p w14:paraId="15EC30B3" w14:textId="3F3ADC7F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Database Migration Service:</w:t>
            </w:r>
            <w:r w:rsidRPr="00285BE1">
              <w:rPr>
                <w:sz w:val="20"/>
                <w:szCs w:val="20"/>
              </w:rPr>
              <w:t xml:space="preserve"> Focused on efficient and reliable database migrations</w:t>
            </w:r>
          </w:p>
        </w:tc>
        <w:tc>
          <w:tcPr>
            <w:tcW w:w="2965" w:type="dxa"/>
          </w:tcPr>
          <w:p w14:paraId="2114EE90" w14:textId="23D755EE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Azure Database Migration Service:</w:t>
            </w:r>
            <w:r w:rsidRPr="00285BE1">
              <w:rPr>
                <w:sz w:val="20"/>
                <w:szCs w:val="20"/>
              </w:rPr>
              <w:t xml:space="preserve"> Online and offline migrations, supporting various database engines</w:t>
            </w:r>
          </w:p>
        </w:tc>
      </w:tr>
      <w:tr w:rsidR="009B0D13" w14:paraId="55955A78" w14:textId="77777777" w:rsidTr="00E5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5E7CC1" w14:textId="5807BB23" w:rsidR="009B0D13" w:rsidRPr="00285BE1" w:rsidRDefault="00915577" w:rsidP="008F47DC">
            <w:pPr>
              <w:rPr>
                <w:b w:val="0"/>
                <w:bCs w:val="0"/>
                <w:sz w:val="20"/>
                <w:szCs w:val="20"/>
              </w:rPr>
            </w:pPr>
            <w:r w:rsidRPr="00285BE1">
              <w:rPr>
                <w:b w:val="0"/>
                <w:bCs w:val="0"/>
                <w:sz w:val="20"/>
                <w:szCs w:val="20"/>
              </w:rPr>
              <w:lastRenderedPageBreak/>
              <w:t>Data Transfer</w:t>
            </w:r>
          </w:p>
        </w:tc>
        <w:tc>
          <w:tcPr>
            <w:tcW w:w="2790" w:type="dxa"/>
          </w:tcPr>
          <w:p w14:paraId="36E49EA1" w14:textId="4DA9D801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 xml:space="preserve">AWS </w:t>
            </w:r>
            <w:proofErr w:type="spellStart"/>
            <w:r w:rsidRPr="00285BE1">
              <w:rPr>
                <w:rStyle w:val="Strong"/>
                <w:sz w:val="20"/>
                <w:szCs w:val="20"/>
              </w:rPr>
              <w:t>DataSync</w:t>
            </w:r>
            <w:proofErr w:type="spellEnd"/>
            <w:r w:rsidRPr="00285BE1">
              <w:rPr>
                <w:rStyle w:val="Strong"/>
                <w:sz w:val="20"/>
                <w:szCs w:val="20"/>
              </w:rPr>
              <w:t>:</w:t>
            </w:r>
            <w:r w:rsidRPr="00285BE1">
              <w:rPr>
                <w:sz w:val="20"/>
                <w:szCs w:val="20"/>
              </w:rPr>
              <w:t xml:space="preserve"> Efficient and accelerated data transfer with synchronization</w:t>
            </w:r>
          </w:p>
        </w:tc>
        <w:tc>
          <w:tcPr>
            <w:tcW w:w="3060" w:type="dxa"/>
          </w:tcPr>
          <w:p w14:paraId="7BA647E6" w14:textId="34140D5B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Cloud Storage Transfer Service:</w:t>
            </w:r>
            <w:r w:rsidRPr="00285BE1">
              <w:rPr>
                <w:sz w:val="20"/>
                <w:szCs w:val="20"/>
              </w:rPr>
              <w:t xml:space="preserve"> Managed, serverless data transfer for large datasets</w:t>
            </w:r>
          </w:p>
        </w:tc>
        <w:tc>
          <w:tcPr>
            <w:tcW w:w="2965" w:type="dxa"/>
          </w:tcPr>
          <w:p w14:paraId="35213259" w14:textId="6E515BEF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Azure Data Box:</w:t>
            </w:r>
            <w:r w:rsidRPr="00285BE1">
              <w:rPr>
                <w:sz w:val="20"/>
                <w:szCs w:val="20"/>
              </w:rPr>
              <w:t xml:space="preserve"> Secure, physical data transfer for massive datasets with simplified migration</w:t>
            </w:r>
          </w:p>
        </w:tc>
      </w:tr>
      <w:tr w:rsidR="009B0D13" w14:paraId="5E59CB5D" w14:textId="77777777" w:rsidTr="00E5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BC9B23" w14:textId="32C8663E" w:rsidR="009B0D13" w:rsidRPr="00285BE1" w:rsidRDefault="00915577" w:rsidP="008F47DC">
            <w:pPr>
              <w:rPr>
                <w:b w:val="0"/>
                <w:bCs w:val="0"/>
                <w:sz w:val="20"/>
                <w:szCs w:val="20"/>
              </w:rPr>
            </w:pPr>
            <w:r w:rsidRPr="00285BE1">
              <w:rPr>
                <w:b w:val="0"/>
                <w:bCs w:val="0"/>
                <w:sz w:val="20"/>
                <w:szCs w:val="20"/>
              </w:rPr>
              <w:t>Hybrid Cloud Solutions</w:t>
            </w:r>
          </w:p>
        </w:tc>
        <w:tc>
          <w:tcPr>
            <w:tcW w:w="2790" w:type="dxa"/>
          </w:tcPr>
          <w:p w14:paraId="27987CFC" w14:textId="5E1DB587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AWS Outposts, AWS Snow Family:</w:t>
            </w:r>
            <w:r w:rsidRPr="00285BE1">
              <w:rPr>
                <w:sz w:val="20"/>
                <w:szCs w:val="20"/>
              </w:rPr>
              <w:t xml:space="preserve"> Hybrid cloud solutions for extending AWS services to on-premises environments</w:t>
            </w:r>
          </w:p>
        </w:tc>
        <w:tc>
          <w:tcPr>
            <w:tcW w:w="3060" w:type="dxa"/>
          </w:tcPr>
          <w:p w14:paraId="1FFF9F46" w14:textId="445E45B3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Anthos:</w:t>
            </w:r>
            <w:r w:rsidRPr="00285BE1">
              <w:rPr>
                <w:sz w:val="20"/>
                <w:szCs w:val="20"/>
              </w:rPr>
              <w:t xml:space="preserve"> Hybrid and multi-cloud platform for application modernization</w:t>
            </w:r>
          </w:p>
        </w:tc>
        <w:tc>
          <w:tcPr>
            <w:tcW w:w="2965" w:type="dxa"/>
          </w:tcPr>
          <w:p w14:paraId="2C8DFE19" w14:textId="684D272D" w:rsidR="009B0D13" w:rsidRPr="00285BE1" w:rsidRDefault="00915577" w:rsidP="008F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5BE1">
              <w:rPr>
                <w:rStyle w:val="Strong"/>
                <w:sz w:val="20"/>
                <w:szCs w:val="20"/>
              </w:rPr>
              <w:t>Azure Arc, Azure Stack:</w:t>
            </w:r>
            <w:r w:rsidRPr="00285BE1">
              <w:rPr>
                <w:sz w:val="20"/>
                <w:szCs w:val="20"/>
              </w:rPr>
              <w:t xml:space="preserve"> Extending Azure services and infrastructure to on-premises and edge environments</w:t>
            </w:r>
          </w:p>
        </w:tc>
      </w:tr>
    </w:tbl>
    <w:p w14:paraId="5DC7612A" w14:textId="79A180BD" w:rsidR="008F47DC" w:rsidRPr="008F47DC" w:rsidRDefault="008F47DC" w:rsidP="008F47DC"/>
    <w:p w14:paraId="66ACABD0" w14:textId="77777777" w:rsidR="00425F6B" w:rsidRDefault="00425F6B"/>
    <w:p w14:paraId="5845479D" w14:textId="77777777" w:rsidR="00285BE1" w:rsidRDefault="00285BE1"/>
    <w:p w14:paraId="3BCB83E1" w14:textId="77777777" w:rsidR="00285BE1" w:rsidRDefault="00285BE1"/>
    <w:p w14:paraId="5381EE08" w14:textId="0C685CE0" w:rsidR="00285BE1" w:rsidRPr="00285BE1" w:rsidRDefault="00285BE1" w:rsidP="00285BE1">
      <w:pPr>
        <w:pStyle w:val="Heading2"/>
        <w:rPr>
          <w:b/>
          <w:bCs/>
        </w:rPr>
      </w:pPr>
      <w:r w:rsidRPr="00285BE1">
        <w:rPr>
          <w:b/>
          <w:bCs/>
        </w:rPr>
        <w:t>References</w:t>
      </w:r>
    </w:p>
    <w:p w14:paraId="49DFAC4E" w14:textId="78F2E38E" w:rsidR="00285BE1" w:rsidRDefault="00285BE1" w:rsidP="00285BE1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Migrate from GCP and Azure to AWS using CloudEndure Migration | Amazon Web Services</w:t>
      </w:r>
      <w:r>
        <w:t xml:space="preserve">. (2023, August 9). Amazon Web Services. </w:t>
      </w:r>
      <w:hyperlink r:id="rId4" w:history="1">
        <w:r w:rsidRPr="00685109">
          <w:rPr>
            <w:rStyle w:val="Hyperlink"/>
          </w:rPr>
          <w:t>https://aws.amazon.com/blogs/storage/migrate-from-gcp-and-azure-to-aws-using-cloudendure-migration/</w:t>
        </w:r>
      </w:hyperlink>
    </w:p>
    <w:p w14:paraId="39A73A13" w14:textId="30DD0E22" w:rsidR="00285BE1" w:rsidRDefault="00285BE1" w:rsidP="00285BE1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Cloud Migration Products &amp; Services | Google Cloud</w:t>
      </w:r>
      <w:r>
        <w:t xml:space="preserve">. (n.d.). Google Cloud. </w:t>
      </w:r>
      <w:hyperlink r:id="rId5" w:history="1">
        <w:r w:rsidRPr="00685109">
          <w:rPr>
            <w:rStyle w:val="Hyperlink"/>
          </w:rPr>
          <w:t>https://cloud.google.com/products/cloud-migration?hl=en</w:t>
        </w:r>
      </w:hyperlink>
    </w:p>
    <w:p w14:paraId="4FC26AF4" w14:textId="3A0BD327" w:rsidR="00BA0181" w:rsidRDefault="00BA0181" w:rsidP="00285BE1">
      <w:pPr>
        <w:pStyle w:val="NormalWeb"/>
        <w:spacing w:before="0" w:beforeAutospacing="0" w:after="0" w:afterAutospacing="0" w:line="480" w:lineRule="auto"/>
        <w:ind w:left="720" w:hanging="720"/>
      </w:pPr>
      <w:hyperlink r:id="rId6" w:history="1">
        <w:r w:rsidRPr="00685109">
          <w:rPr>
            <w:rStyle w:val="Hyperlink"/>
          </w:rPr>
          <w:t>https://azure.microsoft.com/en-ca/products/</w:t>
        </w:r>
      </w:hyperlink>
    </w:p>
    <w:p w14:paraId="358045CF" w14:textId="77777777" w:rsidR="00BA0181" w:rsidRDefault="00BA0181" w:rsidP="00285BE1">
      <w:pPr>
        <w:pStyle w:val="NormalWeb"/>
        <w:spacing w:before="0" w:beforeAutospacing="0" w:after="0" w:afterAutospacing="0" w:line="480" w:lineRule="auto"/>
        <w:ind w:left="720" w:hanging="720"/>
      </w:pPr>
    </w:p>
    <w:p w14:paraId="320CB42D" w14:textId="77777777" w:rsidR="00285BE1" w:rsidRDefault="00285BE1" w:rsidP="00285BE1">
      <w:pPr>
        <w:pStyle w:val="NormalWeb"/>
        <w:spacing w:before="0" w:beforeAutospacing="0" w:after="0" w:afterAutospacing="0" w:line="480" w:lineRule="auto"/>
        <w:ind w:left="720" w:hanging="720"/>
      </w:pPr>
    </w:p>
    <w:p w14:paraId="65DECDF2" w14:textId="77777777" w:rsidR="00590CE7" w:rsidRDefault="00590CE7" w:rsidP="00285BE1">
      <w:pPr>
        <w:pStyle w:val="NormalWeb"/>
        <w:spacing w:before="0" w:beforeAutospacing="0" w:after="0" w:afterAutospacing="0" w:line="480" w:lineRule="auto"/>
        <w:ind w:left="720" w:hanging="720"/>
      </w:pPr>
    </w:p>
    <w:p w14:paraId="32E4D84B" w14:textId="77777777" w:rsidR="00590CE7" w:rsidRDefault="00590CE7" w:rsidP="00285BE1">
      <w:pPr>
        <w:pStyle w:val="NormalWeb"/>
        <w:spacing w:before="0" w:beforeAutospacing="0" w:after="0" w:afterAutospacing="0" w:line="480" w:lineRule="auto"/>
        <w:ind w:left="720" w:hanging="720"/>
      </w:pPr>
    </w:p>
    <w:p w14:paraId="17E16AD9" w14:textId="77777777" w:rsidR="00590CE7" w:rsidRDefault="00590CE7" w:rsidP="00285BE1">
      <w:pPr>
        <w:pStyle w:val="NormalWeb"/>
        <w:spacing w:before="0" w:beforeAutospacing="0" w:after="0" w:afterAutospacing="0" w:line="480" w:lineRule="auto"/>
        <w:ind w:left="720" w:hanging="720"/>
      </w:pPr>
    </w:p>
    <w:p w14:paraId="72F75027" w14:textId="5870A858" w:rsidR="00590CE7" w:rsidRPr="00590CE7" w:rsidRDefault="00590CE7" w:rsidP="00285BE1">
      <w:pPr>
        <w:pStyle w:val="NormalWeb"/>
        <w:spacing w:before="0" w:beforeAutospacing="0" w:after="0" w:afterAutospacing="0" w:line="480" w:lineRule="auto"/>
        <w:ind w:left="720" w:hanging="720"/>
        <w:rPr>
          <w:sz w:val="12"/>
          <w:szCs w:val="12"/>
        </w:rPr>
      </w:pPr>
      <w:r w:rsidRPr="00590CE7">
        <w:rPr>
          <w:sz w:val="12"/>
          <w:szCs w:val="12"/>
        </w:rPr>
        <w:t>“</w:t>
      </w:r>
    </w:p>
    <w:p w14:paraId="2E480EAB" w14:textId="77777777" w:rsidR="00285BE1" w:rsidRDefault="00285BE1" w:rsidP="00285BE1">
      <w:pPr>
        <w:pStyle w:val="NormalWeb"/>
        <w:spacing w:before="0" w:beforeAutospacing="0" w:after="0" w:afterAutospacing="0" w:line="480" w:lineRule="auto"/>
        <w:ind w:left="720" w:hanging="720"/>
      </w:pPr>
    </w:p>
    <w:p w14:paraId="4923D385" w14:textId="77777777" w:rsidR="00285BE1" w:rsidRDefault="00285BE1"/>
    <w:p w14:paraId="4A66A2B1" w14:textId="77777777" w:rsidR="00285BE1" w:rsidRDefault="00285BE1"/>
    <w:p w14:paraId="61D765D5" w14:textId="77777777" w:rsidR="00285BE1" w:rsidRDefault="00285BE1"/>
    <w:p w14:paraId="522F150D" w14:textId="77777777" w:rsidR="00285BE1" w:rsidRDefault="00285BE1"/>
    <w:p w14:paraId="1562C913" w14:textId="77777777" w:rsidR="00285BE1" w:rsidRDefault="00285BE1"/>
    <w:p w14:paraId="709A6F98" w14:textId="77777777" w:rsidR="00285BE1" w:rsidRDefault="00285BE1"/>
    <w:p w14:paraId="03A9C0B2" w14:textId="77777777" w:rsidR="00285BE1" w:rsidRDefault="00285BE1"/>
    <w:p w14:paraId="411E33FA" w14:textId="77777777" w:rsidR="00285BE1" w:rsidRDefault="00285BE1"/>
    <w:p w14:paraId="6F312E7A" w14:textId="77777777" w:rsidR="00285BE1" w:rsidRDefault="00285BE1"/>
    <w:p w14:paraId="052F158E" w14:textId="77777777" w:rsidR="00285BE1" w:rsidRDefault="00285BE1"/>
    <w:p w14:paraId="0307ADA2" w14:textId="77777777" w:rsidR="00285BE1" w:rsidRDefault="00285BE1"/>
    <w:p w14:paraId="12729A0E" w14:textId="77777777" w:rsidR="00285BE1" w:rsidRDefault="00285BE1"/>
    <w:p w14:paraId="22FB2382" w14:textId="77777777" w:rsidR="00285BE1" w:rsidRDefault="00285BE1"/>
    <w:sectPr w:rsidR="00285BE1" w:rsidSect="008F47DC">
      <w:pgSz w:w="12240" w:h="15840"/>
      <w:pgMar w:top="990" w:right="90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DC"/>
    <w:rsid w:val="00285BE1"/>
    <w:rsid w:val="00376600"/>
    <w:rsid w:val="00425F6B"/>
    <w:rsid w:val="004B2664"/>
    <w:rsid w:val="00590CE7"/>
    <w:rsid w:val="006B77CA"/>
    <w:rsid w:val="00737A69"/>
    <w:rsid w:val="008F47DC"/>
    <w:rsid w:val="00915577"/>
    <w:rsid w:val="009B0D13"/>
    <w:rsid w:val="00AA6741"/>
    <w:rsid w:val="00AF194D"/>
    <w:rsid w:val="00BA0181"/>
    <w:rsid w:val="00BC5D19"/>
    <w:rsid w:val="00BE5835"/>
    <w:rsid w:val="00C0792C"/>
    <w:rsid w:val="00C36CF6"/>
    <w:rsid w:val="00CC1790"/>
    <w:rsid w:val="00DE6D0C"/>
    <w:rsid w:val="00E5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3F5D"/>
  <w15:chartTrackingRefBased/>
  <w15:docId w15:val="{29204374-0550-4C50-A824-8D009B8E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2664"/>
    <w:rPr>
      <w:b/>
      <w:bCs/>
    </w:rPr>
  </w:style>
  <w:style w:type="table" w:styleId="GridTable3-Accent6">
    <w:name w:val="Grid Table 3 Accent 6"/>
    <w:basedOn w:val="TableNormal"/>
    <w:uiPriority w:val="48"/>
    <w:rsid w:val="00737A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737A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737A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6">
    <w:name w:val="Grid Table 2 Accent 6"/>
    <w:basedOn w:val="TableNormal"/>
    <w:uiPriority w:val="47"/>
    <w:rsid w:val="00737A6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737A6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BE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85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8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ca/products/" TargetMode="External"/><Relationship Id="rId5" Type="http://schemas.openxmlformats.org/officeDocument/2006/relationships/hyperlink" Target="https://cloud.google.com/products/cloud-migration?hl=en" TargetMode="External"/><Relationship Id="rId4" Type="http://schemas.openxmlformats.org/officeDocument/2006/relationships/hyperlink" Target="https://aws.amazon.com/blogs/storage/migrate-from-gcp-and-azure-to-aws-using-cloudendure-mi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Prabhnoor Kaur</dc:creator>
  <cp:keywords/>
  <dc:description/>
  <cp:lastModifiedBy>Prabhnoor Kaur</cp:lastModifiedBy>
  <cp:revision>10</cp:revision>
  <dcterms:created xsi:type="dcterms:W3CDTF">2023-11-11T01:40:00Z</dcterms:created>
  <dcterms:modified xsi:type="dcterms:W3CDTF">2023-11-13T19:44:00Z</dcterms:modified>
</cp:coreProperties>
</file>