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7.png" ContentType="image/png"/>
  <Override PartName="/word/media/rId34.png" ContentType="image/png"/>
  <Override PartName="/word/media/rId51.png" ContentType="image/png"/>
  <Override PartName="/word/media/rId48.png" ContentType="image/png"/>
  <Override PartName="/word/media/rId4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formal-modeling"/>
    <w:p>
      <w:pPr>
        <w:pStyle w:val="Heading1"/>
      </w:pPr>
      <w:r>
        <w:t xml:space="preserve">Formal Modeling</w:t>
      </w:r>
    </w:p>
    <w:p>
      <w:pPr>
        <w:pStyle w:val="FirstParagraph"/>
      </w:pPr>
      <w:r>
        <w:t xml:space="preserve">Taken together, these benchmarks place clear constraints on any mechanistic account of how LPP relates to emotion and memory.</w:t>
      </w:r>
      <w:r>
        <w:t xml:space="preserve"> </w:t>
      </w:r>
      <w:r>
        <w:t xml:space="preserve">Item type and LPP must be treated as distinct inputs whose effects interact: emotional items enjoy a baseline recall advantage (EEM), and Early LPP further modulates recall likelihood, with a much stronger association for emotional items than for neutral items.</w:t>
      </w:r>
      <w:r>
        <w:t xml:space="preserve"> </w:t>
      </w:r>
      <w:r>
        <w:t xml:space="preserve">The mixed-effects cross-check confirms this pattern, showing main effects of condition and Early LPP as well as a significant interaction.</w:t>
      </w:r>
    </w:p>
    <w:p>
      <w:pPr>
        <w:pStyle w:val="BodyText"/>
      </w:pPr>
      <w:r>
        <w:t xml:space="preserve">These constraints motivate treating item type and LPP as interacting influences on encoding or retrieval while keeping temporal context effects modest in scope.</w:t>
      </w:r>
      <w:r>
        <w:t xml:space="preserve"> </w:t>
      </w:r>
      <w:r>
        <w:t xml:space="preserve">The mixed-effects cross-check supports this view (main effects plus interaction) but does not specify how the predictors should enter an encoding rule or propagate through retrieved-context dynamics to shape recall sets.</w:t>
      </w:r>
    </w:p>
    <w:p>
      <w:pPr>
        <w:pStyle w:val="BodyText"/>
      </w:pPr>
      <w:r>
        <w:t xml:space="preserve">In the next section, we focus on three closely related eCMR variants that directly address whether LPP adds explanatory value beyond emotion labels and whether that value differs by item type.</w:t>
      </w:r>
      <w:r>
        <w:t xml:space="preserve"> </w:t>
      </w:r>
      <w:r>
        <w:t xml:space="preserve">We compare an emotion-only model (no LPP input), a model with a single LPP slope shared across items, and a model with an additional LPP slope for emotional items.</w:t>
      </w:r>
      <w:r>
        <w:t xml:space="preserve"> </w:t>
      </w:r>
      <w:r>
        <w:t xml:space="preserve">These comparisons test whether LPP contributes incremental information about recall sets and whether the GMM-style interaction requires an explicit emotion-dependent term or can arise from retrieved-context dynamics.</w:t>
      </w:r>
    </w:p>
    <w:bookmarkStart w:id="21" w:name="ecmr-specification"/>
    <w:p>
      <w:pPr>
        <w:pStyle w:val="Heading2"/>
      </w:pPr>
      <w:r>
        <w:t xml:space="preserve">eCMR Specification</w:t>
      </w:r>
    </w:p>
    <w:p>
      <w:pPr>
        <w:pStyle w:val="FirstParagraph"/>
      </w:pPr>
      <w:r>
        <w:t xml:space="preserve">We use a connectionist CMR architecture with a temporal context and implement emotion and LPP as modulators of learning strength rather than a separate emotional context state.</w:t>
      </w:r>
      <w:r>
        <w:t xml:space="preserve"> </w:t>
      </w:r>
      <w:r>
        <w:t xml:space="preserve">This simplified eCMR is appropriate here because the dataset provides no recall-order scaffold to validate an explicit emotional context trajectory.</w:t>
      </w:r>
      <w:r>
        <w:t xml:space="preserve"> </w:t>
      </w:r>
      <w:r>
        <w:t xml:space="preserve">It also yields a cleaner comparison across emotion-only, LPP main-effects, and LPP interaction models by placing LPP in a common learning pathway rather than different loci for neutral versus emotional items.</w:t>
      </w:r>
      <w:r>
        <w:t xml:space="preserve"> </w:t>
      </w:r>
      <w:r>
        <w:t xml:space="preserve">We denote temporal context as</w:t>
      </w:r>
      <w:r>
        <w:t xml:space="preserve"> </w:t>
      </w:r>
      <m:oMath>
        <m:sSup>
          <m:e>
            <m:r>
              <m:t>c</m:t>
            </m:r>
          </m:e>
          <m:sup>
            <m:r>
              <m:t>T</m:t>
            </m:r>
          </m:sup>
        </m:sSup>
      </m:oMath>
      <w:r>
        <w:t xml:space="preserve">, with item features</w:t>
      </w:r>
      <w:r>
        <w:t xml:space="preserve"> </w:t>
      </w:r>
      <m:oMath>
        <m:sSub>
          <m:e>
            <m:r>
              <m:t>f</m:t>
            </m:r>
          </m:e>
          <m:sub>
            <m:r>
              <m:t>i</m:t>
            </m:r>
          </m:sub>
        </m:sSub>
      </m:oMath>
      <w:r>
        <w:t xml:space="preserve">.</w:t>
      </w:r>
      <w:r>
        <w:t xml:space="preserve"> </w:t>
      </w:r>
      <w:r>
        <w:t xml:space="preserve">The matrix</w:t>
      </w:r>
      <w:r>
        <w:t xml:space="preserve"> </w:t>
      </w:r>
      <m:oMath>
        <m:sSup>
          <m:e>
            <m:r>
              <m:t>M</m:t>
            </m:r>
          </m:e>
          <m:sup>
            <m:r>
              <m:t>F</m:t>
            </m:r>
            <m:r>
              <m:t>C</m:t>
            </m:r>
          </m:sup>
        </m:sSup>
      </m:oMath>
      <w:r>
        <w:t xml:space="preserve"> </w:t>
      </w:r>
      <w:r>
        <w:t xml:space="preserve">binds item features to temporal context, and</w:t>
      </w:r>
      <w:r>
        <w:t xml:space="preserve"> </w:t>
      </w:r>
      <m:oMath>
        <m:sSup>
          <m:e>
            <m:r>
              <m:t>M</m:t>
            </m:r>
          </m:e>
          <m:sup>
            <m:r>
              <m:t>C</m:t>
            </m:r>
            <m:r>
              <m:t>F</m:t>
            </m:r>
          </m:sup>
        </m:sSup>
      </m:oMath>
      <w:r>
        <w:t xml:space="preserve"> </w:t>
      </w:r>
      <w:r>
        <w:t xml:space="preserve">binds temporal context to item features.</w:t>
      </w:r>
    </w:p>
    <w:tbl>
      <w:tblPr>
        <w:tblStyle w:val="Table"/>
        <w:tblW w:type="pct" w:w="5000"/>
        <w:tblLayout w:type="fixed"/>
        <w:tblLook w:firstRow="0" w:lastRow="0" w:firstColumn="0" w:lastColumn="0" w:noHBand="0" w:noVBand="0" w:val="0000"/>
      </w:tblPr>
      <w:tblGrid>
        <w:gridCol w:w="7920"/>
      </w:tblGrid>
      <w:tr>
        <w:tc>
          <w:tcPr/>
          <w:bookmarkStart w:id="20" w:name="tbl-ecmr-parameters"/>
          <w:p>
            <w:pPr>
              <w:jc w:val="center"/>
            </w:pPr>
            <w:pPr>
              <w:jc w:val="start"/>
              <w:spacing w:before="200"/>
              <w:pStyle w:val="ImageCaption"/>
            </w:pPr>
            <w:r>
              <w:t xml:space="preserve">Table 1: Parameters and structures specifying eCMR.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Symbol</w:t>
                  </w:r>
                </w:p>
              </w:tc>
              <w:tc>
                <w:tcPr/>
                <w:p>
                  <w:pPr>
                    <w:pStyle w:val="Compact"/>
                    <w:jc w:val="left"/>
                    <w:jc w:val="center"/>
                  </w:pPr>
                  <w:r>
                    <w:t xml:space="preserve">Name</w:t>
                  </w:r>
                </w:p>
              </w:tc>
              <w:tc>
                <w:tcPr/>
                <w:p>
                  <w:pPr>
                    <w:pStyle w:val="Compact"/>
                    <w:jc w:val="left"/>
                    <w:jc w:val="center"/>
                  </w:pPr>
                  <w:r>
                    <w:t xml:space="preserve">Description</w:t>
                  </w:r>
                </w:p>
              </w:tc>
            </w:tr>
            <w:tr>
              <w:tc>
                <w:tcPr/>
                <w:p>
                  <w:pPr>
                    <w:pStyle w:val="Compact"/>
                    <w:jc w:val="left"/>
                    <w:jc w:val="center"/>
                  </w:pPr>
                  <m:oMath>
                    <m:sSup>
                      <m:e>
                        <m:r>
                          <m:t>c</m:t>
                        </m:r>
                      </m:e>
                      <m:sup>
                        <m:r>
                          <m:t>T</m:t>
                        </m:r>
                      </m:sup>
                    </m:sSup>
                  </m:oMath>
                </w:p>
              </w:tc>
              <w:tc>
                <w:tcPr/>
                <w:p>
                  <w:pPr>
                    <w:pStyle w:val="Compact"/>
                    <w:jc w:val="left"/>
                    <w:jc w:val="center"/>
                  </w:pPr>
                  <w:r>
                    <w:t xml:space="preserve">temporal context</w:t>
                  </w:r>
                </w:p>
              </w:tc>
              <w:tc>
                <w:tcPr/>
                <w:p>
                  <w:pPr>
                    <w:pStyle w:val="Compact"/>
                    <w:jc w:val="left"/>
                    <w:jc w:val="center"/>
                  </w:pPr>
                  <w:r>
                    <w:t xml:space="preserve">Recency-weighted summary of prior items.</w:t>
                  </w:r>
                </w:p>
              </w:tc>
            </w:tr>
            <w:tr>
              <w:tc>
                <w:tcPr/>
                <w:p>
                  <w:pPr>
                    <w:pStyle w:val="Compact"/>
                    <w:jc w:val="left"/>
                    <w:jc w:val="center"/>
                  </w:pPr>
                  <m:oMath>
                    <m:sSub>
                      <m:e>
                        <m:r>
                          <m:t>f</m:t>
                        </m:r>
                      </m:e>
                      <m:sub>
                        <m:r>
                          <m:t>i</m:t>
                        </m:r>
                      </m:sub>
                    </m:sSub>
                  </m:oMath>
                </w:p>
              </w:tc>
              <w:tc>
                <w:tcPr/>
                <w:p>
                  <w:pPr>
                    <w:pStyle w:val="Compact"/>
                    <w:jc w:val="left"/>
                    <w:jc w:val="center"/>
                  </w:pPr>
                  <w:r>
                    <w:t xml:space="preserve">item features</w:t>
                  </w:r>
                </w:p>
              </w:tc>
              <w:tc>
                <w:tcPr/>
                <w:p>
                  <w:pPr>
                    <w:pStyle w:val="Compact"/>
                    <w:jc w:val="left"/>
                    <w:jc w:val="center"/>
                  </w:pPr>
                  <w:r>
                    <w:t xml:space="preserve">One-hot representation of item</w:t>
                  </w:r>
                  <w:r>
                    <w:t xml:space="preserve"> </w:t>
                  </w:r>
                  <m:oMath>
                    <m:r>
                      <m:t>i</m:t>
                    </m:r>
                  </m:oMath>
                  <w:r>
                    <w:t xml:space="preserve">.</w:t>
                  </w:r>
                </w:p>
              </w:tc>
            </w:tr>
            <w:tr>
              <w:tc>
                <w:tcPr/>
                <w:p>
                  <w:pPr>
                    <w:pStyle w:val="Compact"/>
                    <w:jc w:val="left"/>
                    <w:jc w:val="center"/>
                  </w:pPr>
                  <m:oMath>
                    <m:sSup>
                      <m:e>
                        <m:r>
                          <m:t>M</m:t>
                        </m:r>
                      </m:e>
                      <m:sup>
                        <m:r>
                          <m:t>F</m:t>
                        </m:r>
                        <m:r>
                          <m:t>C</m:t>
                        </m:r>
                      </m:sup>
                    </m:sSup>
                  </m:oMath>
                </w:p>
              </w:tc>
              <w:tc>
                <w:tcPr/>
                <w:p>
                  <w:pPr>
                    <w:pStyle w:val="Compact"/>
                    <w:jc w:val="left"/>
                    <w:jc w:val="center"/>
                  </w:pPr>
                  <w:r>
                    <w:t xml:space="preserve">item-to-temporal-context memory</w:t>
                  </w:r>
                </w:p>
              </w:tc>
              <w:tc>
                <w:tcPr/>
                <w:p>
                  <w:pPr>
                    <w:pStyle w:val="Compact"/>
                    <w:jc w:val="left"/>
                    <w:jc w:val="center"/>
                  </w:pPr>
                  <w:r>
                    <w:t xml:space="preserve">Feature-to-context associations.</w:t>
                  </w:r>
                </w:p>
              </w:tc>
            </w:tr>
            <w:tr>
              <w:tc>
                <w:tcPr/>
                <w:p>
                  <w:pPr>
                    <w:pStyle w:val="Compact"/>
                    <w:jc w:val="left"/>
                    <w:jc w:val="center"/>
                  </w:pPr>
                  <m:oMath>
                    <m:sSup>
                      <m:e>
                        <m:r>
                          <m:t>M</m:t>
                        </m:r>
                      </m:e>
                      <m:sup>
                        <m:r>
                          <m:t>C</m:t>
                        </m:r>
                        <m:r>
                          <m:t>F</m:t>
                        </m:r>
                      </m:sup>
                    </m:sSup>
                  </m:oMath>
                </w:p>
              </w:tc>
              <w:tc>
                <w:tcPr/>
                <w:p>
                  <w:pPr>
                    <w:pStyle w:val="Compact"/>
                    <w:jc w:val="left"/>
                    <w:jc w:val="center"/>
                  </w:pPr>
                  <w:r>
                    <w:t xml:space="preserve">context-to-item memory</w:t>
                  </w:r>
                </w:p>
              </w:tc>
              <w:tc>
                <w:tcPr/>
                <w:p>
                  <w:pPr>
                    <w:pStyle w:val="Compact"/>
                    <w:jc w:val="left"/>
                    <w:jc w:val="center"/>
                  </w:pPr>
                  <w:r>
                    <w:t xml:space="preserve">Temporal context cueing item features.</w:t>
                  </w:r>
                </w:p>
              </w:tc>
            </w:tr>
            <w:tr>
              <w:tc>
                <w:tcPr/>
                <w:p>
                  <w:pPr>
                    <w:pStyle w:val="Compact"/>
                    <w:jc w:val="left"/>
                    <w:jc w:val="center"/>
                  </w:pPr>
                  <m:oMath>
                    <m:sSub>
                      <m:e>
                        <m:r>
                          <m:t>β</m:t>
                        </m:r>
                      </m:e>
                      <m:sub>
                        <m:r>
                          <m:t>e</m:t>
                        </m:r>
                        <m:r>
                          <m:t>n</m:t>
                        </m:r>
                        <m:r>
                          <m:t>c</m:t>
                        </m:r>
                      </m:sub>
                    </m:sSub>
                  </m:oMath>
                </w:p>
              </w:tc>
              <w:tc>
                <w:tcPr/>
                <w:p>
                  <w:pPr>
                    <w:pStyle w:val="Compact"/>
                    <w:jc w:val="left"/>
                    <w:jc w:val="center"/>
                  </w:pPr>
                  <w:r>
                    <w:t xml:space="preserve">encoding drift rate</w:t>
                  </w:r>
                </w:p>
              </w:tc>
              <w:tc>
                <w:tcPr/>
                <w:p>
                  <w:pPr>
                    <w:pStyle w:val="Compact"/>
                    <w:jc w:val="left"/>
                    <w:jc w:val="center"/>
                  </w:pPr>
                  <w:r>
                    <w:t xml:space="preserve">Integration rate of temporal context during encoding.</w:t>
                  </w:r>
                </w:p>
              </w:tc>
            </w:tr>
            <w:tr>
              <w:tc>
                <w:tcPr/>
                <w:p>
                  <w:pPr>
                    <w:pStyle w:val="Compact"/>
                    <w:jc w:val="left"/>
                    <w:jc w:val="center"/>
                  </w:pPr>
                  <m:oMath>
                    <m:sSub>
                      <m:e>
                        <m:r>
                          <m:t>β</m:t>
                        </m:r>
                      </m:e>
                      <m:sub>
                        <m:r>
                          <m:t>s</m:t>
                        </m:r>
                        <m:r>
                          <m:t>t</m:t>
                        </m:r>
                        <m:r>
                          <m:t>a</m:t>
                        </m:r>
                        <m:r>
                          <m:t>r</m:t>
                        </m:r>
                        <m:r>
                          <m:t>t</m:t>
                        </m:r>
                      </m:sub>
                    </m:sSub>
                  </m:oMath>
                </w:p>
              </w:tc>
              <w:tc>
                <w:tcPr/>
                <w:p>
                  <w:pPr>
                    <w:pStyle w:val="Compact"/>
                    <w:jc w:val="left"/>
                    <w:jc w:val="center"/>
                  </w:pPr>
                  <w:r>
                    <w:t xml:space="preserve">start drift rate</w:t>
                  </w:r>
                </w:p>
              </w:tc>
              <w:tc>
                <w:tcPr/>
                <w:p>
                  <w:pPr>
                    <w:pStyle w:val="Compact"/>
                    <w:jc w:val="left"/>
                    <w:jc w:val="center"/>
                  </w:pPr>
                  <w:r>
                    <w:t xml:space="preserve">Start-list context integration at recall onset.</w:t>
                  </w:r>
                </w:p>
              </w:tc>
            </w:tr>
            <w:tr>
              <w:tc>
                <w:tcPr/>
                <w:p>
                  <w:pPr>
                    <w:pStyle w:val="Compact"/>
                    <w:jc w:val="left"/>
                    <w:jc w:val="center"/>
                  </w:pPr>
                  <m:oMath>
                    <m:sSub>
                      <m:e>
                        <m:r>
                          <m:t>β</m:t>
                        </m:r>
                      </m:e>
                      <m:sub>
                        <m:r>
                          <m:t>r</m:t>
                        </m:r>
                        <m:r>
                          <m:t>e</m:t>
                        </m:r>
                        <m:r>
                          <m:t>c</m:t>
                        </m:r>
                      </m:sub>
                    </m:sSub>
                  </m:oMath>
                </w:p>
              </w:tc>
              <w:tc>
                <w:tcPr/>
                <w:p>
                  <w:pPr>
                    <w:pStyle w:val="Compact"/>
                    <w:jc w:val="left"/>
                    <w:jc w:val="center"/>
                  </w:pPr>
                  <w:r>
                    <w:t xml:space="preserve">recall drift rate</w:t>
                  </w:r>
                </w:p>
              </w:tc>
              <w:tc>
                <w:tcPr/>
                <w:p>
                  <w:pPr>
                    <w:pStyle w:val="Compact"/>
                    <w:jc w:val="left"/>
                    <w:jc w:val="center"/>
                  </w:pPr>
                  <w:r>
                    <w:t xml:space="preserve">Integration rate of temporal context during recall.</w:t>
                  </w:r>
                </w:p>
              </w:tc>
            </w:tr>
            <w:tr>
              <w:tc>
                <w:tcPr/>
                <w:p>
                  <w:pPr>
                    <w:pStyle w:val="Compact"/>
                    <w:jc w:val="left"/>
                    <w:jc w:val="center"/>
                  </w:pPr>
                  <m:oMath>
                    <m:r>
                      <m:t>α</m:t>
                    </m:r>
                  </m:oMath>
                </w:p>
              </w:tc>
              <w:tc>
                <w:tcPr/>
                <w:p>
                  <w:pPr>
                    <w:pStyle w:val="Compact"/>
                    <w:jc w:val="left"/>
                    <w:jc w:val="center"/>
                  </w:pPr>
                  <w:r>
                    <w:t xml:space="preserve">shared support</w:t>
                  </w:r>
                </w:p>
              </w:tc>
              <w:tc>
                <w:tcPr/>
                <w:p>
                  <w:pPr>
                    <w:pStyle w:val="Compact"/>
                    <w:jc w:val="left"/>
                    <w:jc w:val="center"/>
                  </w:pPr>
                  <w:r>
                    <w:t xml:space="preserve">Uniform pre-experimental support in</w:t>
                  </w:r>
                  <w:r>
                    <w:t xml:space="preserve"> </w:t>
                  </w:r>
                  <m:oMath>
                    <m:sSup>
                      <m:e>
                        <m:r>
                          <m:t>M</m:t>
                        </m:r>
                      </m:e>
                      <m:sup>
                        <m:r>
                          <m:t>C</m:t>
                        </m:r>
                        <m:r>
                          <m:t>F</m:t>
                        </m:r>
                      </m:sup>
                    </m:sSup>
                  </m:oMath>
                  <w:r>
                    <w:t xml:space="preserve">.</w:t>
                  </w:r>
                </w:p>
              </w:tc>
            </w:tr>
            <w:tr>
              <w:tc>
                <w:tcPr/>
                <w:p>
                  <w:pPr>
                    <w:pStyle w:val="Compact"/>
                    <w:jc w:val="left"/>
                    <w:jc w:val="center"/>
                  </w:pPr>
                  <m:oMath>
                    <m:r>
                      <m:t>δ</m:t>
                    </m:r>
                  </m:oMath>
                </w:p>
              </w:tc>
              <w:tc>
                <w:tcPr/>
                <w:p>
                  <w:pPr>
                    <w:pStyle w:val="Compact"/>
                    <w:jc w:val="left"/>
                    <w:jc w:val="center"/>
                  </w:pPr>
                  <w:r>
                    <w:t xml:space="preserve">item support</w:t>
                  </w:r>
                </w:p>
              </w:tc>
              <w:tc>
                <w:tcPr/>
                <w:p>
                  <w:pPr>
                    <w:pStyle w:val="Compact"/>
                    <w:jc w:val="left"/>
                    <w:jc w:val="center"/>
                  </w:pPr>
                  <w:r>
                    <w:t xml:space="preserve">Self-support in</w:t>
                  </w:r>
                  <w:r>
                    <w:t xml:space="preserve"> </w:t>
                  </w:r>
                  <m:oMath>
                    <m:sSup>
                      <m:e>
                        <m:r>
                          <m:t>M</m:t>
                        </m:r>
                      </m:e>
                      <m:sup>
                        <m:r>
                          <m:t>C</m:t>
                        </m:r>
                        <m:r>
                          <m:t>F</m:t>
                        </m:r>
                      </m:sup>
                    </m:sSup>
                  </m:oMath>
                  <w:r>
                    <w:t xml:space="preserve">.</w:t>
                  </w:r>
                </w:p>
              </w:tc>
            </w:tr>
            <w:tr>
              <w:tc>
                <w:tcPr/>
                <w:p>
                  <w:pPr>
                    <w:pStyle w:val="Compact"/>
                    <w:jc w:val="left"/>
                    <w:jc w:val="center"/>
                  </w:pPr>
                  <m:oMath>
                    <m:r>
                      <m:t>γ</m:t>
                    </m:r>
                  </m:oMath>
                </w:p>
              </w:tc>
              <w:tc>
                <w:tcPr/>
                <w:p>
                  <w:pPr>
                    <w:pStyle w:val="Compact"/>
                    <w:jc w:val="left"/>
                    <w:jc w:val="center"/>
                  </w:pPr>
                  <w:r>
                    <w:t xml:space="preserve">learning rate</w:t>
                  </w:r>
                </w:p>
              </w:tc>
              <w:tc>
                <w:tcPr/>
                <w:p>
                  <w:pPr>
                    <w:pStyle w:val="Compact"/>
                    <w:jc w:val="left"/>
                    <w:jc w:val="center"/>
                  </w:pPr>
                  <w:r>
                    <w:t xml:space="preserve">Feature-to-context learning rate in</w:t>
                  </w:r>
                  <w:r>
                    <w:t xml:space="preserve"> </w:t>
                  </w:r>
                  <m:oMath>
                    <m:sSup>
                      <m:e>
                        <m:r>
                          <m:t>M</m:t>
                        </m:r>
                      </m:e>
                      <m:sup>
                        <m:r>
                          <m:t>F</m:t>
                        </m:r>
                        <m:r>
                          <m:t>C</m:t>
                        </m:r>
                      </m:sup>
                    </m:sSup>
                  </m:oMath>
                  <w:r>
                    <w:t xml:space="preserve">.</w:t>
                  </w:r>
                </w:p>
              </w:tc>
            </w:tr>
            <w:tr>
              <w:tc>
                <w:tcPr/>
                <w:p>
                  <w:pPr>
                    <w:pStyle w:val="Compact"/>
                    <w:jc w:val="left"/>
                    <w:jc w:val="center"/>
                  </w:pPr>
                  <m:oMath>
                    <m:sSub>
                      <m:e>
                        <m:r>
                          <m:t>ϕ</m:t>
                        </m:r>
                      </m:e>
                      <m:sub>
                        <m:r>
                          <m:t>s</m:t>
                        </m:r>
                      </m:sub>
                    </m:sSub>
                  </m:oMath>
                </w:p>
              </w:tc>
              <w:tc>
                <w:tcPr/>
                <w:p>
                  <w:pPr>
                    <w:pStyle w:val="Compact"/>
                    <w:jc w:val="left"/>
                    <w:jc w:val="center"/>
                  </w:pPr>
                  <w:r>
                    <w:t xml:space="preserve">primacy scale</w:t>
                  </w:r>
                </w:p>
              </w:tc>
              <w:tc>
                <w:tcPr/>
                <w:p>
                  <w:pPr>
                    <w:pStyle w:val="Compact"/>
                    <w:jc w:val="left"/>
                    <w:jc w:val="center"/>
                  </w:pPr>
                  <w:r>
                    <w:t xml:space="preserve">Initial boost to</w:t>
                  </w:r>
                  <w:r>
                    <w:t xml:space="preserve"> </w:t>
                  </w:r>
                  <m:oMath>
                    <m:sSup>
                      <m:e>
                        <m:r>
                          <m:t>M</m:t>
                        </m:r>
                      </m:e>
                      <m:sup>
                        <m:r>
                          <m:t>C</m:t>
                        </m:r>
                        <m:r>
                          <m:t>F</m:t>
                        </m:r>
                      </m:sup>
                    </m:sSup>
                  </m:oMath>
                  <w:r>
                    <w:t xml:space="preserve"> </w:t>
                  </w:r>
                  <w:r>
                    <w:t xml:space="preserve">learning.</w:t>
                  </w:r>
                </w:p>
              </w:tc>
            </w:tr>
            <w:tr>
              <w:tc>
                <w:tcPr/>
                <w:p>
                  <w:pPr>
                    <w:pStyle w:val="Compact"/>
                    <w:jc w:val="left"/>
                    <w:jc w:val="center"/>
                  </w:pPr>
                  <m:oMath>
                    <m:sSub>
                      <m:e>
                        <m:r>
                          <m:t>ϕ</m:t>
                        </m:r>
                      </m:e>
                      <m:sub>
                        <m:r>
                          <m:t>d</m:t>
                        </m:r>
                      </m:sub>
                    </m:sSub>
                  </m:oMath>
                </w:p>
              </w:tc>
              <w:tc>
                <w:tcPr/>
                <w:p>
                  <w:pPr>
                    <w:pStyle w:val="Compact"/>
                    <w:jc w:val="left"/>
                    <w:jc w:val="center"/>
                  </w:pPr>
                  <w:r>
                    <w:t xml:space="preserve">primacy decay</w:t>
                  </w:r>
                </w:p>
              </w:tc>
              <w:tc>
                <w:tcPr/>
                <w:p>
                  <w:pPr>
                    <w:pStyle w:val="Compact"/>
                    <w:jc w:val="left"/>
                    <w:jc w:val="center"/>
                  </w:pPr>
                  <w:r>
                    <w:t xml:space="preserve">Decay rate of the primacy boost.</w:t>
                  </w:r>
                </w:p>
              </w:tc>
            </w:tr>
            <w:tr>
              <w:tc>
                <w:tcPr/>
                <w:p>
                  <w:pPr>
                    <w:pStyle w:val="Compact"/>
                    <w:jc w:val="left"/>
                    <w:jc w:val="center"/>
                  </w:pPr>
                  <m:oMath>
                    <m:sSub>
                      <m:e>
                        <m:r>
                          <m:t>τ</m:t>
                        </m:r>
                      </m:e>
                      <m:sub>
                        <m:r>
                          <m:t>c</m:t>
                        </m:r>
                      </m:sub>
                    </m:sSub>
                  </m:oMath>
                </w:p>
              </w:tc>
              <w:tc>
                <w:tcPr/>
                <w:p>
                  <w:pPr>
                    <w:pStyle w:val="Compact"/>
                    <w:jc w:val="left"/>
                    <w:jc w:val="center"/>
                  </w:pPr>
                  <w:r>
                    <w:t xml:space="preserve">choice sensitivity</w:t>
                  </w:r>
                </w:p>
              </w:tc>
              <w:tc>
                <w:tcPr/>
                <w:p>
                  <w:pPr>
                    <w:pStyle w:val="Compact"/>
                    <w:jc w:val="left"/>
                    <w:jc w:val="center"/>
                  </w:pPr>
                  <w:r>
                    <w:t xml:space="preserve">Exponent for Luce-style competition.</w:t>
                  </w:r>
                </w:p>
              </w:tc>
            </w:tr>
            <w:tr>
              <w:tc>
                <w:tcPr/>
                <w:p>
                  <w:pPr>
                    <w:pStyle w:val="Compact"/>
                    <w:jc w:val="left"/>
                    <w:jc w:val="center"/>
                  </w:pPr>
                  <m:oMath>
                    <m:sSub>
                      <m:e>
                        <m:r>
                          <m:t>ϕ</m:t>
                        </m:r>
                      </m:e>
                      <m:sub>
                        <m:r>
                          <m:t>e</m:t>
                        </m:r>
                        <m:r>
                          <m:t>m</m:t>
                        </m:r>
                        <m:r>
                          <m:t>o</m:t>
                        </m:r>
                        <m:r>
                          <m:t>t</m:t>
                        </m:r>
                      </m:sub>
                    </m:sSub>
                  </m:oMath>
                </w:p>
              </w:tc>
              <w:tc>
                <w:tcPr/>
                <w:p>
                  <w:pPr>
                    <w:pStyle w:val="Compact"/>
                    <w:jc w:val="left"/>
                    <w:jc w:val="center"/>
                  </w:pPr>
                  <w:r>
                    <w:t xml:space="preserve">emotional learning boost</w:t>
                  </w:r>
                </w:p>
              </w:tc>
              <w:tc>
                <w:tcPr/>
                <w:p>
                  <w:pPr>
                    <w:pStyle w:val="Compact"/>
                    <w:jc w:val="left"/>
                    <w:jc w:val="center"/>
                  </w:pPr>
                  <w:r>
                    <w:t xml:space="preserve">Value is</w:t>
                  </w:r>
                  <w:r>
                    <w:t xml:space="preserve"> </w:t>
                  </w:r>
                  <m:oMath>
                    <m:sSub>
                      <m:e>
                        <m:r>
                          <m:t>ϕ</m:t>
                        </m:r>
                      </m:e>
                      <m:sub>
                        <m:r>
                          <m:t>e</m:t>
                        </m:r>
                        <m:r>
                          <m:t>m</m:t>
                        </m:r>
                        <m:r>
                          <m:t>o</m:t>
                        </m:r>
                        <m:r>
                          <m:t>t</m:t>
                        </m:r>
                      </m:sub>
                    </m:sSub>
                  </m:oMath>
                  <w:r>
                    <w:t xml:space="preserve"> </w:t>
                  </w:r>
                  <w:r>
                    <w:t xml:space="preserve">for emotional items and 0 for neutral items.</w:t>
                  </w:r>
                </w:p>
              </w:tc>
            </w:tr>
            <w:tr>
              <w:tc>
                <w:tcPr/>
                <w:p>
                  <w:pPr>
                    <w:pStyle w:val="Compact"/>
                    <w:jc w:val="left"/>
                    <w:jc w:val="center"/>
                  </w:pPr>
                  <m:oMath>
                    <m:sSub>
                      <m:e>
                        <m:r>
                          <m:t>L</m:t>
                        </m:r>
                      </m:e>
                      <m:sub>
                        <m:r>
                          <m:t>i</m:t>
                        </m:r>
                      </m:sub>
                    </m:sSub>
                  </m:oMath>
                </w:p>
              </w:tc>
              <w:tc>
                <w:tcPr/>
                <w:p>
                  <w:pPr>
                    <w:pStyle w:val="Compact"/>
                    <w:jc w:val="left"/>
                    <w:jc w:val="center"/>
                  </w:pPr>
                  <w:r>
                    <w:t xml:space="preserve">centered Early LPP</w:t>
                  </w:r>
                </w:p>
              </w:tc>
              <w:tc>
                <w:tcPr/>
                <w:p>
                  <w:pPr>
                    <w:pStyle w:val="Compact"/>
                    <w:jc w:val="left"/>
                    <w:jc w:val="center"/>
                  </w:pPr>
                  <w:r>
                    <w:t xml:space="preserve">List-centered Early LPP for item</w:t>
                  </w:r>
                  <w:r>
                    <w:t xml:space="preserve"> </w:t>
                  </w:r>
                  <m:oMath>
                    <m:r>
                      <m:t>i</m:t>
                    </m:r>
                  </m:oMath>
                  <w:r>
                    <w:t xml:space="preserve">.</w:t>
                  </w:r>
                </w:p>
              </w:tc>
            </w:tr>
            <w:tr>
              <w:tc>
                <w:tcPr/>
                <w:p>
                  <w:pPr>
                    <w:pStyle w:val="Compact"/>
                    <w:jc w:val="left"/>
                    <w:jc w:val="center"/>
                  </w:pPr>
                  <m:oMath>
                    <m:sSub>
                      <m:e>
                        <m:r>
                          <m:t>κ</m:t>
                        </m:r>
                      </m:e>
                      <m:sub>
                        <m:r>
                          <m:t>L</m:t>
                        </m:r>
                      </m:sub>
                    </m:sSub>
                  </m:oMath>
                </w:p>
              </w:tc>
              <w:tc>
                <w:tcPr/>
                <w:p>
                  <w:pPr>
                    <w:pStyle w:val="Compact"/>
                    <w:jc w:val="left"/>
                    <w:jc w:val="center"/>
                  </w:pPr>
                  <w:r>
                    <w:t xml:space="preserve">LPP main scale</w:t>
                  </w:r>
                </w:p>
              </w:tc>
              <w:tc>
                <w:tcPr/>
                <w:p>
                  <w:pPr>
                    <w:pStyle w:val="Compact"/>
                    <w:jc w:val="left"/>
                    <w:jc w:val="center"/>
                  </w:pPr>
                  <w:r>
                    <w:t xml:space="preserve">Slope for LPP main effect.</w:t>
                  </w:r>
                </w:p>
              </w:tc>
            </w:tr>
            <w:tr>
              <w:tc>
                <w:tcPr/>
                <w:p>
                  <w:pPr>
                    <w:pStyle w:val="Compact"/>
                    <w:jc w:val="left"/>
                    <w:jc w:val="center"/>
                  </w:pPr>
                  <m:oMath>
                    <m:sSub>
                      <m:e>
                        <m:r>
                          <m:t>λ</m:t>
                        </m:r>
                      </m:e>
                      <m:sub>
                        <m:r>
                          <m:t>L</m:t>
                        </m:r>
                      </m:sub>
                    </m:sSub>
                  </m:oMath>
                </w:p>
              </w:tc>
              <w:tc>
                <w:tcPr/>
                <w:p>
                  <w:pPr>
                    <w:pStyle w:val="Compact"/>
                    <w:jc w:val="left"/>
                    <w:jc w:val="center"/>
                  </w:pPr>
                  <w:r>
                    <w:t xml:space="preserve">LPP main threshold</w:t>
                  </w:r>
                </w:p>
              </w:tc>
              <w:tc>
                <w:tcPr/>
                <w:p>
                  <w:pPr>
                    <w:pStyle w:val="Compact"/>
                    <w:jc w:val="left"/>
                    <w:jc w:val="center"/>
                  </w:pPr>
                  <w:r>
                    <w:t xml:space="preserve">Centering offset for the LPP main effect.</w:t>
                  </w:r>
                </w:p>
              </w:tc>
            </w:tr>
            <w:tr>
              <w:tc>
                <w:tcPr/>
                <w:p>
                  <w:pPr>
                    <w:pStyle w:val="Compact"/>
                    <w:jc w:val="left"/>
                    <w:jc w:val="center"/>
                  </w:pPr>
                  <m:oMath>
                    <m:sSub>
                      <m:e>
                        <m:r>
                          <m:t>κ</m:t>
                        </m:r>
                      </m:e>
                      <m:sub>
                        <m:r>
                          <m:t>E</m:t>
                        </m:r>
                        <m:r>
                          <m:t>L</m:t>
                        </m:r>
                      </m:sub>
                    </m:sSub>
                  </m:oMath>
                </w:p>
              </w:tc>
              <w:tc>
                <w:tcPr/>
                <w:p>
                  <w:pPr>
                    <w:pStyle w:val="Compact"/>
                    <w:jc w:val="left"/>
                    <w:jc w:val="center"/>
                  </w:pPr>
                  <w:r>
                    <w:t xml:space="preserve">LPP interaction scale</w:t>
                  </w:r>
                </w:p>
              </w:tc>
              <w:tc>
                <w:tcPr/>
                <w:p>
                  <w:pPr>
                    <w:pStyle w:val="Compact"/>
                    <w:jc w:val="left"/>
                    <w:jc w:val="center"/>
                  </w:pPr>
                  <w:r>
                    <w:t xml:space="preserve">Slope for LPP-by-emotion interaction.</w:t>
                  </w:r>
                </w:p>
              </w:tc>
            </w:tr>
            <w:tr>
              <w:tc>
                <w:tcPr/>
                <w:p>
                  <w:pPr>
                    <w:pStyle w:val="Compact"/>
                    <w:jc w:val="left"/>
                    <w:jc w:val="center"/>
                  </w:pPr>
                  <m:oMath>
                    <m:sSub>
                      <m:e>
                        <m:r>
                          <m:t>λ</m:t>
                        </m:r>
                      </m:e>
                      <m:sub>
                        <m:r>
                          <m:t>E</m:t>
                        </m:r>
                        <m:r>
                          <m:t>L</m:t>
                        </m:r>
                      </m:sub>
                    </m:sSub>
                  </m:oMath>
                </w:p>
              </w:tc>
              <w:tc>
                <w:tcPr/>
                <w:p>
                  <w:pPr>
                    <w:pStyle w:val="Compact"/>
                    <w:jc w:val="left"/>
                    <w:jc w:val="center"/>
                  </w:pPr>
                  <w:r>
                    <w:t xml:space="preserve">LPP interaction threshold</w:t>
                  </w:r>
                </w:p>
              </w:tc>
              <w:tc>
                <w:tcPr/>
                <w:p>
                  <w:pPr>
                    <w:pStyle w:val="Compact"/>
                    <w:jc w:val="left"/>
                    <w:jc w:val="center"/>
                  </w:pPr>
                  <w:r>
                    <w:t xml:space="preserve">Centering offset for the interaction term.</w:t>
                  </w:r>
                </w:p>
              </w:tc>
            </w:tr>
          </w:tbl>
          <w:bookmarkEnd w:id="20"/>
          <w:p/>
        </w:tc>
      </w:tr>
    </w:tbl>
    <w:p>
      <w:pPr>
        <w:pStyle w:val="BodyText"/>
      </w:pPr>
      <w:r>
        <w:t xml:space="preserve">Temporal context uses the standard CMR pre-experimental initializations:</w:t>
      </w:r>
    </w:p>
    <w:p>
      <w:pPr>
        <w:pStyle w:val="BodyText"/>
      </w:pPr>
      <m:oMathPara>
        <m:oMathParaPr>
          <m:jc m:val="center"/>
        </m:oMathParaPr>
        <m:oMath>
          <m:sSubSup>
            <m:e>
              <m:r>
                <m:t>M</m:t>
              </m:r>
            </m:e>
            <m:sub>
              <m:r>
                <m:t>p</m:t>
              </m:r>
              <m:r>
                <m:t>r</m:t>
              </m:r>
              <m:r>
                <m:t>e</m:t>
              </m:r>
              <m:d>
                <m:dPr>
                  <m:begChr m:val="("/>
                  <m:endChr m:val=")"/>
                  <m:sepChr m:val=""/>
                  <m:grow/>
                </m:dPr>
                <m:e>
                  <m:r>
                    <m:t>i</m:t>
                  </m:r>
                  <m:r>
                    <m:t>j</m:t>
                  </m:r>
                </m:e>
              </m:d>
            </m:sub>
            <m:sup>
              <m:r>
                <m:t>F</m:t>
              </m:r>
              <m:r>
                <m:t>C</m:t>
              </m:r>
            </m:sup>
          </m:sSubSup>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γ</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m:oMathPara>
        <m:oMathParaPr>
          <m:jc m:val="center"/>
        </m:oMathParaPr>
        <m:oMath>
          <m:sSubSup>
            <m:e>
              <m:r>
                <m:t>M</m:t>
              </m:r>
            </m:e>
            <m:sub>
              <m:r>
                <m:t>p</m:t>
              </m:r>
              <m:r>
                <m:t>r</m:t>
              </m:r>
              <m:r>
                <m:t>e</m:t>
              </m:r>
              <m:d>
                <m:dPr>
                  <m:begChr m:val="("/>
                  <m:endChr m:val=")"/>
                  <m:sepChr m:val=""/>
                  <m:grow/>
                </m:dPr>
                <m:e>
                  <m:r>
                    <m:t>i</m:t>
                  </m:r>
                  <m:r>
                    <m:t>j</m:t>
                  </m:r>
                </m:e>
              </m:d>
            </m:sub>
            <m:sup>
              <m:r>
                <m:t>C</m:t>
              </m:r>
              <m:r>
                <m:t>F</m:t>
              </m:r>
            </m:sup>
          </m:sSubSup>
          <m:r>
            <m:rPr>
              <m:sty m:val="p"/>
            </m:rPr>
            <m:t>=</m:t>
          </m:r>
          <m:d>
            <m:dPr>
              <m:begChr m:val="{"/>
              <m:endChr m:val=""/>
              <m:sepChr m:val=""/>
              <m:grow/>
            </m:dPr>
            <m:e>
              <m:m>
                <m:mPr>
                  <m:baseJc m:val="center"/>
                  <m:plcHide m:val="on"/>
                  <m:mcs>
                    <m:mc>
                      <m:mcPr>
                        <m:mcJc m:val="left"/>
                        <m:count m:val="1"/>
                      </m:mcPr>
                    </m:mc>
                    <m:mc>
                      <m:mcPr>
                        <m:mcJc m:val="left"/>
                        <m:count m:val="1"/>
                      </m:mcPr>
                    </m:mc>
                  </m:mcs>
                </m:mPr>
                <m:mr>
                  <m:e>
                    <m:r>
                      <m:t>δ</m:t>
                    </m:r>
                  </m:e>
                  <m:e>
                    <m:r>
                      <m:rPr>
                        <m:nor/>
                        <m:sty m:val="p"/>
                      </m:rPr>
                      <m:t>if </m:t>
                    </m:r>
                    <m:r>
                      <m:t>i</m:t>
                    </m:r>
                    <m:r>
                      <m:rPr>
                        <m:sty m:val="p"/>
                      </m:rPr>
                      <m:t>=</m:t>
                    </m:r>
                    <m:r>
                      <m:t>j</m:t>
                    </m:r>
                  </m:e>
                </m:mr>
                <m:mr>
                  <m:e>
                    <m:r>
                      <m:t>α</m:t>
                    </m:r>
                  </m:e>
                  <m:e>
                    <m:r>
                      <m:rPr>
                        <m:nor/>
                        <m:sty m:val="p"/>
                      </m:rPr>
                      <m:t>if </m:t>
                    </m:r>
                    <m:r>
                      <m:t>i</m:t>
                    </m:r>
                    <m:r>
                      <m:rPr>
                        <m:sty m:val="p"/>
                      </m:rPr>
                      <m:t>≠</m:t>
                    </m:r>
                    <m:r>
                      <m:t>j</m:t>
                    </m:r>
                  </m:e>
                </m:mr>
              </m:m>
            </m:e>
          </m:d>
        </m:oMath>
      </m:oMathPara>
    </w:p>
    <w:p>
      <w:pPr>
        <w:pStyle w:val="FirstParagraph"/>
      </w:pPr>
      <w:r>
        <w:t xml:space="preserve">Here,</w:t>
      </w:r>
      <w:r>
        <w:t xml:space="preserve"> </w:t>
      </w:r>
      <m:oMath>
        <m:r>
          <m:t>γ</m:t>
        </m:r>
      </m:oMath>
      <w:r>
        <w:t xml:space="preserve"> </w:t>
      </w:r>
      <w:r>
        <w:t xml:space="preserve">scales the ratio of new feature-to-context associations formed during the experiment to pre-experimental item–context links.</w:t>
      </w:r>
      <w:r>
        <w:t xml:space="preserve"> </w:t>
      </w:r>
      <w:r>
        <w:t xml:space="preserve">The parameters</w:t>
      </w:r>
      <w:r>
        <w:t xml:space="preserve"> </w:t>
      </w:r>
      <m:oMath>
        <m:r>
          <m:t>δ</m:t>
        </m:r>
      </m:oMath>
      <w:r>
        <w:t xml:space="preserve"> </w:t>
      </w:r>
      <w:r>
        <w:t xml:space="preserve">and</w:t>
      </w:r>
      <w:r>
        <w:t xml:space="preserve"> </w:t>
      </w:r>
      <m:oMath>
        <m:r>
          <m:t>α</m:t>
        </m:r>
      </m:oMath>
      <w:r>
        <w:t xml:space="preserve"> </w:t>
      </w:r>
      <w:r>
        <w:t xml:space="preserve">set pre-experimental self-support and shared support in context-to-feature memory, respectively.</w:t>
      </w:r>
      <w:r>
        <w:t xml:space="preserve"> </w:t>
      </w:r>
      <w:r>
        <w:t xml:space="preserve">During encoding, temporal contextual input is retrieved as</w:t>
      </w:r>
      <w:r>
        <w:t xml:space="preserve"> </w:t>
      </w:r>
      <m:oMath>
        <m:sSubSup>
          <m:e>
            <m:r>
              <m:t>c</m:t>
            </m:r>
          </m:e>
          <m:sub>
            <m:r>
              <m:t>i</m:t>
            </m:r>
          </m:sub>
          <m:sup>
            <m:r>
              <m:t>I</m:t>
            </m:r>
            <m:r>
              <m:t>N</m:t>
            </m:r>
          </m:sup>
        </m:sSubSup>
        <m:r>
          <m:rPr>
            <m:sty m:val="p"/>
          </m:rPr>
          <m:t>=</m:t>
        </m:r>
        <m:sSup>
          <m:e>
            <m:r>
              <m:t>M</m:t>
            </m:r>
          </m:e>
          <m:sup>
            <m:r>
              <m:t>F</m:t>
            </m:r>
            <m:r>
              <m:t>C</m:t>
            </m:r>
          </m:sup>
        </m:sSup>
        <m:sSub>
          <m:e>
            <m:r>
              <m:t>f</m:t>
            </m:r>
          </m:e>
          <m:sub>
            <m:r>
              <m:t>i</m:t>
            </m:r>
          </m:sub>
        </m:sSub>
      </m:oMath>
      <w:r>
        <w:t xml:space="preserve"> </w:t>
      </w:r>
      <w:r>
        <w:t xml:space="preserve">and normalized to unit length.</w:t>
      </w:r>
      <w:r>
        <w:t xml:space="preserve"> </w:t>
      </w:r>
      <w:r>
        <w:t xml:space="preserve">Temporal context updates according to:</w:t>
      </w:r>
    </w:p>
    <w:p>
      <w:pPr>
        <w:pStyle w:val="BodyText"/>
      </w:pPr>
      <m:oMathPara>
        <m:oMathParaPr>
          <m:jc m:val="center"/>
        </m:oMathParaPr>
        <m:oMath>
          <m:sSubSup>
            <m:e>
              <m:r>
                <m:t>c</m:t>
              </m:r>
            </m:e>
            <m:sub>
              <m:r>
                <m:t>i</m:t>
              </m:r>
            </m:sub>
            <m:sup>
              <m:r>
                <m:t>T</m:t>
              </m:r>
            </m:sup>
          </m:sSubSup>
          <m:r>
            <m:rPr>
              <m:sty m:val="p"/>
            </m:rPr>
            <m:t>=</m:t>
          </m:r>
          <m:sSub>
            <m:e>
              <m:r>
                <m:t>ρ</m:t>
              </m:r>
            </m:e>
            <m:sub>
              <m:r>
                <m:t>i</m:t>
              </m:r>
            </m:sub>
          </m:sSub>
          <m:sSubSup>
            <m:e>
              <m:r>
                <m:t>c</m:t>
              </m:r>
            </m:e>
            <m:sub>
              <m:r>
                <m:t>i</m:t>
              </m:r>
              <m:r>
                <m:rPr>
                  <m:sty m:val="p"/>
                </m:rPr>
                <m:t>−</m:t>
              </m:r>
              <m:r>
                <m:t>1</m:t>
              </m:r>
            </m:sub>
            <m:sup>
              <m:r>
                <m:t>T</m:t>
              </m:r>
            </m:sup>
          </m:sSubSup>
          <m:r>
            <m:rPr>
              <m:sty m:val="p"/>
            </m:rPr>
            <m:t>+</m:t>
          </m:r>
          <m:sSub>
            <m:e>
              <m:r>
                <m:t>β</m:t>
              </m:r>
            </m:e>
            <m:sub>
              <m:r>
                <m:t>e</m:t>
              </m:r>
              <m:r>
                <m:t>n</m:t>
              </m:r>
              <m:r>
                <m:t>c</m:t>
              </m:r>
            </m:sub>
          </m:sSub>
          <m:sSubSup>
            <m:e>
              <m:r>
                <m:t>c</m:t>
              </m:r>
            </m:e>
            <m:sub>
              <m:r>
                <m:t>i</m:t>
              </m:r>
            </m:sub>
            <m:sup>
              <m:r>
                <m:t>I</m:t>
              </m:r>
              <m:r>
                <m:t>N</m:t>
              </m:r>
            </m:sup>
          </m:sSubSup>
        </m:oMath>
      </m:oMathPara>
    </w:p>
    <w:p>
      <w:pPr>
        <w:pStyle w:val="FirstParagraph"/>
      </w:pPr>
      <m:oMathPara>
        <m:oMathParaPr>
          <m:jc m:val="center"/>
        </m:oMathParaPr>
        <m:oMath>
          <m:sSub>
            <m:e>
              <m:r>
                <m:t>ρ</m:t>
              </m:r>
            </m:e>
            <m:sub>
              <m:r>
                <m:t>i</m:t>
              </m:r>
            </m:sub>
          </m:sSub>
          <m:r>
            <m:rPr>
              <m:sty m:val="p"/>
            </m:rPr>
            <m:t>=</m:t>
          </m:r>
          <m:rad>
            <m:radPr>
              <m:degHide m:val="on"/>
            </m:radPr>
            <m:deg/>
            <m:e>
              <m:r>
                <m:t>1</m:t>
              </m:r>
              <m:r>
                <m:rPr>
                  <m:sty m:val="p"/>
                </m:rPr>
                <m:t>+</m:t>
              </m:r>
              <m:sSubSup>
                <m:e>
                  <m:r>
                    <m:t>β</m:t>
                  </m:r>
                </m:e>
                <m:sub>
                  <m:r>
                    <m:t>e</m:t>
                  </m:r>
                  <m:r>
                    <m:t>n</m:t>
                  </m:r>
                  <m:r>
                    <m:t>c</m:t>
                  </m:r>
                </m:sub>
                <m:sup>
                  <m:r>
                    <m:t>2</m:t>
                  </m:r>
                </m:sup>
              </m:sSubSup>
              <m:d>
                <m:dPr>
                  <m:begChr m:val="["/>
                  <m:endChr m:val="]"/>
                  <m:sepChr m:val=""/>
                  <m:grow/>
                </m:dPr>
                <m:e>
                  <m:sSup>
                    <m:e>
                      <m:d>
                        <m:dPr>
                          <m:begChr m:val="("/>
                          <m:endChr m:val=")"/>
                          <m:sepChr m:val=""/>
                          <m:grow/>
                        </m:dPr>
                        <m:e>
                          <m:sSubSup>
                            <m:e>
                              <m:r>
                                <m:t>c</m:t>
                              </m:r>
                            </m:e>
                            <m:sub>
                              <m:r>
                                <m:t>i</m:t>
                              </m:r>
                              <m:r>
                                <m:rPr>
                                  <m:sty m:val="p"/>
                                </m:rPr>
                                <m:t>−</m:t>
                              </m:r>
                              <m:r>
                                <m:t>1</m:t>
                              </m:r>
                            </m:sub>
                            <m:sup>
                              <m:r>
                                <m:t>T</m:t>
                              </m:r>
                            </m:sup>
                          </m:sSubSup>
                          <m:r>
                            <m:rPr>
                              <m:sty m:val="p"/>
                            </m:rPr>
                            <m:t>⋅</m:t>
                          </m:r>
                          <m:sSubSup>
                            <m:e>
                              <m:r>
                                <m:t>c</m:t>
                              </m:r>
                            </m:e>
                            <m:sub>
                              <m:r>
                                <m:t>i</m:t>
                              </m:r>
                            </m:sub>
                            <m:sup>
                              <m:r>
                                <m:t>I</m:t>
                              </m:r>
                              <m:r>
                                <m:t>N</m:t>
                              </m:r>
                            </m:sup>
                          </m:sSubSup>
                        </m:e>
                      </m:d>
                    </m:e>
                    <m:sup>
                      <m:r>
                        <m:t>2</m:t>
                      </m:r>
                    </m:sup>
                  </m:sSup>
                  <m:r>
                    <m:rPr>
                      <m:sty m:val="p"/>
                    </m:rPr>
                    <m:t>−</m:t>
                  </m:r>
                  <m:r>
                    <m:t>1</m:t>
                  </m:r>
                </m:e>
              </m:d>
            </m:e>
          </m:rad>
          <m:r>
            <m:rPr>
              <m:sty m:val="p"/>
            </m:rPr>
            <m:t>−</m:t>
          </m:r>
          <m:sSub>
            <m:e>
              <m:r>
                <m:t>β</m:t>
              </m:r>
            </m:e>
            <m:sub>
              <m:r>
                <m:t>e</m:t>
              </m:r>
              <m:r>
                <m:t>n</m:t>
              </m:r>
              <m:r>
                <m:t>c</m:t>
              </m:r>
            </m:sub>
          </m:sSub>
          <m:d>
            <m:dPr>
              <m:begChr m:val="("/>
              <m:endChr m:val=")"/>
              <m:sepChr m:val=""/>
              <m:grow/>
            </m:dPr>
            <m:e>
              <m:sSubSup>
                <m:e>
                  <m:r>
                    <m:t>c</m:t>
                  </m:r>
                </m:e>
                <m:sub>
                  <m:r>
                    <m:t>i</m:t>
                  </m:r>
                  <m:r>
                    <m:rPr>
                      <m:sty m:val="p"/>
                    </m:rPr>
                    <m:t>−</m:t>
                  </m:r>
                  <m:r>
                    <m:t>1</m:t>
                  </m:r>
                </m:sub>
                <m:sup>
                  <m:r>
                    <m:t>T</m:t>
                  </m:r>
                </m:sup>
              </m:sSubSup>
              <m:r>
                <m:rPr>
                  <m:sty m:val="p"/>
                </m:rPr>
                <m:t>⋅</m:t>
              </m:r>
              <m:sSubSup>
                <m:e>
                  <m:r>
                    <m:t>c</m:t>
                  </m:r>
                </m:e>
                <m:sub>
                  <m:r>
                    <m:t>i</m:t>
                  </m:r>
                </m:sub>
                <m:sup>
                  <m:r>
                    <m:t>I</m:t>
                  </m:r>
                  <m:r>
                    <m:t>N</m:t>
                  </m:r>
                </m:sup>
              </m:sSubSup>
            </m:e>
          </m:d>
        </m:oMath>
      </m:oMathPara>
    </w:p>
    <w:p>
      <w:pPr>
        <w:pStyle w:val="FirstParagraph"/>
      </w:pPr>
      <w:r>
        <w:t xml:space="preserve">Here,</w:t>
      </w:r>
      <w:r>
        <w:t xml:space="preserve"> </w:t>
      </w:r>
      <m:oMath>
        <m:sSub>
          <m:e>
            <m:r>
              <m:t>β</m:t>
            </m:r>
          </m:e>
          <m:sub>
            <m:r>
              <m:t>e</m:t>
            </m:r>
            <m:r>
              <m:t>n</m:t>
            </m:r>
            <m:r>
              <m:t>c</m:t>
            </m:r>
          </m:sub>
        </m:sSub>
      </m:oMath>
      <w:r>
        <w:t xml:space="preserve"> </w:t>
      </w:r>
      <w:r>
        <w:t xml:space="preserve">sets the drift rate of temporal context during encoding and</w:t>
      </w:r>
      <w:r>
        <w:t xml:space="preserve"> </w:t>
      </w:r>
      <m:oMath>
        <m:sSub>
          <m:e>
            <m:r>
              <m:t>ρ</m:t>
            </m:r>
          </m:e>
          <m:sub>
            <m:r>
              <m:t>i</m:t>
            </m:r>
          </m:sub>
        </m:sSub>
      </m:oMath>
      <w:r>
        <w:t xml:space="preserve"> </w:t>
      </w:r>
      <w:r>
        <w:t xml:space="preserve">normalizes the context vector.</w:t>
      </w:r>
      <w:r>
        <w:t xml:space="preserve"> </w:t>
      </w:r>
      <w:r>
        <w:t xml:space="preserve">Feature-to-context learning uses a Hebbian update:</w:t>
      </w:r>
    </w:p>
    <w:p>
      <w:pPr>
        <w:pStyle w:val="BodyText"/>
      </w:pPr>
      <m:oMathPara>
        <m:oMathParaPr>
          <m:jc m:val="center"/>
        </m:oMathParaPr>
        <m:oMath>
          <m:r>
            <m:t>Δ</m:t>
          </m:r>
          <m:sSubSup>
            <m:e>
              <m:r>
                <m:t>M</m:t>
              </m:r>
            </m:e>
            <m:sub>
              <m:r>
                <m:t>i</m:t>
              </m:r>
              <m:r>
                <m:t>j</m:t>
              </m:r>
            </m:sub>
            <m:sup>
              <m:r>
                <m:t>F</m:t>
              </m:r>
              <m:r>
                <m:t>C</m:t>
              </m:r>
            </m:sup>
          </m:sSubSup>
          <m:r>
            <m:rPr>
              <m:sty m:val="p"/>
            </m:rPr>
            <m:t>=</m:t>
          </m:r>
          <m:r>
            <m:t>γ</m:t>
          </m:r>
          <m:sSub>
            <m:e>
              <m:r>
                <m:t>f</m:t>
              </m:r>
            </m:e>
            <m:sub>
              <m:r>
                <m:t>i</m:t>
              </m:r>
            </m:sub>
          </m:sSub>
          <m:sSubSup>
            <m:e>
              <m:r>
                <m:t>c</m:t>
              </m:r>
            </m:e>
            <m:sub>
              <m:r>
                <m:t>j</m:t>
              </m:r>
            </m:sub>
            <m:sup>
              <m:r>
                <m:t>T</m:t>
              </m:r>
            </m:sup>
          </m:sSubSup>
        </m:oMath>
      </m:oMathPara>
    </w:p>
    <w:p>
      <w:pPr>
        <w:pStyle w:val="FirstParagraph"/>
      </w:pPr>
      <w:r>
        <w:t xml:space="preserve">This update uses</w:t>
      </w:r>
      <w:r>
        <w:t xml:space="preserve"> </w:t>
      </w:r>
      <m:oMath>
        <m:r>
          <m:t>γ</m:t>
        </m:r>
      </m:oMath>
      <w:r>
        <w:t xml:space="preserve"> </w:t>
      </w:r>
      <w:r>
        <w:t xml:space="preserve">as the feature-to-context learning rate.</w:t>
      </w:r>
      <w:r>
        <w:t xml:space="preserve"> </w:t>
      </w:r>
      <w:r>
        <w:t xml:space="preserve">Primacy is implemented by scaling the temporal context-to-feature learning rate:</w:t>
      </w:r>
    </w:p>
    <w:p>
      <w:pPr>
        <w:pStyle w:val="BodyText"/>
      </w:pPr>
      <m:oMathPara>
        <m:oMathParaPr>
          <m:jc m:val="center"/>
        </m:oMathParaPr>
        <m:oMath>
          <m:sSub>
            <m:e>
              <m:r>
                <m:t>ϕ</m:t>
              </m:r>
            </m:e>
            <m:sub>
              <m:r>
                <m:t>i</m:t>
              </m:r>
            </m:sub>
          </m:sSub>
          <m:r>
            <m:rPr>
              <m:sty m:val="p"/>
            </m:rPr>
            <m:t>=</m:t>
          </m:r>
          <m:sSub>
            <m:e>
              <m:r>
                <m:t>ϕ</m:t>
              </m:r>
            </m:e>
            <m:sub>
              <m:r>
                <m:t>s</m:t>
              </m:r>
            </m:sub>
          </m:sSub>
          <m:sSup>
            <m:e>
              <m:r>
                <m:t>e</m:t>
              </m:r>
            </m:e>
            <m:sup>
              <m:r>
                <m:rPr>
                  <m:sty m:val="p"/>
                </m:rPr>
                <m:t>−</m:t>
              </m:r>
              <m:sSub>
                <m:e>
                  <m:r>
                    <m:t>ϕ</m:t>
                  </m:r>
                </m:e>
                <m:sub>
                  <m:r>
                    <m:t>d</m:t>
                  </m:r>
                </m:sub>
              </m:sSub>
              <m:d>
                <m:dPr>
                  <m:begChr m:val="("/>
                  <m:endChr m:val=")"/>
                  <m:sepChr m:val=""/>
                  <m:grow/>
                </m:dPr>
                <m:e>
                  <m:r>
                    <m:t>i</m:t>
                  </m:r>
                  <m:r>
                    <m:rPr>
                      <m:sty m:val="p"/>
                    </m:rPr>
                    <m:t>−</m:t>
                  </m:r>
                  <m:r>
                    <m:t>1</m:t>
                  </m:r>
                </m:e>
              </m:d>
            </m:sup>
          </m:sSup>
          <m:r>
            <m:rPr>
              <m:sty m:val="p"/>
            </m:rPr>
            <m:t>+</m:t>
          </m:r>
          <m:r>
            <m:t>1</m:t>
          </m:r>
        </m:oMath>
      </m:oMathPara>
    </w:p>
    <w:p>
      <w:pPr>
        <w:pStyle w:val="FirstParagraph"/>
      </w:pPr>
      <w:r>
        <w:t xml:space="preserve">Here,</w:t>
      </w:r>
      <w:r>
        <w:t xml:space="preserve"> </w:t>
      </w:r>
      <m:oMath>
        <m:sSub>
          <m:e>
            <m:r>
              <m:t>ϕ</m:t>
            </m:r>
          </m:e>
          <m:sub>
            <m:r>
              <m:t>s</m:t>
            </m:r>
          </m:sub>
        </m:sSub>
      </m:oMath>
      <w:r>
        <w:t xml:space="preserve"> </w:t>
      </w:r>
      <w:r>
        <w:t xml:space="preserve">sets the initial primacy boost and</w:t>
      </w:r>
      <w:r>
        <w:t xml:space="preserve"> </w:t>
      </w:r>
      <m:oMath>
        <m:sSub>
          <m:e>
            <m:r>
              <m:t>ϕ</m:t>
            </m:r>
          </m:e>
          <m:sub>
            <m:r>
              <m:t>d</m:t>
            </m:r>
          </m:sub>
        </m:sSub>
      </m:oMath>
      <w:r>
        <w:t xml:space="preserve"> </w:t>
      </w:r>
      <w:r>
        <w:t xml:space="preserve">controls its decay across serial positions.</w:t>
      </w:r>
      <w:r>
        <w:t xml:space="preserve"> </w:t>
      </w:r>
      <w:r>
        <w:t xml:space="preserve">Learning strength is defined as:</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oMath>
      </m:oMathPara>
    </w:p>
    <w:p>
      <w:pPr>
        <w:pStyle w:val="FirstParagraph"/>
      </w:pPr>
      <w:r>
        <w:t xml:space="preserve">Here,</w:t>
      </w:r>
      <w:r>
        <w:t xml:space="preserve"> </w:t>
      </w:r>
      <m:oMath>
        <m:sSub>
          <m:e>
            <m:r>
              <m:t>ϕ</m:t>
            </m:r>
          </m:e>
          <m:sub>
            <m:r>
              <m:t>e</m:t>
            </m:r>
            <m:r>
              <m:t>m</m:t>
            </m:r>
            <m:r>
              <m:t>o</m:t>
            </m:r>
            <m:r>
              <m:t>t</m:t>
            </m:r>
            <m:r>
              <m:rPr>
                <m:sty m:val="p"/>
              </m:rPr>
              <m:t>,</m:t>
            </m:r>
            <m:r>
              <m:t>i</m:t>
            </m:r>
          </m:sub>
        </m:sSub>
      </m:oMath>
      <w:r>
        <w:t xml:space="preserve"> </w:t>
      </w:r>
      <w:r>
        <w:t xml:space="preserve">equals</w:t>
      </w:r>
      <w:r>
        <w:t xml:space="preserve"> </w:t>
      </w:r>
      <m:oMath>
        <m:sSub>
          <m:e>
            <m:r>
              <m:t>ϕ</m:t>
            </m:r>
          </m:e>
          <m:sub>
            <m:r>
              <m:t>e</m:t>
            </m:r>
            <m:r>
              <m:t>m</m:t>
            </m:r>
            <m:r>
              <m:t>o</m:t>
            </m:r>
            <m:r>
              <m:t>t</m:t>
            </m:r>
          </m:sub>
        </m:sSub>
      </m:oMath>
      <w:r>
        <w:t xml:space="preserve"> </w:t>
      </w:r>
      <w:r>
        <w:t xml:space="preserve">for emotional items and 0 for neutral items.</w:t>
      </w:r>
      <w:r>
        <w:t xml:space="preserve"> </w:t>
      </w:r>
      <w:r>
        <w:t xml:space="preserve">The primacy term</w:t>
      </w:r>
      <w:r>
        <w:t xml:space="preserve"> </w:t>
      </w:r>
      <m:oMath>
        <m:sSub>
          <m:e>
            <m:r>
              <m:t>ϕ</m:t>
            </m:r>
          </m:e>
          <m:sub>
            <m:r>
              <m:t>i</m:t>
            </m:r>
          </m:sub>
        </m:sSub>
      </m:oMath>
      <w:r>
        <w:t xml:space="preserve"> </w:t>
      </w:r>
      <w:r>
        <w:t xml:space="preserve">enters additively to capture an independent primacy contribution to learning strength.</w:t>
      </w:r>
      <w:r>
        <w:t xml:space="preserve"> </w:t>
      </w:r>
      <w:r>
        <w:t xml:space="preserve">Context-to-feature learning uses the learning strength</w:t>
      </w:r>
      <w:r>
        <w:t xml:space="preserve"> </w:t>
      </w:r>
      <m:oMath>
        <m:sSub>
          <m:e>
            <m:r>
              <m:t>g</m:t>
            </m:r>
          </m:e>
          <m:sub>
            <m:r>
              <m:t>i</m:t>
            </m:r>
          </m:sub>
        </m:sSub>
      </m:oMath>
      <w:r>
        <w:t xml:space="preserve">:</w:t>
      </w:r>
    </w:p>
    <w:p>
      <w:pPr>
        <w:pStyle w:val="BodyText"/>
      </w:pPr>
      <m:oMathPara>
        <m:oMathParaPr>
          <m:jc m:val="center"/>
        </m:oMathParaPr>
        <m:oMath>
          <m:r>
            <m:t>Δ</m:t>
          </m:r>
          <m:sSubSup>
            <m:e>
              <m:r>
                <m:t>M</m:t>
              </m:r>
            </m:e>
            <m:sub>
              <m:r>
                <m:t>i</m:t>
              </m:r>
              <m:r>
                <m:t>j</m:t>
              </m:r>
            </m:sub>
            <m:sup>
              <m:r>
                <m:t>C</m:t>
              </m:r>
              <m:r>
                <m:t>F</m:t>
              </m:r>
            </m:sup>
          </m:sSubSup>
          <m:r>
            <m:rPr>
              <m:sty m:val="p"/>
            </m:rPr>
            <m:t>=</m:t>
          </m:r>
          <m:sSub>
            <m:e>
              <m:r>
                <m:t>g</m:t>
              </m:r>
            </m:e>
            <m:sub>
              <m:r>
                <m:t>i</m:t>
              </m:r>
            </m:sub>
          </m:sSub>
          <m:sSubSup>
            <m:e>
              <m:r>
                <m:t>c</m:t>
              </m:r>
            </m:e>
            <m:sub>
              <m:r>
                <m:t>j</m:t>
              </m:r>
            </m:sub>
            <m:sup>
              <m:r>
                <m:t>T</m:t>
              </m:r>
            </m:sup>
          </m:sSubSup>
          <m:sSub>
            <m:e>
              <m:r>
                <m:t>f</m:t>
              </m:r>
            </m:e>
            <m:sub>
              <m:r>
                <m:t>i</m:t>
              </m:r>
            </m:sub>
          </m:sSub>
        </m:oMath>
      </m:oMathPara>
    </w:p>
    <w:p>
      <w:pPr>
        <w:pStyle w:val="FirstParagraph"/>
      </w:pPr>
      <w:r>
        <w:t xml:space="preserve">This update uses</w:t>
      </w:r>
      <w:r>
        <w:t xml:space="preserve"> </w:t>
      </w:r>
      <m:oMath>
        <m:sSub>
          <m:e>
            <m:r>
              <m:t>g</m:t>
            </m:r>
          </m:e>
          <m:sub>
            <m:r>
              <m:t>i</m:t>
            </m:r>
          </m:sub>
        </m:sSub>
      </m:oMath>
      <w:r>
        <w:t xml:space="preserve"> </w:t>
      </w:r>
      <w:r>
        <w:t xml:space="preserve">to bind items in</w:t>
      </w:r>
      <w:r>
        <w:t xml:space="preserve"> </w:t>
      </w:r>
      <m:oMath>
        <m:sSup>
          <m:e>
            <m:r>
              <m:t>M</m:t>
            </m:r>
          </m:e>
          <m:sup>
            <m:r>
              <m:t>C</m:t>
            </m:r>
            <m:r>
              <m:t>F</m:t>
            </m:r>
          </m:sup>
        </m:sSup>
      </m:oMath>
      <w:r>
        <w:t xml:space="preserve">.</w:t>
      </w:r>
      <w:r>
        <w:t xml:space="preserve"> </w:t>
      </w:r>
      <w:r>
        <w:t xml:space="preserve">At the start of recall, temporal context is shifted toward the pre-list state:</w:t>
      </w:r>
    </w:p>
    <w:p>
      <w:pPr>
        <w:pStyle w:val="BodyText"/>
      </w:pPr>
      <m:oMathPara>
        <m:oMathParaPr>
          <m:jc m:val="center"/>
        </m:oMathParaPr>
        <m:oMath>
          <m:sSubSup>
            <m:e>
              <m:r>
                <m:t>c</m:t>
              </m:r>
            </m:e>
            <m:sub>
              <m:r>
                <m:t>s</m:t>
              </m:r>
              <m:r>
                <m:t>t</m:t>
              </m:r>
              <m:r>
                <m:t>a</m:t>
              </m:r>
              <m:r>
                <m:t>r</m:t>
              </m:r>
              <m:r>
                <m:t>t</m:t>
              </m:r>
            </m:sub>
            <m:sup>
              <m:r>
                <m:t>T</m:t>
              </m:r>
            </m:sup>
          </m:sSubSup>
          <m:r>
            <m:rPr>
              <m:sty m:val="p"/>
            </m:rPr>
            <m:t>=</m:t>
          </m:r>
          <m:sSub>
            <m:e>
              <m:r>
                <m:t>ρ</m:t>
              </m:r>
            </m:e>
            <m:sub>
              <m:r>
                <m:t>N</m:t>
              </m:r>
              <m:r>
                <m:rPr>
                  <m:sty m:val="p"/>
                </m:rPr>
                <m:t>+</m:t>
              </m:r>
              <m:r>
                <m:t>1</m:t>
              </m:r>
            </m:sub>
          </m:sSub>
          <m:sSubSup>
            <m:e>
              <m:r>
                <m:t>c</m:t>
              </m:r>
            </m:e>
            <m:sub>
              <m:r>
                <m:t>N</m:t>
              </m:r>
            </m:sub>
            <m:sup>
              <m:r>
                <m:t>T</m:t>
              </m:r>
            </m:sup>
          </m:sSubSup>
          <m:r>
            <m:rPr>
              <m:sty m:val="p"/>
            </m:rPr>
            <m:t>+</m:t>
          </m:r>
          <m:sSub>
            <m:e>
              <m:r>
                <m:t>β</m:t>
              </m:r>
            </m:e>
            <m:sub>
              <m:r>
                <m:t>s</m:t>
              </m:r>
              <m:r>
                <m:t>t</m:t>
              </m:r>
              <m:r>
                <m:t>a</m:t>
              </m:r>
              <m:r>
                <m:t>r</m:t>
              </m:r>
              <m:r>
                <m:t>t</m:t>
              </m:r>
            </m:sub>
          </m:sSub>
          <m:sSubSup>
            <m:e>
              <m:r>
                <m:t>c</m:t>
              </m:r>
            </m:e>
            <m:sub>
              <m:r>
                <m:t>0</m:t>
              </m:r>
            </m:sub>
            <m:sup>
              <m:r>
                <m:t>T</m:t>
              </m:r>
            </m:sup>
          </m:sSubSup>
        </m:oMath>
      </m:oMathPara>
    </w:p>
    <w:p>
      <w:pPr>
        <w:pStyle w:val="FirstParagraph"/>
      </w:pPr>
      <w:r>
        <w:t xml:space="preserve">Here,</w:t>
      </w:r>
      <w:r>
        <w:t xml:space="preserve"> </w:t>
      </w:r>
      <m:oMath>
        <m:sSub>
          <m:e>
            <m:r>
              <m:t>β</m:t>
            </m:r>
          </m:e>
          <m:sub>
            <m:r>
              <m:t>s</m:t>
            </m:r>
            <m:r>
              <m:t>t</m:t>
            </m:r>
            <m:r>
              <m:t>a</m:t>
            </m:r>
            <m:r>
              <m:t>r</m:t>
            </m:r>
            <m:r>
              <m:t>t</m:t>
            </m:r>
          </m:sub>
        </m:sSub>
      </m:oMath>
      <w:r>
        <w:t xml:space="preserve"> </w:t>
      </w:r>
      <w:r>
        <w:t xml:space="preserve">controls how much start-list context is reinstated at retrieval onset.</w:t>
      </w:r>
      <w:r>
        <w:t xml:space="preserve"> </w:t>
      </w:r>
      <w:r>
        <w:t xml:space="preserve">At each recall step, temporal context cues item activations:</w:t>
      </w:r>
    </w:p>
    <w:p>
      <w:pPr>
        <w:pStyle w:val="BodyText"/>
      </w:pPr>
      <m:oMathPara>
        <m:oMathParaPr>
          <m:jc m:val="center"/>
        </m:oMathParaPr>
        <m:oMath>
          <m:r>
            <m:t>A</m:t>
          </m:r>
          <m:r>
            <m:rPr>
              <m:sty m:val="p"/>
            </m:rPr>
            <m:t>=</m:t>
          </m:r>
          <m:sSup>
            <m:e>
              <m:r>
                <m:t>M</m:t>
              </m:r>
            </m:e>
            <m:sup>
              <m:r>
                <m:t>C</m:t>
              </m:r>
              <m:r>
                <m:t>F</m:t>
              </m:r>
            </m:sup>
          </m:sSup>
          <m:sSup>
            <m:e>
              <m:r>
                <m:t>c</m:t>
              </m:r>
            </m:e>
            <m:sup>
              <m:r>
                <m:t>T</m:t>
              </m:r>
            </m:sup>
          </m:sSup>
        </m:oMath>
      </m:oMathPara>
    </w:p>
    <w:p>
      <w:pPr>
        <w:pStyle w:val="FirstParagraph"/>
      </w:pPr>
      <w:r>
        <w:t xml:space="preserve">At each recall step, the probability of recalling item</w:t>
      </w:r>
      <w:r>
        <w:t xml:space="preserve"> </w:t>
      </w:r>
      <m:oMath>
        <m:r>
          <m:t>i</m:t>
        </m:r>
      </m:oMath>
      <w:r>
        <w:t xml:space="preserve"> </w:t>
      </w:r>
      <w:r>
        <w:t xml:space="preserve">is:</w:t>
      </w:r>
    </w:p>
    <w:p>
      <w:pPr>
        <w:pStyle w:val="BodyText"/>
      </w:pPr>
      <m:oMathPara>
        <m:oMathParaPr>
          <m:jc m:val="center"/>
        </m:oMathParaPr>
        <m:oMath>
          <m:r>
            <m:t>P</m:t>
          </m:r>
          <m:d>
            <m:dPr>
              <m:begChr m:val="("/>
              <m:endChr m:val=")"/>
              <m:sepChr m:val=""/>
              <m:grow/>
            </m:dPr>
            <m:e>
              <m:r>
                <m:t>i</m:t>
              </m:r>
            </m:e>
          </m:d>
          <m:r>
            <m:rPr>
              <m:sty m:val="p"/>
            </m:rPr>
            <m:t>=</m:t>
          </m:r>
          <m:f>
            <m:fPr>
              <m:type m:val="bar"/>
            </m:fPr>
            <m:num>
              <m:sSubSup>
                <m:e>
                  <m:r>
                    <m:t>A</m:t>
                  </m:r>
                </m:e>
                <m:sub>
                  <m:r>
                    <m:t>i</m:t>
                  </m:r>
                </m:sub>
                <m:sup>
                  <m:sSub>
                    <m:e>
                      <m:r>
                        <m:t>τ</m:t>
                      </m:r>
                    </m:e>
                    <m:sub>
                      <m:r>
                        <m:t>c</m:t>
                      </m:r>
                    </m:sub>
                  </m:sSub>
                </m:sup>
              </m:sSubSup>
            </m:num>
            <m:den>
              <m:nary>
                <m:naryPr>
                  <m:chr m:val="∑"/>
                  <m:limLoc m:val="undOvr"/>
                  <m:subHide m:val="off"/>
                  <m:supHide m:val="on"/>
                </m:naryPr>
                <m:sub>
                  <m:r>
                    <m:t>k</m:t>
                  </m:r>
                </m:sub>
                <m:sup>
                  <m:r>
                    <m:t>​</m:t>
                  </m:r>
                </m:sup>
                <m:e>
                  <m:sSubSup>
                    <m:e>
                      <m:r>
                        <m:t>A</m:t>
                      </m:r>
                    </m:e>
                    <m:sub>
                      <m:r>
                        <m:t>k</m:t>
                      </m:r>
                    </m:sub>
                    <m:sup>
                      <m:sSub>
                        <m:e>
                          <m:r>
                            <m:t>τ</m:t>
                          </m:r>
                        </m:e>
                        <m:sub>
                          <m:r>
                            <m:t>c</m:t>
                          </m:r>
                        </m:sub>
                      </m:sSub>
                    </m:sup>
                  </m:sSubSup>
                </m:e>
              </m:nary>
            </m:den>
          </m:f>
        </m:oMath>
      </m:oMathPara>
    </w:p>
    <w:p>
      <w:pPr>
        <w:pStyle w:val="FirstParagraph"/>
      </w:pPr>
      <w:r>
        <w:t xml:space="preserve">Here,</w:t>
      </w:r>
      <w:r>
        <w:t xml:space="preserve"> </w:t>
      </w:r>
      <m:oMath>
        <m:sSub>
          <m:e>
            <m:r>
              <m:t>τ</m:t>
            </m:r>
          </m:e>
          <m:sub>
            <m:r>
              <m:t>c</m:t>
            </m:r>
          </m:sub>
        </m:sSub>
      </m:oMath>
      <w:r>
        <w:t xml:space="preserve"> </w:t>
      </w:r>
      <w:r>
        <w:t xml:space="preserve">controls the sharpness of the Luce-style competition over item activations.</w:t>
      </w:r>
      <w:r>
        <w:t xml:space="preserve"> </w:t>
      </w:r>
      <w:r>
        <w:t xml:space="preserve">We omit an explicit termination mechanism here, consistent with our focus on recalled items rather than stopping decisions.</w:t>
      </w:r>
      <w:r>
        <w:t xml:space="preserve"> </w:t>
      </w:r>
      <w:r>
        <w:t xml:space="preserve">When an item is recalled, its temporal context is reinstated via</w:t>
      </w:r>
      <w:r>
        <w:t xml:space="preserve"> </w:t>
      </w:r>
      <m:oMath>
        <m:sSup>
          <m:e>
            <m:r>
              <m:t>M</m:t>
            </m:r>
          </m:e>
          <m:sup>
            <m:r>
              <m:t>F</m:t>
            </m:r>
            <m:r>
              <m:t>C</m:t>
            </m:r>
          </m:sup>
        </m:sSup>
      </m:oMath>
      <w:r>
        <w:t xml:space="preserve"> </w:t>
      </w:r>
      <w:r>
        <w:t xml:space="preserve">and integrated with</w:t>
      </w:r>
      <w:r>
        <w:t xml:space="preserve"> </w:t>
      </w:r>
      <m:oMath>
        <m:sSub>
          <m:e>
            <m:r>
              <m:t>β</m:t>
            </m:r>
          </m:e>
          <m:sub>
            <m:r>
              <m:t>r</m:t>
            </m:r>
            <m:r>
              <m:t>e</m:t>
            </m:r>
            <m:r>
              <m:t>c</m:t>
            </m:r>
          </m:sub>
        </m:sSub>
      </m:oMath>
      <w:r>
        <w:t xml:space="preserve">, and the process iterates.</w:t>
      </w:r>
      <w:r>
        <w:t xml:space="preserve"> </w:t>
      </w:r>
      <w:r>
        <w:t xml:space="preserve">Here,</w:t>
      </w:r>
      <w:r>
        <w:t xml:space="preserve"> </w:t>
      </w:r>
      <m:oMath>
        <m:sSub>
          <m:e>
            <m:r>
              <m:t>β</m:t>
            </m:r>
          </m:e>
          <m:sub>
            <m:r>
              <m:t>r</m:t>
            </m:r>
            <m:r>
              <m:t>e</m:t>
            </m:r>
            <m:r>
              <m:t>c</m:t>
            </m:r>
          </m:sub>
        </m:sSub>
      </m:oMath>
      <w:r>
        <w:t xml:space="preserve"> </w:t>
      </w:r>
      <w:r>
        <w:t xml:space="preserve">sets the drift rate of temporal context during recall.</w:t>
      </w:r>
    </w:p>
    <w:bookmarkEnd w:id="21"/>
    <w:bookmarkStart w:id="22" w:name="model-variants"/>
    <w:p>
      <w:pPr>
        <w:pStyle w:val="Heading2"/>
      </w:pPr>
      <w:r>
        <w:t xml:space="preserve">Model Variants</w:t>
      </w:r>
    </w:p>
    <w:p>
      <w:pPr>
        <w:pStyle w:val="FirstParagraph"/>
      </w:pPr>
      <w:r>
        <w:t xml:space="preserve">The mixed-effects analyses show that recall varies systematically with item type, Early LPP, and their interaction: emotional items have higher recall overall, and LPP is strongly predictive of recall for emotional items but only weakly for neutral items.</w:t>
      </w:r>
      <w:r>
        <w:t xml:space="preserve"> </w:t>
      </w:r>
      <w:r>
        <w:t xml:space="preserve">These results characterize how recall depends on itemwise predictors, but they do not say how those predictors should enter an encoding rule, nor whether the same linear form can be used inside a cue-dependent, competitive retrieval model.</w:t>
      </w:r>
      <w:r>
        <w:t xml:space="preserve"> </w:t>
      </w:r>
      <w:r>
        <w:t xml:space="preserve">In a retrieved-context framework, recall probabilities are not set directly by</w:t>
      </w:r>
      <w:r>
        <w:t xml:space="preserve"> </w:t>
      </w:r>
      <w:r>
        <w:t xml:space="preserve">“</w:t>
      </w:r>
      <w:r>
        <w:t xml:space="preserve">emotion + LPP</w:t>
      </w:r>
      <w:r>
        <w:t xml:space="preserve">”</w:t>
      </w:r>
      <w:r>
        <w:t xml:space="preserve"> </w:t>
      </w:r>
      <w:r>
        <w:t xml:space="preserve">terms; they emerge from how learning rates and trace features shape context, activation, and competition among items.</w:t>
      </w:r>
      <w:r>
        <w:t xml:space="preserve"> </w:t>
      </w:r>
      <w:r>
        <w:t xml:space="preserve">We therefore test whether a GMM-aligned encoding rule remains consistent with observed recall sets once it is passed through eCMR dynamics.</w:t>
      </w:r>
      <w:r>
        <w:t xml:space="preserve"> </w:t>
      </w:r>
      <w:r>
        <w:t xml:space="preserve">We also evaluate that rule by the likelihood assigned to observed recall sets, not just by marginal recall probabilities.</w:t>
      </w:r>
      <w:r>
        <w:t xml:space="preserve"> </w:t>
      </w:r>
      <w:r>
        <w:t xml:space="preserve">We therefore compare three eCMR variants that differ only in how LPP enters the encoding rule: an emotion-only model with no LPP term, a model with a single LPP slope shared across items, and a model with separate LPP slopes for emotional and neutral items (the direct GMM analogue).</w:t>
      </w:r>
    </w:p>
    <w:p>
      <w:pPr>
        <w:pStyle w:val="BodyText"/>
      </w:pPr>
      <w:r>
        <w:t xml:space="preserve">Even an emotion-only model might appear to reproduce LPP-recall patterns if LPP covaries with factors the model already uses (position, list condition, semantic similarity), so it provides a baseline test of whether LPP adds information beyond emotion labels.</w:t>
      </w:r>
      <w:r>
        <w:t xml:space="preserve"> </w:t>
      </w:r>
      <w:r>
        <w:t xml:space="preserve">Similarly, even a single-slope LPP model might capture the interaction pattern if retrieved-context dynamics generate nonlinear competition that amplifies small LPP effects for emotional items into larger recall differences.</w:t>
      </w:r>
      <w:r>
        <w:t xml:space="preserve"> </w:t>
      </w:r>
      <w:r>
        <w:t xml:space="preserve">The single-slope model tests whether any LPP contribution is general rather than emotion-specific, while the separate-slope model tests whether the GMM-style interaction requires an explicit emotion-dependent term.</w:t>
      </w:r>
      <w:r>
        <w:t xml:space="preserve"> </w:t>
      </w:r>
      <w:r>
        <w:t xml:space="preserve">Together, these comparisons address the core question without introducing additional structural variants.</w:t>
      </w:r>
    </w:p>
    <w:p>
      <w:pPr>
        <w:pStyle w:val="BodyText"/>
      </w:pPr>
      <w:r>
        <w:t xml:space="preserve">We implement the three variants by constraining the learning strength</w:t>
      </w:r>
      <w:r>
        <w:t xml:space="preserve"> </w:t>
      </w:r>
      <m:oMath>
        <m:sSub>
          <m:e>
            <m:r>
              <m:t>g</m:t>
            </m:r>
          </m:e>
          <m:sub>
            <m:r>
              <m:t>i</m:t>
            </m:r>
          </m:sub>
        </m:sSub>
      </m:oMath>
      <w:r>
        <w:t xml:space="preserve"> </w:t>
      </w:r>
      <w:r>
        <w:t xml:space="preserve">used in</w:t>
      </w:r>
      <w:r>
        <w:t xml:space="preserve"> </w:t>
      </w:r>
      <m:oMath>
        <m:r>
          <m:t>Δ</m:t>
        </m:r>
        <m:sSubSup>
          <m:e>
            <m:r>
              <m:t>M</m:t>
            </m:r>
          </m:e>
          <m:sub>
            <m:r>
              <m:t>i</m:t>
            </m:r>
            <m:r>
              <m:t>j</m:t>
            </m:r>
          </m:sub>
          <m:sup>
            <m:r>
              <m:t>C</m:t>
            </m:r>
            <m:r>
              <m:t>F</m:t>
            </m:r>
          </m:sup>
        </m:sSubSup>
      </m:oMath>
      <w:r>
        <w:t xml:space="preserve">.</w:t>
      </w:r>
      <w:r>
        <w:t xml:space="preserve"> </w:t>
      </w:r>
      <w:r>
        <w:t xml:space="preserve">Let</w:t>
      </w:r>
      <w:r>
        <w:t xml:space="preserve"> </w:t>
      </w:r>
      <m:oMath>
        <m:sSub>
          <m:e>
            <m:r>
              <m:t>e</m:t>
            </m:r>
          </m:e>
          <m:sub>
            <m:r>
              <m:t>i</m:t>
            </m:r>
          </m:sub>
        </m:sSub>
      </m:oMath>
      <w:r>
        <w:t xml:space="preserve"> </w:t>
      </w:r>
      <w:r>
        <w:t xml:space="preserve">be an indicator that equals 1 for emotional items and 0 for neutral items.</w:t>
      </w:r>
      <w:r>
        <w:t xml:space="preserve"> </w:t>
      </w:r>
      <w:r>
        <w:t xml:space="preserve">In the emotion-only model, LPP effects are removed by setting</w:t>
      </w:r>
      <w:r>
        <w:t xml:space="preserve"> </w:t>
      </w:r>
      <m:oMath>
        <m:sSub>
          <m:e>
            <m:r>
              <m:t>κ</m:t>
            </m:r>
          </m:e>
          <m:sub>
            <m:r>
              <m:t>L</m:t>
            </m:r>
          </m:sub>
        </m:sSub>
        <m:r>
          <m:rPr>
            <m:sty m:val="p"/>
          </m:rPr>
          <m:t>=</m:t>
        </m:r>
        <m:r>
          <m:t>0</m:t>
        </m:r>
      </m:oMath>
      <w:r>
        <w:t xml:space="preserve"> </w:t>
      </w:r>
      <w:r>
        <w:t xml:space="preserve">and</w:t>
      </w:r>
      <w:r>
        <w:t xml:space="preserve"> </w:t>
      </w:r>
      <m:oMath>
        <m:sSub>
          <m:e>
            <m:r>
              <m:t>κ</m:t>
            </m:r>
          </m:e>
          <m:sub>
            <m:r>
              <m:t>E</m:t>
            </m:r>
            <m:r>
              <m:t>L</m:t>
            </m:r>
          </m:sub>
        </m:sSub>
        <m:r>
          <m:rPr>
            <m:sty m:val="p"/>
          </m:rPr>
          <m:t>=</m:t>
        </m:r>
        <m:r>
          <m:t>0</m:t>
        </m:r>
      </m:oMath>
      <w:r>
        <w:t xml:space="preserve">,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oMath>
      </m:oMathPara>
    </w:p>
    <w:p>
      <w:pPr>
        <w:pStyle w:val="FirstParagraph"/>
      </w:pPr>
      <w:r>
        <w:t xml:space="preserve">In the main-effect model, the interaction term is removed by setting</w:t>
      </w:r>
      <w:r>
        <w:t xml:space="preserve"> </w:t>
      </w:r>
      <m:oMath>
        <m:sSub>
          <m:e>
            <m:r>
              <m:t>κ</m:t>
            </m:r>
          </m:e>
          <m:sub>
            <m:r>
              <m:t>E</m:t>
            </m:r>
            <m:r>
              <m:t>L</m:t>
            </m:r>
          </m:sub>
        </m:sSub>
        <m:r>
          <m:rPr>
            <m:sty m:val="p"/>
          </m:rPr>
          <m:t>=</m:t>
        </m:r>
        <m:r>
          <m:t>0</m:t>
        </m:r>
      </m:oMath>
      <w:r>
        <w:t xml:space="preserve">,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r>
            <m:rPr>
              <m:sty m:val="p"/>
            </m:rPr>
            <m:t>+</m:t>
          </m:r>
          <m:sSub>
            <m:e>
              <m:r>
                <m:t>κ</m:t>
              </m:r>
            </m:e>
            <m:sub>
              <m:r>
                <m:t>L</m:t>
              </m:r>
            </m:sub>
          </m:sSub>
          <m:d>
            <m:dPr>
              <m:begChr m:val="("/>
              <m:endChr m:val=")"/>
              <m:sepChr m:val=""/>
              <m:grow/>
            </m:dPr>
            <m:e>
              <m:sSub>
                <m:e>
                  <m:r>
                    <m:t>L</m:t>
                  </m:r>
                </m:e>
                <m:sub>
                  <m:r>
                    <m:t>i</m:t>
                  </m:r>
                </m:sub>
              </m:sSub>
              <m:r>
                <m:rPr>
                  <m:sty m:val="p"/>
                </m:rPr>
                <m:t>−</m:t>
              </m:r>
              <m:sSub>
                <m:e>
                  <m:r>
                    <m:t>λ</m:t>
                  </m:r>
                </m:e>
                <m:sub>
                  <m:r>
                    <m:t>L</m:t>
                  </m:r>
                </m:sub>
              </m:sSub>
            </m:e>
          </m:d>
        </m:oMath>
      </m:oMathPara>
    </w:p>
    <w:p>
      <w:pPr>
        <w:pStyle w:val="FirstParagraph"/>
      </w:pPr>
      <w:r>
        <w:t xml:space="preserve">Here,</w:t>
      </w:r>
      <w:r>
        <w:t xml:space="preserve"> </w:t>
      </w:r>
      <m:oMath>
        <m:sSub>
          <m:e>
            <m:r>
              <m:t>κ</m:t>
            </m:r>
          </m:e>
          <m:sub>
            <m:r>
              <m:t>L</m:t>
            </m:r>
          </m:sub>
        </m:sSub>
      </m:oMath>
      <w:r>
        <w:t xml:space="preserve"> </w:t>
      </w:r>
      <w:r>
        <w:t xml:space="preserve">and</w:t>
      </w:r>
      <w:r>
        <w:t xml:space="preserve"> </w:t>
      </w:r>
      <m:oMath>
        <m:sSub>
          <m:e>
            <m:r>
              <m:t>λ</m:t>
            </m:r>
          </m:e>
          <m:sub>
            <m:r>
              <m:t>L</m:t>
            </m:r>
          </m:sub>
        </m:sSub>
      </m:oMath>
      <w:r>
        <w:t xml:space="preserve"> </w:t>
      </w:r>
      <w:r>
        <w:t xml:space="preserve">define a single LPP slope and centering applied uniformly across items.</w:t>
      </w:r>
      <w:r>
        <w:t xml:space="preserve"> </w:t>
      </w:r>
      <w:r>
        <w:t xml:space="preserve">In the separate-slope model, both LPP terms are allowed, yielding:</w:t>
      </w:r>
    </w:p>
    <w:p>
      <w:pPr>
        <w:pStyle w:val="BodyText"/>
      </w:pPr>
      <m:oMathPara>
        <m:oMathParaPr>
          <m:jc m:val="center"/>
        </m:oMathParaPr>
        <m:oMath>
          <m:sSub>
            <m:e>
              <m:r>
                <m:t>g</m:t>
              </m:r>
            </m:e>
            <m:sub>
              <m:r>
                <m:t>i</m:t>
              </m:r>
            </m:sub>
          </m:sSub>
          <m:r>
            <m:rPr>
              <m:sty m:val="p"/>
            </m:rPr>
            <m:t>=</m:t>
          </m:r>
          <m:sSub>
            <m:e>
              <m:r>
                <m:t>ϕ</m:t>
              </m:r>
            </m:e>
            <m:sub>
              <m:r>
                <m:t>e</m:t>
              </m:r>
              <m:r>
                <m:t>m</m:t>
              </m:r>
              <m:r>
                <m:t>o</m:t>
              </m:r>
              <m:r>
                <m:t>t</m:t>
              </m:r>
              <m:r>
                <m:rPr>
                  <m:sty m:val="p"/>
                </m:rPr>
                <m:t>,</m:t>
              </m:r>
              <m:r>
                <m:t>i</m:t>
              </m:r>
            </m:sub>
          </m:sSub>
          <m:r>
            <m:rPr>
              <m:sty m:val="p"/>
            </m:rPr>
            <m:t>+</m:t>
          </m:r>
          <m:sSub>
            <m:e>
              <m:r>
                <m:t>ϕ</m:t>
              </m:r>
            </m:e>
            <m:sub>
              <m:r>
                <m:t>i</m:t>
              </m:r>
            </m:sub>
          </m:sSub>
          <m:r>
            <m:rPr>
              <m:sty m:val="p"/>
            </m:rPr>
            <m:t>+</m:t>
          </m:r>
          <m:sSub>
            <m:e>
              <m:r>
                <m:t>κ</m:t>
              </m:r>
            </m:e>
            <m:sub>
              <m:r>
                <m:t>L</m:t>
              </m:r>
            </m:sub>
          </m:sSub>
          <m:d>
            <m:dPr>
              <m:begChr m:val="("/>
              <m:endChr m:val=")"/>
              <m:sepChr m:val=""/>
              <m:grow/>
            </m:dPr>
            <m:e>
              <m:sSub>
                <m:e>
                  <m:r>
                    <m:t>L</m:t>
                  </m:r>
                </m:e>
                <m:sub>
                  <m:r>
                    <m:t>i</m:t>
                  </m:r>
                </m:sub>
              </m:sSub>
              <m:r>
                <m:rPr>
                  <m:sty m:val="p"/>
                </m:rPr>
                <m:t>−</m:t>
              </m:r>
              <m:sSub>
                <m:e>
                  <m:r>
                    <m:t>λ</m:t>
                  </m:r>
                </m:e>
                <m:sub>
                  <m:r>
                    <m:t>L</m:t>
                  </m:r>
                </m:sub>
              </m:sSub>
            </m:e>
          </m:d>
          <m:r>
            <m:rPr>
              <m:sty m:val="p"/>
            </m:rPr>
            <m:t>+</m:t>
          </m:r>
          <m:sSub>
            <m:e>
              <m:r>
                <m:t>κ</m:t>
              </m:r>
            </m:e>
            <m:sub>
              <m:r>
                <m:t>E</m:t>
              </m:r>
              <m:r>
                <m:t>L</m:t>
              </m:r>
            </m:sub>
          </m:sSub>
          <m:d>
            <m:dPr>
              <m:begChr m:val="("/>
              <m:endChr m:val=")"/>
              <m:sepChr m:val=""/>
              <m:grow/>
            </m:dPr>
            <m:e>
              <m:sSub>
                <m:e>
                  <m:r>
                    <m:t>L</m:t>
                  </m:r>
                </m:e>
                <m:sub>
                  <m:r>
                    <m:t>i</m:t>
                  </m:r>
                </m:sub>
              </m:sSub>
              <m:r>
                <m:rPr>
                  <m:sty m:val="p"/>
                </m:rPr>
                <m:t>−</m:t>
              </m:r>
              <m:sSub>
                <m:e>
                  <m:r>
                    <m:t>λ</m:t>
                  </m:r>
                </m:e>
                <m:sub>
                  <m:r>
                    <m:t>E</m:t>
                  </m:r>
                  <m:r>
                    <m:t>L</m:t>
                  </m:r>
                </m:sub>
              </m:sSub>
            </m:e>
          </m:d>
          <m:sSub>
            <m:e>
              <m:r>
                <m:t>e</m:t>
              </m:r>
            </m:e>
            <m:sub>
              <m:r>
                <m:t>i</m:t>
              </m:r>
            </m:sub>
          </m:sSub>
        </m:oMath>
      </m:oMathPara>
    </w:p>
    <w:p>
      <w:pPr>
        <w:pStyle w:val="FirstParagraph"/>
      </w:pPr>
      <w:r>
        <w:t xml:space="preserve">Here,</w:t>
      </w:r>
      <w:r>
        <w:t xml:space="preserve"> </w:t>
      </w:r>
      <m:oMath>
        <m:sSub>
          <m:e>
            <m:r>
              <m:t>κ</m:t>
            </m:r>
          </m:e>
          <m:sub>
            <m:r>
              <m:t>E</m:t>
            </m:r>
            <m:r>
              <m:t>L</m:t>
            </m:r>
          </m:sub>
        </m:sSub>
      </m:oMath>
      <w:r>
        <w:t xml:space="preserve"> </w:t>
      </w:r>
      <w:r>
        <w:t xml:space="preserve">and</w:t>
      </w:r>
      <w:r>
        <w:t xml:space="preserve"> </w:t>
      </w:r>
      <m:oMath>
        <m:sSub>
          <m:e>
            <m:r>
              <m:t>λ</m:t>
            </m:r>
          </m:e>
          <m:sub>
            <m:r>
              <m:t>E</m:t>
            </m:r>
            <m:r>
              <m:t>L</m:t>
            </m:r>
          </m:sub>
        </m:sSub>
      </m:oMath>
      <w:r>
        <w:t xml:space="preserve"> </w:t>
      </w:r>
      <w:r>
        <w:t xml:space="preserve">allow an additional LPP slope for emotional items beyond the shared LPP term.</w:t>
      </w:r>
      <w:r>
        <w:t xml:space="preserve"> </w:t>
      </w:r>
      <w:r>
        <w:t xml:space="preserve">In implementation, negative values of</w:t>
      </w:r>
      <w:r>
        <w:t xml:space="preserve"> </w:t>
      </w:r>
      <m:oMath>
        <m:sSub>
          <m:e>
            <m:r>
              <m:t>g</m:t>
            </m:r>
          </m:e>
          <m:sub>
            <m:r>
              <m:t>i</m:t>
            </m:r>
          </m:sub>
        </m:sSub>
      </m:oMath>
      <w:r>
        <w:t xml:space="preserve"> </w:t>
      </w:r>
      <w:r>
        <w:t xml:space="preserve">are clamped to 0 in all variants.</w:t>
      </w:r>
    </w:p>
    <w:bookmarkEnd w:id="22"/>
    <w:bookmarkStart w:id="23" w:name="fitting-objective-set-likelihood"/>
    <w:p>
      <w:pPr>
        <w:pStyle w:val="Heading2"/>
      </w:pPr>
      <w:r>
        <w:t xml:space="preserve">Fitting Objective: Set Likelihood</w:t>
      </w:r>
    </w:p>
    <w:p>
      <w:pPr>
        <w:pStyle w:val="FirstParagraph"/>
      </w:pPr>
      <w:r>
        <w:t xml:space="preserve">Our modeling goal is to explain which specific items are recalled on each trial, given their position, emotionality, and LPP, rather than only the average recall rates summarized in serial-position curves.</w:t>
      </w:r>
      <w:r>
        <w:t xml:space="preserve"> </w:t>
      </w:r>
      <w:r>
        <w:t xml:space="preserve">Accordingly, we fit models by maximizing the likelihood of the observed recall data under each parameter setting.</w:t>
      </w:r>
      <w:r>
        <w:t xml:space="preserve"> </w:t>
      </w:r>
      <w:r>
        <w:t xml:space="preserve">Three factors shape how we define this likelihood.</w:t>
      </w:r>
      <w:r>
        <w:t xml:space="preserve"> </w:t>
      </w:r>
      <w:r>
        <w:t xml:space="preserve">First, models like CMR and eCMR naturally predict recall sequences, but our data only say whether each item was recalled.</w:t>
      </w:r>
      <w:r>
        <w:t xml:space="preserve"> </w:t>
      </w:r>
      <w:r>
        <w:t xml:space="preserve">This forces us to score models on how well they predict the</w:t>
      </w:r>
      <w:r>
        <w:t xml:space="preserve"> </w:t>
      </w:r>
      <w:r>
        <w:rPr>
          <w:i/>
          <w:iCs/>
        </w:rPr>
        <w:t xml:space="preserve">set</w:t>
      </w:r>
      <w:r>
        <w:t xml:space="preserve"> </w:t>
      </w:r>
      <w:r>
        <w:t xml:space="preserve">of recalled items on each list.</w:t>
      </w:r>
      <w:r>
        <w:t xml:space="preserve"> </w:t>
      </w:r>
      <w:r>
        <w:t xml:space="preserve">Second, the first two items of each list were removed from the data to reduce primacy confounds in the emotion analyses.</w:t>
      </w:r>
      <w:r>
        <w:t xml:space="preserve"> </w:t>
      </w:r>
      <w:r>
        <w:t xml:space="preserve">This omission removes some information about how context evolved early in the list; for the present purposes, we ignore the missing buffer items and treat each list as a 20-item sequence.</w:t>
      </w:r>
      <w:r>
        <w:t xml:space="preserve"> </w:t>
      </w:r>
      <w:r>
        <w:t xml:space="preserve">Third, we do not score termination events in the loss function.</w:t>
      </w:r>
      <w:r>
        <w:t xml:space="preserve"> </w:t>
      </w:r>
      <w:r>
        <w:t xml:space="preserve">We evaluate models only on the identities of recalled items, not on their ability to predict when recall stops or how many items are produced.</w:t>
      </w:r>
      <w:r>
        <w:t xml:space="preserve"> </w:t>
      </w:r>
      <w:r>
        <w:t xml:space="preserve">Because the dataset does not encode explicit termination decisions and our question targets which items are recalled, we treat stopping policy as out of scope for fitting.</w:t>
      </w:r>
    </w:p>
    <w:p>
      <w:pPr>
        <w:pStyle w:val="BodyText"/>
      </w:pPr>
      <w:r>
        <w:t xml:space="preserve">In a standard likelihood analysis with full recall order, we would compute, for each trial, the probability that the model generates the exact observed recall sequence, and then maximize the product of those probabilities across trials.</w:t>
      </w:r>
      <w:r>
        <w:t xml:space="preserve"> </w:t>
      </w:r>
      <w:r>
        <w:t xml:space="preserve">Here we replace the sequence with the unordered set of recalled items.</w:t>
      </w:r>
      <w:r>
        <w:t xml:space="preserve"> </w:t>
      </w:r>
      <w:r>
        <w:t xml:space="preserve">Let</w:t>
      </w:r>
      <w:r>
        <w:t xml:space="preserve"> </w:t>
      </w:r>
      <m:oMath>
        <m:sSub>
          <m:e>
            <m:r>
              <m:t>S</m:t>
            </m:r>
          </m:e>
          <m:sub>
            <m:r>
              <m:t>t</m:t>
            </m:r>
          </m:sub>
        </m:sSub>
      </m:oMath>
      <w:r>
        <w:t xml:space="preserve"> </w:t>
      </w:r>
      <w:r>
        <w:t xml:space="preserve">denote the set of items recalled on trial</w:t>
      </w:r>
      <w:r>
        <w:t xml:space="preserve"> </w:t>
      </w:r>
      <m:oMath>
        <m:r>
          <m:t>t</m:t>
        </m:r>
      </m:oMath>
      <w:r>
        <w:t xml:space="preserve">, and let</w:t>
      </w:r>
      <w:r>
        <w:t xml:space="preserve"> </w:t>
      </w:r>
      <m:oMath>
        <m:r>
          <m:t>r</m:t>
        </m:r>
      </m:oMath>
      <w:r>
        <w:t xml:space="preserve"> </w:t>
      </w:r>
      <w:r>
        <w:t xml:space="preserve">range over recall sequences that produce the same set</w:t>
      </w:r>
      <w:r>
        <w:t xml:space="preserve"> </w:t>
      </w:r>
      <m:oMath>
        <m:sSub>
          <m:e>
            <m:r>
              <m:t>S</m:t>
            </m:r>
          </m:e>
          <m:sub>
            <m:r>
              <m:t>t</m:t>
            </m:r>
          </m:sub>
        </m:sSub>
      </m:oMath>
      <w:r>
        <w:t xml:space="preserve"> </w:t>
      </w:r>
      <w:r>
        <w:t xml:space="preserve">(possibly with different orders).</w:t>
      </w:r>
      <w:r>
        <w:t xml:space="preserve"> </w:t>
      </w:r>
      <w:r>
        <w:t xml:space="preserve">We define the</w:t>
      </w:r>
      <w:r>
        <w:t xml:space="preserve"> </w:t>
      </w:r>
      <w:r>
        <w:rPr>
          <w:i/>
          <w:iCs/>
        </w:rPr>
        <w:t xml:space="preserve">set likelihood</w:t>
      </w:r>
      <w:r>
        <w:t xml:space="preserve"> </w:t>
      </w:r>
      <w:r>
        <w:t xml:space="preserve">as</w:t>
      </w:r>
    </w:p>
    <w:p>
      <w:pPr>
        <w:pStyle w:val="BodyText"/>
      </w:pPr>
      <m:oMathPara>
        <m:oMathParaPr>
          <m:jc m:val="center"/>
        </m:oMathParaPr>
        <m:oMath>
          <m:r>
            <m:t>P</m:t>
          </m:r>
          <m:d>
            <m:dPr>
              <m:begChr m:val="("/>
              <m:endChr m:val=")"/>
              <m:sepChr m:val=""/>
              <m:grow/>
            </m:dPr>
            <m:e>
              <m:sSub>
                <m:e>
                  <m:r>
                    <m:t>S</m:t>
                  </m:r>
                </m:e>
                <m:sub>
                  <m:r>
                    <m:t>t</m:t>
                  </m:r>
                </m:sub>
              </m:sSub>
              <m:r>
                <m:rPr>
                  <m:sty m:val="p"/>
                </m:rPr>
                <m:t>∣</m:t>
              </m:r>
              <m:r>
                <m:t>θ</m:t>
              </m:r>
            </m:e>
          </m:d>
          <m:r>
            <m:rPr>
              <m:sty m:val="p"/>
            </m:rPr>
            <m:t>=</m:t>
          </m:r>
          <m:nary>
            <m:naryPr>
              <m:chr m:val="∑"/>
              <m:limLoc m:val="undOvr"/>
              <m:subHide m:val="off"/>
              <m:supHide m:val="on"/>
            </m:naryPr>
            <m:sub>
              <m:r>
                <m:t>r</m:t>
              </m:r>
              <m:r>
                <m:rPr>
                  <m:sty m:val="p"/>
                </m:rPr>
                <m:t>:</m:t>
              </m:r>
              <m:r>
                <m:t> </m:t>
              </m:r>
              <m:r>
                <m:t>r</m:t>
              </m:r>
              <m:r>
                <m:t> </m:t>
              </m:r>
              <m:r>
                <m:rPr>
                  <m:nor/>
                  <m:sty m:val="p"/>
                </m:rPr>
                <m:t>yields</m:t>
              </m:r>
              <m:r>
                <m:t> </m:t>
              </m:r>
              <m:sSub>
                <m:e>
                  <m:r>
                    <m:t>S</m:t>
                  </m:r>
                </m:e>
                <m:sub>
                  <m:r>
                    <m:t>t</m:t>
                  </m:r>
                </m:sub>
              </m:sSub>
            </m:sub>
            <m:sup>
              <m:r>
                <m:t>​</m:t>
              </m:r>
            </m:sup>
            <m:e>
              <m:r>
                <m:t>P</m:t>
              </m:r>
            </m:e>
          </m:nary>
          <m:d>
            <m:dPr>
              <m:begChr m:val="("/>
              <m:endChr m:val=")"/>
              <m:sepChr m:val=""/>
              <m:grow/>
            </m:dPr>
            <m:e>
              <m:r>
                <m:t>r</m:t>
              </m:r>
              <m:r>
                <m:rPr>
                  <m:sty m:val="p"/>
                </m:rPr>
                <m:t>∣</m:t>
              </m:r>
              <m:r>
                <m:t>θ</m:t>
              </m:r>
            </m:e>
          </m:d>
          <m:r>
            <m:rPr>
              <m:sty m:val="p"/>
            </m:rPr>
            <m:t>,</m:t>
          </m:r>
        </m:oMath>
      </m:oMathPara>
    </w:p>
    <w:p>
      <w:pPr>
        <w:pStyle w:val="FirstParagraph"/>
      </w:pPr>
      <w:r>
        <w:t xml:space="preserve">where</w:t>
      </w:r>
      <w:r>
        <w:t xml:space="preserve"> </w:t>
      </w:r>
      <m:oMath>
        <m:r>
          <m:t>θ</m:t>
        </m:r>
      </m:oMath>
      <w:r>
        <w:t xml:space="preserve"> </w:t>
      </w:r>
      <w:r>
        <w:t xml:space="preserve">are the model parameters.</w:t>
      </w:r>
      <w:r>
        <w:t xml:space="preserve"> </w:t>
      </w:r>
      <w:r>
        <w:t xml:space="preserve">For each list and parameter setting, this quantity assigns higher probability to sets that are frequently produced by the model’s cue-dependent, competitive retrieval dynamics, regardless of the order in which items are recalled.</w:t>
      </w:r>
    </w:p>
    <w:p>
      <w:pPr>
        <w:pStyle w:val="BodyText"/>
      </w:pPr>
      <w:r>
        <w:t xml:space="preserve">Evaluating this sum exactly is infeasible for lists with many recalled items, because the number of sequences that yield a given set grows rapidly with set size.</w:t>
      </w:r>
      <w:r>
        <w:t xml:space="preserve"> </w:t>
      </w:r>
      <w:r>
        <w:t xml:space="preserve">We therefore approximate</w:t>
      </w:r>
      <w:r>
        <w:t xml:space="preserve"> </w:t>
      </w:r>
      <m:oMath>
        <m:r>
          <m:t>P</m:t>
        </m:r>
        <m:d>
          <m:dPr>
            <m:begChr m:val="("/>
            <m:endChr m:val=")"/>
            <m:sepChr m:val=""/>
            <m:grow/>
          </m:dPr>
          <m:e>
            <m:sSub>
              <m:e>
                <m:r>
                  <m:t>S</m:t>
                </m:r>
              </m:e>
              <m:sub>
                <m:r>
                  <m:t>t</m:t>
                </m:r>
              </m:sub>
            </m:sSub>
            <m:r>
              <m:rPr>
                <m:sty m:val="p"/>
              </m:rPr>
              <m:t>∣</m:t>
            </m:r>
            <m:r>
              <m:t>θ</m:t>
            </m:r>
          </m:e>
        </m:d>
      </m:oMath>
      <w:r>
        <w:t xml:space="preserve"> </w:t>
      </w:r>
      <w:r>
        <w:t xml:space="preserve">with a Monte Carlo estimate based on permutations of the observed set.</w:t>
      </w:r>
      <w:r>
        <w:t xml:space="preserve"> </w:t>
      </w:r>
      <w:r>
        <w:t xml:space="preserve">For each trial, we sample a fixed number of random permutations of</w:t>
      </w:r>
      <w:r>
        <w:t xml:space="preserve"> </w:t>
      </w:r>
      <m:oMath>
        <m:sSub>
          <m:e>
            <m:r>
              <m:t>S</m:t>
            </m:r>
          </m:e>
          <m:sub>
            <m:r>
              <m:t>t</m:t>
            </m:r>
          </m:sub>
        </m:sSub>
      </m:oMath>
      <w:r>
        <w:t xml:space="preserve">, treat each permutation as a possible recall sequence, and compute its probability under the model.</w:t>
      </w:r>
      <w:r>
        <w:t xml:space="preserve"> </w:t>
      </w:r>
      <w:r>
        <w:t xml:space="preserve">Averaging these probabilities over permutations yields an unbiased estimate of the set likelihood for that trial.</w:t>
      </w:r>
      <w:r>
        <w:t xml:space="preserve"> </w:t>
      </w:r>
      <w:r>
        <w:t xml:space="preserve">We then sum log likelihoods across trials for each participant and choose parameter values that maximize this approximate set-based log likelihood.</w:t>
      </w:r>
    </w:p>
    <w:p>
      <w:pPr>
        <w:pStyle w:val="BodyText"/>
      </w:pPr>
      <w:r>
        <w:t xml:space="preserve">We maximize the objective with differential evolution</w:t>
      </w:r>
      <w:r>
        <w:t xml:space="preserve"> </w:t>
      </w:r>
      <w:r>
        <w:t xml:space="preserve">[@storn1997differential]</w:t>
      </w:r>
      <w:r>
        <w:t xml:space="preserve">.</w:t>
      </w:r>
      <w:r>
        <w:t xml:space="preserve"> </w:t>
      </w:r>
      <w:r>
        <w:t xml:space="preserve">Because differential evolution is stochastic, we run three independent optimizations per participant and model variant and retain the best-performing fit.</w:t>
      </w:r>
      <w:r>
        <w:t xml:space="preserve"> </w:t>
      </w:r>
      <w:r>
        <w:t xml:space="preserve">For model comparison, we compute per-subject AIC values and summarize mean</w:t>
      </w:r>
      <w:r>
        <w:t xml:space="preserve"> </w:t>
      </w:r>
      <m:oMath>
        <m:r>
          <m:t>Δ</m:t>
        </m:r>
      </m:oMath>
      <w:r>
        <w:t xml:space="preserve">AIC with t-based 95% confidence intervals, alongside AIC weights and winner ratios.</w:t>
      </w:r>
    </w:p>
    <w:p>
      <w:pPr>
        <w:pStyle w:val="BodyText"/>
      </w:pPr>
      <w:r>
        <w:t xml:space="preserve">We also simulate each fitted model variant on the same list structure participants experienced, using per-subject fitted parameters, and analyze the simulated datasets with the same benchmark plots.</w:t>
      </w:r>
      <w:r>
        <w:t xml:space="preserve"> </w:t>
      </w:r>
      <w:r>
        <w:t xml:space="preserve">In simulation, we generate recall sequences only up to the observed number of recalls for each trial.</w:t>
      </w:r>
      <w:r>
        <w:t xml:space="preserve"> </w:t>
      </w:r>
      <w:r>
        <w:t xml:space="preserve">This means simulations are evaluated on the sequence of recalled items, not on the total number of recalls.</w:t>
      </w:r>
      <w:r>
        <w:t xml:space="preserve"> </w:t>
      </w:r>
      <w:r>
        <w:t xml:space="preserve">Matching the observed recall count keeps the benchmark comparison focused on item selection rather than differences in stopping policy.</w:t>
      </w:r>
      <w:r>
        <w:t xml:space="preserve"> </w:t>
      </w:r>
      <w:r>
        <w:t xml:space="preserve">By comparing empirical and simulated curves, we assess whether a model that fits trial-level recall sets also reproduces hallmark free-recall benchmarks.</w:t>
      </w:r>
      <w:r>
        <w:t xml:space="preserve"> </w:t>
      </w:r>
      <w:r>
        <w:t xml:space="preserve">Because additional parameters can improve likelihoods by construction, these benchmark fits provide a qualitative check on model plausibility alongside AIC-based comparisons.</w:t>
      </w:r>
    </w:p>
    <w:p>
      <w:pPr>
        <w:pStyle w:val="BodyText"/>
      </w:pPr>
      <w:r>
        <w:t xml:space="preserve">This approach uses trial-level information about which items were recalled on which lists and respects the full generative structure of eCMR: the same parameters that govern encoding and cue-dependent retrieval are used both to generate recall sets and to score their likelihood.</w:t>
      </w:r>
      <w:r>
        <w:t xml:space="preserve"> </w:t>
      </w:r>
      <w:r>
        <w:t xml:space="preserve">It also aligns with our substantive aims.</w:t>
      </w:r>
      <w:r>
        <w:t xml:space="preserve"> </w:t>
      </w:r>
      <w:r>
        <w:t xml:space="preserve">The neurally informed extensions are intended to explain</w:t>
      </w:r>
      <w:r>
        <w:t xml:space="preserve"> </w:t>
      </w:r>
      <w:r>
        <w:rPr>
          <w:i/>
          <w:iCs/>
        </w:rPr>
        <w:t xml:space="preserve">which</w:t>
      </w:r>
      <w:r>
        <w:t xml:space="preserve"> </w:t>
      </w:r>
      <w:r>
        <w:t xml:space="preserve">emotional items are more likely to be recalled as a function of their LPP values, not to change the overall magnitude of the emotional enhancement of memory summarized by the Category-SPC.</w:t>
      </w:r>
      <w:r>
        <w:t xml:space="preserve"> </w:t>
      </w:r>
      <w:r>
        <w:t xml:space="preserve">A loss function that evaluates models directly on the recalled sets is therefore more sensitive to the LPP-dependent mechanisms we wish to test.</w:t>
      </w:r>
    </w:p>
    <w:p>
      <w:pPr>
        <w:pStyle w:val="BodyText"/>
      </w:pPr>
      <w:r>
        <w:t xml:space="preserve">For comparison, an alternative is to fit models by minimizing mean squared error between summary statistics (for example, between the empirical Category-SPC and the Category-SPC produced by simulations).</w:t>
      </w:r>
      <w:r>
        <w:t xml:space="preserve"> </w:t>
      </w:r>
      <w:r>
        <w:t xml:space="preserve">This summary-statistic MSE approach is simple and effective for testing whether a model reproduces coarse patterns such as overall position effects and the average recall advantage for emotional over neutral items.</w:t>
      </w:r>
      <w:r>
        <w:t xml:space="preserve"> </w:t>
      </w:r>
      <w:r>
        <w:t xml:space="preserve">However, it discards trial-level structure and is relatively insensitive to mechanisms that rearrange</w:t>
      </w:r>
      <w:r>
        <w:t xml:space="preserve"> </w:t>
      </w:r>
      <w:r>
        <w:rPr>
          <w:i/>
          <w:iCs/>
        </w:rPr>
        <w:t xml:space="preserve">which</w:t>
      </w:r>
      <w:r>
        <w:t xml:space="preserve"> </w:t>
      </w:r>
      <w:r>
        <w:t xml:space="preserve">items within a condition are recalled without changing average rates.</w:t>
      </w:r>
      <w:r>
        <w:t xml:space="preserve"> </w:t>
      </w:r>
      <w:r>
        <w:t xml:space="preserve">It ignores patterns in data that are not explicitly targeted by the chosen summary statistics, potentially allowing models to fit benchmarks while mispredicting other aspects of the data.</w:t>
      </w:r>
      <w:r>
        <w:t xml:space="preserve"> </w:t>
      </w:r>
      <w:r>
        <w:t xml:space="preserve">In contrast, the set-likelihood approach evaluates models on their ability to reproduce the full recalled sets, eliminating these deficiencies and providing a more stringent test of mechanistic hypotheses.</w:t>
      </w:r>
      <w:r>
        <w:t xml:space="preserve"> </w:t>
      </w:r>
      <w:r>
        <w:t xml:space="preserve">Our primary questions directly address the effects of item-level variation in LPP and emotion on recall, so we prioritize a loss function that is sensitive to these item-level patterns.</w:t>
      </w:r>
      <w:r>
        <w:t xml:space="preserve"> </w:t>
      </w:r>
      <w:r>
        <w:t xml:space="preserve">We thus rely on the set-likelihood framework for the fits and model comparisons reported below.</w:t>
      </w:r>
    </w:p>
    <w:bookmarkEnd w:id="23"/>
    <w:bookmarkStart w:id="26" w:name="model-comparison"/>
    <w:p>
      <w:pPr>
        <w:pStyle w:val="Heading2"/>
      </w:pPr>
      <w:r>
        <w:t xml:space="preserve">Model Comparison</w:t>
      </w:r>
    </w:p>
    <w:p>
      <w:pPr>
        <w:pStyle w:val="FirstParagraph"/>
      </w:pPr>
      <w:r>
        <w:t xml:space="preserve">We first summarize model comparison outcomes from the set-likelihood fits.</w:t>
      </w:r>
      <w:r>
        <w:t xml:space="preserve"> </w:t>
      </w:r>
      <w:r>
        <w:t xml:space="preserve">We then evaluate how each fitted model reproduces benchmark patterns in simulations that mirror the study lists and observed output lengths.</w:t>
      </w:r>
      <w:r>
        <w:t xml:space="preserve"> </w:t>
      </w:r>
      <w:r>
        <w:t xml:space="preserve">All reported fits use the best solution out of three independent optimization runs per participant.</w:t>
      </w:r>
    </w:p>
    <w:p>
      <w:pPr>
        <w:pStyle w:val="BodyText"/>
      </w:pPr>
      <w:r>
        <w:t xml:space="preserve">The Emotion + LPP (interaction) model provides the best fit by all comparison metrics.</w:t>
      </w:r>
      <w:r>
        <w:t xml:space="preserve"> </w:t>
      </w:r>
      <w:r>
        <w:t xml:space="preserve">Relative to Emotion + LPP (main effects), its mean</w:t>
      </w:r>
      <w:r>
        <w:t xml:space="preserve"> </w:t>
      </w:r>
      <m:oMath>
        <m:r>
          <m:t>Δ</m:t>
        </m:r>
      </m:oMath>
      <w:r>
        <w:t xml:space="preserve">AIC is -1.12 with a 95% t-based confidence interval of [-2.11, -0.13].</w:t>
      </w:r>
      <w:r>
        <w:t xml:space="preserve"> </w:t>
      </w:r>
      <w:r>
        <w:t xml:space="preserve">Relative to Emotion-only, its mean</w:t>
      </w:r>
      <w:r>
        <w:t xml:space="preserve"> </w:t>
      </w:r>
      <m:oMath>
        <m:r>
          <m:t>Δ</m:t>
        </m:r>
      </m:oMath>
      <w:r>
        <w:t xml:space="preserve">AIC is -3.98 with a 95% t-based confidence interval of [-5.71, -2.25].</w:t>
      </w:r>
      <w:r>
        <w:t xml:space="preserve"> </w:t>
      </w:r>
      <w:r>
        <w:t xml:space="preserve">Emotion + LPP (main effects) also improves over Emotion-only, with mean</w:t>
      </w:r>
      <w:r>
        <w:t xml:space="preserve"> </w:t>
      </w:r>
      <m:oMath>
        <m:r>
          <m:t>Δ</m:t>
        </m:r>
      </m:oMath>
      <w:r>
        <w:t xml:space="preserve">AIC of -2.86 [ -4.14, -1.57 ].</w:t>
      </w:r>
      <w:r>
        <w:t xml:space="preserve"> </w:t>
      </w:r>
      <w:r>
        <w:t xml:space="preserve">AIC weights place essentially all mass on the interaction model, with the other two near zero.</w:t>
      </w:r>
      <w:r>
        <w:t xml:space="preserve"> </w:t>
      </w:r>
      <w:r>
        <w:t xml:space="preserve">Winner ratios tell the same story, favoring the interaction model for roughly 0.66 of subjects against main effects and 0.82 against Emotion-only, and favoring main effects for roughly 0.74 against Emotion-only.</w:t>
      </w:r>
      <w:r>
        <w:t xml:space="preserve"> </w:t>
      </w:r>
      <w:r>
        <w:t xml:space="preserve">Together these results indicate that adding an interaction provides a modest but consistent improvement over main effects, and both LPP models outperform Emotion-only.</w:t>
      </w:r>
      <w:r>
        <w:t xml:space="preserve"> </w:t>
      </w:r>
      <w:r>
        <w:t xml:space="preserve">Estimated parameters are broadly similar across variants, so the key evidence comes from relative fit metrics and benchmark patterns rather than large shifts in fitted values.</w:t>
      </w:r>
    </w:p>
    <w:p>
      <w:pPr>
        <w:pStyle w:val="BodyText"/>
      </w:pPr>
      <w:hyperlink w:anchor="tbl-talmi-parameter-estimates">
        <w:r>
          <w:rPr>
            <w:rStyle w:val="Hyperlink"/>
          </w:rPr>
          <w:t xml:space="preserve">Table 2</w:t>
        </w:r>
      </w:hyperlink>
      <w:r>
        <w:t xml:space="preserve"> </w:t>
      </w:r>
      <w:r>
        <w:t xml:space="preserve">reports mean parameter estimates with 95% t-based confidence intervals.</w:t>
      </w:r>
      <w:r>
        <w:t xml:space="preserve"> </w:t>
      </w:r>
      <w:r>
        <w:t xml:space="preserve">Termination parameters are omitted because the fitting procedure does not include a stopping mechanism.</w:t>
      </w:r>
    </w:p>
    <w:tbl>
      <w:tblPr>
        <w:tblStyle w:val="Table"/>
        <w:tblW w:type="pct" w:w="5000"/>
        <w:tblLayout w:type="fixed"/>
        <w:tblLook w:firstRow="0" w:lastRow="0" w:firstColumn="0" w:lastColumn="0" w:noHBand="0" w:noVBand="0" w:val="0000"/>
      </w:tblPr>
      <w:tblGrid>
        <w:gridCol w:w="7920"/>
      </w:tblGrid>
      <w:tr>
        <w:tc>
          <w:tcPr/>
          <w:bookmarkStart w:id="24" w:name="tbl-talmi-parameter-estimates"/>
          <w:p>
            <w:pPr>
              <w:jc w:val="center"/>
            </w:pPr>
            <w:pPr>
              <w:jc w:val="start"/>
              <w:spacing w:before="200"/>
              <w:pStyle w:val="ImageCaption"/>
            </w:pPr>
            <w:r>
              <w:t xml:space="preserve">Table 2: Parameter estimates and fit summaries for TalmiEEG model variants (mean +/- 95% t-based CI across participants).</w:t>
            </w:r>
          </w:p>
          <w:tbl>
            <w:tblPr>
              <w:tblStyle w:val="Table"/>
              <w:tblW w:type="pct" w:w="5000"/>
              <w:tblLayout w:type="fixed"/>
              <w:tblLook w:firstRow="1" w:lastRow="0" w:firstColumn="0" w:lastColumn="0" w:noHBand="0" w:noVBand="0" w:val="0020"/>
            </w:tblPr>
            <w:tblGrid>
              <w:gridCol w:w="2692"/>
              <w:gridCol w:w="1742"/>
              <w:gridCol w:w="1742"/>
              <w:gridCol w:w="1742"/>
            </w:tblGrid>
            <w:tr>
              <w:trPr>
                <w:tblHeader w:val="on"/>
              </w:trPr>
              <w:tc>
                <w:tcPr/>
                <w:p>
                  <w:pPr>
                    <w:pStyle w:val="Compact"/>
                    <w:jc w:val="left"/>
                    <w:jc w:val="center"/>
                  </w:pPr>
                  <w:r>
                    <w:t xml:space="preserve">Parameter</w:t>
                  </w:r>
                </w:p>
              </w:tc>
              <w:tc>
                <w:tcPr/>
                <w:p>
                  <w:pPr>
                    <w:pStyle w:val="Compact"/>
                    <w:jc w:val="left"/>
                    <w:jc w:val="center"/>
                  </w:pPr>
                  <w:r>
                    <w:t xml:space="preserve">Emotion + LPP (main effects)</w:t>
                  </w:r>
                </w:p>
              </w:tc>
              <w:tc>
                <w:tcPr/>
                <w:p>
                  <w:pPr>
                    <w:pStyle w:val="Compact"/>
                    <w:jc w:val="left"/>
                    <w:jc w:val="center"/>
                  </w:pPr>
                  <w:r>
                    <w:t xml:space="preserve">Emotion + LPP (interaction)</w:t>
                  </w:r>
                </w:p>
              </w:tc>
              <w:tc>
                <w:tcPr/>
                <w:p>
                  <w:pPr>
                    <w:pStyle w:val="Compact"/>
                    <w:jc w:val="left"/>
                    <w:jc w:val="center"/>
                  </w:pPr>
                  <w:r>
                    <w:t xml:space="preserve">Emotion-only</w:t>
                  </w:r>
                </w:p>
              </w:tc>
            </w:tr>
            <w:tr>
              <w:tc>
                <w:tcPr/>
                <w:p>
                  <w:pPr>
                    <w:pStyle w:val="Compact"/>
                    <w:jc w:val="left"/>
                    <w:jc w:val="center"/>
                  </w:pPr>
                  <w:r>
                    <w:t xml:space="preserve">fitness</w:t>
                  </w:r>
                </w:p>
              </w:tc>
              <w:tc>
                <w:tcPr/>
                <w:p>
                  <w:pPr>
                    <w:pStyle w:val="Compact"/>
                    <w:jc w:val="left"/>
                    <w:jc w:val="center"/>
                  </w:pPr>
                  <w:r>
                    <w:t xml:space="preserve">210.26 +/- 16.34</w:t>
                  </w:r>
                </w:p>
              </w:tc>
              <w:tc>
                <w:tcPr/>
                <w:p>
                  <w:pPr>
                    <w:pStyle w:val="Compact"/>
                    <w:jc w:val="left"/>
                    <w:jc w:val="center"/>
                  </w:pPr>
                  <w:r>
                    <w:t xml:space="preserve">209.65 +/- 16.24</w:t>
                  </w:r>
                </w:p>
              </w:tc>
              <w:tc>
                <w:tcPr/>
                <w:p>
                  <w:pPr>
                    <w:pStyle w:val="Compact"/>
                    <w:jc w:val="left"/>
                    <w:jc w:val="center"/>
                  </w:pPr>
                  <w:r>
                    <w:t xml:space="preserve">211.74 +/- 16.38</w:t>
                  </w:r>
                </w:p>
              </w:tc>
            </w:tr>
            <w:tr>
              <w:tc>
                <w:tcPr/>
                <w:p>
                  <w:pPr>
                    <w:pStyle w:val="Compact"/>
                    <w:jc w:val="left"/>
                    <w:jc w:val="center"/>
                  </w:pPr>
                  <w:r>
                    <w:t xml:space="preserve">encoding drift rate</w:t>
                  </w:r>
                </w:p>
              </w:tc>
              <w:tc>
                <w:tcPr/>
                <w:p>
                  <w:pPr>
                    <w:pStyle w:val="Compact"/>
                    <w:jc w:val="left"/>
                    <w:jc w:val="center"/>
                  </w:pPr>
                  <w:r>
                    <w:t xml:space="preserve">0.61 +/- 0.11</w:t>
                  </w:r>
                </w:p>
              </w:tc>
              <w:tc>
                <w:tcPr/>
                <w:p>
                  <w:pPr>
                    <w:pStyle w:val="Compact"/>
                    <w:jc w:val="left"/>
                    <w:jc w:val="center"/>
                  </w:pPr>
                  <w:r>
                    <w:t xml:space="preserve">0.65 +/- 0.11</w:t>
                  </w:r>
                </w:p>
              </w:tc>
              <w:tc>
                <w:tcPr/>
                <w:p>
                  <w:pPr>
                    <w:pStyle w:val="Compact"/>
                    <w:jc w:val="left"/>
                    <w:jc w:val="center"/>
                  </w:pPr>
                  <w:r>
                    <w:t xml:space="preserve">0.62 +/- 0.11</w:t>
                  </w:r>
                </w:p>
              </w:tc>
            </w:tr>
            <w:tr>
              <w:tc>
                <w:tcPr/>
                <w:p>
                  <w:pPr>
                    <w:pStyle w:val="Compact"/>
                    <w:jc w:val="left"/>
                    <w:jc w:val="center"/>
                  </w:pPr>
                  <w:r>
                    <w:t xml:space="preserve">start drift rate</w:t>
                  </w:r>
                </w:p>
              </w:tc>
              <w:tc>
                <w:tcPr/>
                <w:p>
                  <w:pPr>
                    <w:pStyle w:val="Compact"/>
                    <w:jc w:val="left"/>
                    <w:jc w:val="center"/>
                  </w:pPr>
                  <w:r>
                    <w:t xml:space="preserve">0.37 +/- 0.13</w:t>
                  </w:r>
                </w:p>
              </w:tc>
              <w:tc>
                <w:tcPr/>
                <w:p>
                  <w:pPr>
                    <w:pStyle w:val="Compact"/>
                    <w:jc w:val="left"/>
                    <w:jc w:val="center"/>
                  </w:pPr>
                  <w:r>
                    <w:t xml:space="preserve">0.36 +/- 0.13</w:t>
                  </w:r>
                </w:p>
              </w:tc>
              <w:tc>
                <w:tcPr/>
                <w:p>
                  <w:pPr>
                    <w:pStyle w:val="Compact"/>
                    <w:jc w:val="left"/>
                    <w:jc w:val="center"/>
                  </w:pPr>
                  <w:r>
                    <w:t xml:space="preserve">0.40 +/- 0.14</w:t>
                  </w:r>
                </w:p>
              </w:tc>
            </w:tr>
            <w:tr>
              <w:tc>
                <w:tcPr/>
                <w:p>
                  <w:pPr>
                    <w:pStyle w:val="Compact"/>
                    <w:jc w:val="left"/>
                    <w:jc w:val="center"/>
                  </w:pPr>
                  <w:r>
                    <w:t xml:space="preserve">recall drift rate</w:t>
                  </w:r>
                </w:p>
              </w:tc>
              <w:tc>
                <w:tcPr/>
                <w:p>
                  <w:pPr>
                    <w:pStyle w:val="Compact"/>
                    <w:jc w:val="left"/>
                    <w:jc w:val="center"/>
                  </w:pPr>
                  <w:r>
                    <w:t xml:space="preserve">0.49 +/- 0.12</w:t>
                  </w:r>
                </w:p>
              </w:tc>
              <w:tc>
                <w:tcPr/>
                <w:p>
                  <w:pPr>
                    <w:pStyle w:val="Compact"/>
                    <w:jc w:val="left"/>
                    <w:jc w:val="center"/>
                  </w:pPr>
                  <w:r>
                    <w:t xml:space="preserve">0.56 +/- 0.13</w:t>
                  </w:r>
                </w:p>
              </w:tc>
              <w:tc>
                <w:tcPr/>
                <w:p>
                  <w:pPr>
                    <w:pStyle w:val="Compact"/>
                    <w:jc w:val="left"/>
                    <w:jc w:val="center"/>
                  </w:pPr>
                  <w:r>
                    <w:t xml:space="preserve">0.47 +/- 0.13</w:t>
                  </w:r>
                </w:p>
              </w:tc>
            </w:tr>
            <w:tr>
              <w:tc>
                <w:tcPr/>
                <w:p>
                  <w:pPr>
                    <w:pStyle w:val="Compact"/>
                    <w:jc w:val="left"/>
                    <w:jc w:val="center"/>
                  </w:pPr>
                  <w:r>
                    <w:t xml:space="preserve">shared support</w:t>
                  </w:r>
                </w:p>
              </w:tc>
              <w:tc>
                <w:tcPr/>
                <w:p>
                  <w:pPr>
                    <w:pStyle w:val="Compact"/>
                    <w:jc w:val="left"/>
                    <w:jc w:val="center"/>
                  </w:pPr>
                  <w:r>
                    <w:t xml:space="preserve">40.74 +/- 11.52</w:t>
                  </w:r>
                </w:p>
              </w:tc>
              <w:tc>
                <w:tcPr/>
                <w:p>
                  <w:pPr>
                    <w:pStyle w:val="Compact"/>
                    <w:jc w:val="left"/>
                    <w:jc w:val="center"/>
                  </w:pPr>
                  <w:r>
                    <w:t xml:space="preserve">35.02 +/- 11.32</w:t>
                  </w:r>
                </w:p>
              </w:tc>
              <w:tc>
                <w:tcPr/>
                <w:p>
                  <w:pPr>
                    <w:pStyle w:val="Compact"/>
                    <w:jc w:val="left"/>
                    <w:jc w:val="center"/>
                  </w:pPr>
                  <w:r>
                    <w:t xml:space="preserve">42.56 +/- 11.07</w:t>
                  </w:r>
                </w:p>
              </w:tc>
            </w:tr>
            <w:tr>
              <w:tc>
                <w:tcPr/>
                <w:p>
                  <w:pPr>
                    <w:pStyle w:val="Compact"/>
                    <w:jc w:val="left"/>
                    <w:jc w:val="center"/>
                  </w:pPr>
                  <w:r>
                    <w:t xml:space="preserve">item support</w:t>
                  </w:r>
                </w:p>
              </w:tc>
              <w:tc>
                <w:tcPr/>
                <w:p>
                  <w:pPr>
                    <w:pStyle w:val="Compact"/>
                    <w:jc w:val="left"/>
                    <w:jc w:val="center"/>
                  </w:pPr>
                  <w:r>
                    <w:t xml:space="preserve">45.36 +/- 10.79</w:t>
                  </w:r>
                </w:p>
              </w:tc>
              <w:tc>
                <w:tcPr/>
                <w:p>
                  <w:pPr>
                    <w:pStyle w:val="Compact"/>
                    <w:jc w:val="left"/>
                    <w:jc w:val="center"/>
                  </w:pPr>
                  <w:r>
                    <w:t xml:space="preserve">47.20 +/- 11.63</w:t>
                  </w:r>
                </w:p>
              </w:tc>
              <w:tc>
                <w:tcPr/>
                <w:p>
                  <w:pPr>
                    <w:pStyle w:val="Compact"/>
                    <w:jc w:val="left"/>
                    <w:jc w:val="center"/>
                  </w:pPr>
                  <w:r>
                    <w:t xml:space="preserve">52.40 +/- 10.85</w:t>
                  </w:r>
                </w:p>
              </w:tc>
            </w:tr>
            <w:tr>
              <w:tc>
                <w:tcPr/>
                <w:p>
                  <w:pPr>
                    <w:pStyle w:val="Compact"/>
                    <w:jc w:val="left"/>
                    <w:jc w:val="center"/>
                  </w:pPr>
                  <w:r>
                    <w:t xml:space="preserve">learning rate</w:t>
                  </w:r>
                </w:p>
              </w:tc>
              <w:tc>
                <w:tcPr/>
                <w:p>
                  <w:pPr>
                    <w:pStyle w:val="Compact"/>
                    <w:jc w:val="left"/>
                    <w:jc w:val="center"/>
                  </w:pPr>
                  <w:r>
                    <w:t xml:space="preserve">0.51 +/- 0.12</w:t>
                  </w:r>
                </w:p>
              </w:tc>
              <w:tc>
                <w:tcPr/>
                <w:p>
                  <w:pPr>
                    <w:pStyle w:val="Compact"/>
                    <w:jc w:val="left"/>
                    <w:jc w:val="center"/>
                  </w:pPr>
                  <w:r>
                    <w:t xml:space="preserve">0.47 +/- 0.13</w:t>
                  </w:r>
                </w:p>
              </w:tc>
              <w:tc>
                <w:tcPr/>
                <w:p>
                  <w:pPr>
                    <w:pStyle w:val="Compact"/>
                    <w:jc w:val="left"/>
                    <w:jc w:val="center"/>
                  </w:pPr>
                  <w:r>
                    <w:t xml:space="preserve">0.55 +/- 0.11</w:t>
                  </w:r>
                </w:p>
              </w:tc>
            </w:tr>
            <w:tr>
              <w:tc>
                <w:tcPr/>
                <w:p>
                  <w:pPr>
                    <w:pStyle w:val="Compact"/>
                    <w:jc w:val="left"/>
                    <w:jc w:val="center"/>
                  </w:pPr>
                  <w:r>
                    <w:t xml:space="preserve">primacy scale</w:t>
                  </w:r>
                </w:p>
              </w:tc>
              <w:tc>
                <w:tcPr/>
                <w:p>
                  <w:pPr>
                    <w:pStyle w:val="Compact"/>
                    <w:jc w:val="left"/>
                    <w:jc w:val="center"/>
                  </w:pPr>
                  <w:r>
                    <w:t xml:space="preserve">18.43 +/- 8.30</w:t>
                  </w:r>
                </w:p>
              </w:tc>
              <w:tc>
                <w:tcPr/>
                <w:p>
                  <w:pPr>
                    <w:pStyle w:val="Compact"/>
                    <w:jc w:val="left"/>
                    <w:jc w:val="center"/>
                  </w:pPr>
                  <w:r>
                    <w:t xml:space="preserve">37.07 +/- 11.06</w:t>
                  </w:r>
                </w:p>
              </w:tc>
              <w:tc>
                <w:tcPr/>
                <w:p>
                  <w:pPr>
                    <w:pStyle w:val="Compact"/>
                    <w:jc w:val="left"/>
                    <w:jc w:val="center"/>
                  </w:pPr>
                  <w:r>
                    <w:t xml:space="preserve">16.68 +/- 8.45</w:t>
                  </w:r>
                </w:p>
              </w:tc>
            </w:tr>
            <w:tr>
              <w:tc>
                <w:tcPr/>
                <w:p>
                  <w:pPr>
                    <w:pStyle w:val="Compact"/>
                    <w:jc w:val="left"/>
                    <w:jc w:val="center"/>
                  </w:pPr>
                  <w:r>
                    <w:t xml:space="preserve">primacy decay</w:t>
                  </w:r>
                </w:p>
              </w:tc>
              <w:tc>
                <w:tcPr/>
                <w:p>
                  <w:pPr>
                    <w:pStyle w:val="Compact"/>
                    <w:jc w:val="left"/>
                    <w:jc w:val="center"/>
                  </w:pPr>
                  <w:r>
                    <w:t xml:space="preserve">48.94 +/- 9.90</w:t>
                  </w:r>
                </w:p>
              </w:tc>
              <w:tc>
                <w:tcPr/>
                <w:p>
                  <w:pPr>
                    <w:pStyle w:val="Compact"/>
                    <w:jc w:val="left"/>
                    <w:jc w:val="center"/>
                  </w:pPr>
                  <w:r>
                    <w:t xml:space="preserve">45.74 +/- 10.83</w:t>
                  </w:r>
                </w:p>
              </w:tc>
              <w:tc>
                <w:tcPr/>
                <w:p>
                  <w:pPr>
                    <w:pStyle w:val="Compact"/>
                    <w:jc w:val="left"/>
                    <w:jc w:val="center"/>
                  </w:pPr>
                  <w:r>
                    <w:t xml:space="preserve">39.34 +/- 9.43</w:t>
                  </w:r>
                </w:p>
              </w:tc>
            </w:tr>
            <w:tr>
              <w:tc>
                <w:tcPr/>
                <w:p>
                  <w:pPr>
                    <w:pStyle w:val="Compact"/>
                    <w:jc w:val="left"/>
                    <w:jc w:val="center"/>
                  </w:pPr>
                  <w:r>
                    <w:t xml:space="preserve">choice sensitivity</w:t>
                  </w:r>
                </w:p>
              </w:tc>
              <w:tc>
                <w:tcPr/>
                <w:p>
                  <w:pPr>
                    <w:pStyle w:val="Compact"/>
                    <w:jc w:val="left"/>
                    <w:jc w:val="center"/>
                  </w:pPr>
                  <w:r>
                    <w:t xml:space="preserve">37.24 +/- 11.43</w:t>
                  </w:r>
                </w:p>
              </w:tc>
              <w:tc>
                <w:tcPr/>
                <w:p>
                  <w:pPr>
                    <w:pStyle w:val="Compact"/>
                    <w:jc w:val="left"/>
                    <w:jc w:val="center"/>
                  </w:pPr>
                  <w:r>
                    <w:t xml:space="preserve">20.87 +/- 9.77</w:t>
                  </w:r>
                </w:p>
              </w:tc>
              <w:tc>
                <w:tcPr/>
                <w:p>
                  <w:pPr>
                    <w:pStyle w:val="Compact"/>
                    <w:jc w:val="left"/>
                    <w:jc w:val="center"/>
                  </w:pPr>
                  <w:r>
                    <w:t xml:space="preserve">37.12 +/- 10.10</w:t>
                  </w:r>
                </w:p>
              </w:tc>
            </w:tr>
            <w:tr>
              <w:tc>
                <w:tcPr/>
                <w:p>
                  <w:pPr>
                    <w:pStyle w:val="Compact"/>
                    <w:jc w:val="left"/>
                    <w:jc w:val="center"/>
                  </w:pPr>
                  <w:r>
                    <w:t xml:space="preserve">emotion scale</w:t>
                  </w:r>
                </w:p>
              </w:tc>
              <w:tc>
                <w:tcPr/>
                <w:p>
                  <w:pPr>
                    <w:pStyle w:val="Compact"/>
                    <w:jc w:val="left"/>
                    <w:jc w:val="center"/>
                  </w:pPr>
                  <w:r>
                    <w:t xml:space="preserve">6.77 +/- 0.88</w:t>
                  </w:r>
                </w:p>
              </w:tc>
              <w:tc>
                <w:tcPr/>
                <w:p>
                  <w:pPr>
                    <w:pStyle w:val="Compact"/>
                    <w:jc w:val="left"/>
                    <w:jc w:val="center"/>
                  </w:pPr>
                  <w:r>
                    <w:t xml:space="preserve">4.91 +/- 0.81</w:t>
                  </w:r>
                </w:p>
              </w:tc>
              <w:tc>
                <w:tcPr/>
                <w:p>
                  <w:pPr>
                    <w:pStyle w:val="Compact"/>
                    <w:jc w:val="left"/>
                    <w:jc w:val="center"/>
                  </w:pPr>
                  <w:r>
                    <w:t xml:space="preserve">4.43 +/- 1.02</w:t>
                  </w:r>
                </w:p>
              </w:tc>
            </w:tr>
            <w:tr>
              <w:tc>
                <w:tcPr/>
                <w:p>
                  <w:pPr>
                    <w:pStyle w:val="Compact"/>
                    <w:jc w:val="left"/>
                    <w:jc w:val="center"/>
                  </w:pPr>
                  <w:r>
                    <w:t xml:space="preserve">lpp main scale</w:t>
                  </w:r>
                </w:p>
              </w:tc>
              <w:tc>
                <w:tcPr/>
                <w:p>
                  <w:pPr>
                    <w:pStyle w:val="Compact"/>
                    <w:jc w:val="left"/>
                    <w:jc w:val="center"/>
                  </w:pPr>
                  <w:r>
                    <w:t xml:space="preserve">23.21 +/- 10.50</w:t>
                  </w:r>
                </w:p>
              </w:tc>
              <w:tc>
                <w:tcPr/>
                <w:p>
                  <w:pPr>
                    <w:pStyle w:val="Compact"/>
                    <w:jc w:val="left"/>
                    <w:jc w:val="center"/>
                  </w:pPr>
                  <w:r>
                    <w:t xml:space="preserve">39.53 +/- 12.91</w:t>
                  </w:r>
                </w:p>
              </w:tc>
              <w:tc>
                <w:tcPr/>
                <w:p>
                  <w:pPr>
                    <w:pStyle w:val="Compact"/>
                    <w:jc w:val="left"/>
                    <w:jc w:val="center"/>
                  </w:pPr>
                  <w:r>
                    <w:t xml:space="preserve">0.00 +/- 0.00</w:t>
                  </w:r>
                </w:p>
              </w:tc>
            </w:tr>
            <w:tr>
              <w:tc>
                <w:tcPr/>
                <w:p>
                  <w:pPr>
                    <w:pStyle w:val="Compact"/>
                    <w:jc w:val="left"/>
                    <w:jc w:val="center"/>
                  </w:pPr>
                  <w:r>
                    <w:t xml:space="preserve">lpp main threshold</w:t>
                  </w:r>
                </w:p>
              </w:tc>
              <w:tc>
                <w:tcPr/>
                <w:p>
                  <w:pPr>
                    <w:pStyle w:val="Compact"/>
                    <w:jc w:val="left"/>
                    <w:jc w:val="center"/>
                  </w:pPr>
                  <w:r>
                    <w:t xml:space="preserve">0.95 +/- 1.10</w:t>
                  </w:r>
                </w:p>
              </w:tc>
              <w:tc>
                <w:tcPr/>
                <w:p>
                  <w:pPr>
                    <w:pStyle w:val="Compact"/>
                    <w:jc w:val="left"/>
                    <w:jc w:val="center"/>
                  </w:pPr>
                  <w:r>
                    <w:t xml:space="preserve">0.84 +/- 0.98</w:t>
                  </w:r>
                </w:p>
              </w:tc>
              <w:tc>
                <w:tcPr/>
                <w:p>
                  <w:pPr>
                    <w:pStyle w:val="Compact"/>
                    <w:jc w:val="left"/>
                    <w:jc w:val="center"/>
                  </w:pPr>
                  <w:r>
                    <w:t xml:space="preserve">0.00 +/- 0.00</w:t>
                  </w:r>
                </w:p>
              </w:tc>
            </w:tr>
            <w:tr>
              <w:tc>
                <w:tcPr/>
                <w:p>
                  <w:pPr>
                    <w:pStyle w:val="Compact"/>
                    <w:jc w:val="left"/>
                    <w:jc w:val="center"/>
                  </w:pPr>
                  <w:r>
                    <w:t xml:space="preserve">lpp inter scale</w:t>
                  </w:r>
                </w:p>
              </w:tc>
              <w:tc>
                <w:tcPr/>
                <w:p>
                  <w:pPr>
                    <w:pStyle w:val="Compact"/>
                    <w:jc w:val="left"/>
                    <w:jc w:val="center"/>
                  </w:pPr>
                  <w:r>
                    <w:t xml:space="preserve">0.00 +/- 0.00</w:t>
                  </w:r>
                </w:p>
              </w:tc>
              <w:tc>
                <w:tcPr/>
                <w:p>
                  <w:pPr>
                    <w:pStyle w:val="Compact"/>
                    <w:jc w:val="left"/>
                    <w:jc w:val="center"/>
                  </w:pPr>
                  <w:r>
                    <w:t xml:space="preserve">53.95 +/- 11.17</w:t>
                  </w:r>
                </w:p>
              </w:tc>
              <w:tc>
                <w:tcPr/>
                <w:p>
                  <w:pPr>
                    <w:pStyle w:val="Compact"/>
                    <w:jc w:val="left"/>
                    <w:jc w:val="center"/>
                  </w:pPr>
                  <w:r>
                    <w:t xml:space="preserve">0.00 +/- 0.00</w:t>
                  </w:r>
                </w:p>
              </w:tc>
            </w:tr>
            <w:tr>
              <w:tc>
                <w:tcPr/>
                <w:p>
                  <w:pPr>
                    <w:pStyle w:val="Compact"/>
                    <w:jc w:val="left"/>
                    <w:jc w:val="center"/>
                  </w:pPr>
                  <w:r>
                    <w:t xml:space="preserve">lpp inter threshold</w:t>
                  </w:r>
                </w:p>
              </w:tc>
              <w:tc>
                <w:tcPr/>
                <w:p>
                  <w:pPr>
                    <w:pStyle w:val="Compact"/>
                    <w:jc w:val="left"/>
                    <w:jc w:val="center"/>
                  </w:pPr>
                  <w:r>
                    <w:t xml:space="preserve">0.00 +/- 0.00</w:t>
                  </w:r>
                </w:p>
              </w:tc>
              <w:tc>
                <w:tcPr/>
                <w:p>
                  <w:pPr>
                    <w:pStyle w:val="Compact"/>
                    <w:jc w:val="left"/>
                    <w:jc w:val="center"/>
                  </w:pPr>
                  <w:r>
                    <w:t xml:space="preserve">-0.90 +/- 0.98</w:t>
                  </w:r>
                </w:p>
              </w:tc>
              <w:tc>
                <w:tcPr/>
                <w:p>
                  <w:pPr>
                    <w:pStyle w:val="Compact"/>
                    <w:jc w:val="left"/>
                    <w:jc w:val="center"/>
                  </w:pPr>
                  <w:r>
                    <w:t xml:space="preserve">0.00 +/- 0.00</w:t>
                  </w:r>
                </w:p>
              </w:tc>
            </w:tr>
          </w:tbl>
          <w:bookmarkEnd w:id="24"/>
          <w:p/>
        </w:tc>
      </w:tr>
    </w:tbl>
    <w:p>
      <w:pPr>
        <w:pStyle w:val="BodyText"/>
      </w:pPr>
      <w:hyperlink w:anchor="tbl-talmi-delta-aic">
        <w:r>
          <w:rPr>
            <w:rStyle w:val="Hyperlink"/>
          </w:rPr>
          <w:t xml:space="preserve">Table 3</w:t>
        </w:r>
      </w:hyperlink>
      <w:r>
        <w:t xml:space="preserve"> </w:t>
      </w:r>
      <w:r>
        <w:t xml:space="preserve">reports pairwise delta AIC values used in the comparisons above.</w:t>
      </w:r>
    </w:p>
    <w:tbl>
      <w:tblPr>
        <w:tblStyle w:val="Table"/>
        <w:tblW w:type="pct" w:w="5000"/>
        <w:tblLayout w:type="fixed"/>
        <w:tblLook w:firstRow="0" w:lastRow="0" w:firstColumn="0" w:lastColumn="0" w:noHBand="0" w:noVBand="0" w:val="0000"/>
      </w:tblPr>
      <w:tblGrid>
        <w:gridCol w:w="7920"/>
      </w:tblGrid>
      <w:tr>
        <w:tc>
          <w:tcPr/>
          <w:bookmarkStart w:id="25" w:name="tbl-talmi-delta-aic"/>
          <w:p>
            <w:pPr>
              <w:jc w:val="center"/>
            </w:pPr>
            <w:pPr>
              <w:jc w:val="start"/>
              <w:spacing w:before="200"/>
              <w:pStyle w:val="ImageCaption"/>
            </w:pPr>
            <w:r>
              <w:t xml:space="preserve">Table 3: Pairwise delta AIC (row minus column; mean [95% t-based CI]).</w:t>
            </w:r>
          </w:p>
          <w:tbl>
            <w:tblPr>
              <w:tblStyle w:val="Table"/>
              <w:tblW w:type="pct" w:w="5000"/>
              <w:tblLayout w:type="fixed"/>
              <w:tblLook w:firstRow="1" w:lastRow="0" w:firstColumn="0" w:lastColumn="0" w:noHBand="0" w:noVBand="0" w:val="0020"/>
            </w:tblPr>
            <w:tblGrid>
              <w:gridCol w:w="2692"/>
              <w:gridCol w:w="1742"/>
              <w:gridCol w:w="1742"/>
              <w:gridCol w:w="1742"/>
            </w:tblGrid>
            <w:tr>
              <w:trPr>
                <w:tblHeader w:val="on"/>
              </w:trPr>
              <w:tc>
                <w:tcPr/>
                <w:p>
                  <w:pPr>
                    <w:pStyle w:val="Compact"/>
                  </w:pPr>
                </w:p>
              </w:tc>
              <w:tc>
                <w:tcPr/>
                <w:p>
                  <w:pPr>
                    <w:pStyle w:val="Compact"/>
                    <w:jc w:val="left"/>
                    <w:jc w:val="center"/>
                  </w:pPr>
                  <w:r>
                    <w:t xml:space="preserve">Emotion + LPP (main effects)</w:t>
                  </w:r>
                </w:p>
              </w:tc>
              <w:tc>
                <w:tcPr/>
                <w:p>
                  <w:pPr>
                    <w:pStyle w:val="Compact"/>
                    <w:jc w:val="left"/>
                    <w:jc w:val="center"/>
                  </w:pPr>
                  <w:r>
                    <w:t xml:space="preserve">Emotion + LPP (interaction)</w:t>
                  </w:r>
                </w:p>
              </w:tc>
              <w:tc>
                <w:tcPr/>
                <w:p>
                  <w:pPr>
                    <w:pStyle w:val="Compact"/>
                    <w:jc w:val="left"/>
                    <w:jc w:val="center"/>
                  </w:pPr>
                  <w:r>
                    <w:t xml:space="preserve">Emotion-only</w:t>
                  </w:r>
                </w:p>
              </w:tc>
            </w:tr>
            <w:tr>
              <w:tc>
                <w:tcPr/>
                <w:p>
                  <w:pPr>
                    <w:pStyle w:val="Compact"/>
                    <w:jc w:val="left"/>
                    <w:jc w:val="center"/>
                  </w:pPr>
                  <w:r>
                    <w:t xml:space="preserve">Emotion + LPP (main effects)</w:t>
                  </w:r>
                </w:p>
              </w:tc>
              <w:tc>
                <w:tcPr/>
                <w:p>
                  <w:pPr>
                    <w:pStyle w:val="Compact"/>
                    <w:jc w:val="left"/>
                    <w:jc w:val="center"/>
                  </w:pPr>
                  <w:r>
                    <w:t xml:space="preserve">NA</w:t>
                  </w:r>
                </w:p>
              </w:tc>
              <w:tc>
                <w:tcPr/>
                <w:p>
                  <w:pPr>
                    <w:pStyle w:val="Compact"/>
                    <w:jc w:val="left"/>
                    <w:jc w:val="center"/>
                  </w:pPr>
                  <w:r>
                    <w:t xml:space="preserve">1.12 [0.13, 2.11]</w:t>
                  </w:r>
                </w:p>
              </w:tc>
              <w:tc>
                <w:tcPr/>
                <w:p>
                  <w:pPr>
                    <w:pStyle w:val="Compact"/>
                    <w:jc w:val="left"/>
                    <w:jc w:val="center"/>
                  </w:pPr>
                  <w:r>
                    <w:t xml:space="preserve">-2.86 [-4.14, -1.57]</w:t>
                  </w:r>
                </w:p>
              </w:tc>
            </w:tr>
            <w:tr>
              <w:tc>
                <w:tcPr/>
                <w:p>
                  <w:pPr>
                    <w:pStyle w:val="Compact"/>
                    <w:jc w:val="left"/>
                    <w:jc w:val="center"/>
                  </w:pPr>
                  <w:r>
                    <w:t xml:space="preserve">Emotion + LPP (interaction)</w:t>
                  </w:r>
                </w:p>
              </w:tc>
              <w:tc>
                <w:tcPr/>
                <w:p>
                  <w:pPr>
                    <w:pStyle w:val="Compact"/>
                    <w:jc w:val="left"/>
                    <w:jc w:val="center"/>
                  </w:pPr>
                  <w:r>
                    <w:t xml:space="preserve">-1.12 [-2.11, -0.13]</w:t>
                  </w:r>
                </w:p>
              </w:tc>
              <w:tc>
                <w:tcPr/>
                <w:p>
                  <w:pPr>
                    <w:pStyle w:val="Compact"/>
                    <w:jc w:val="left"/>
                    <w:jc w:val="center"/>
                  </w:pPr>
                  <w:r>
                    <w:t xml:space="preserve">NA</w:t>
                  </w:r>
                </w:p>
              </w:tc>
              <w:tc>
                <w:tcPr/>
                <w:p>
                  <w:pPr>
                    <w:pStyle w:val="Compact"/>
                    <w:jc w:val="left"/>
                    <w:jc w:val="center"/>
                  </w:pPr>
                  <w:r>
                    <w:t xml:space="preserve">-3.98 [-5.71, -2.25]</w:t>
                  </w:r>
                </w:p>
              </w:tc>
            </w:tr>
            <w:tr>
              <w:tc>
                <w:tcPr/>
                <w:p>
                  <w:pPr>
                    <w:pStyle w:val="Compact"/>
                    <w:jc w:val="left"/>
                    <w:jc w:val="center"/>
                  </w:pPr>
                  <w:r>
                    <w:t xml:space="preserve">Emotion-only</w:t>
                  </w:r>
                </w:p>
              </w:tc>
              <w:tc>
                <w:tcPr/>
                <w:p>
                  <w:pPr>
                    <w:pStyle w:val="Compact"/>
                    <w:jc w:val="left"/>
                    <w:jc w:val="center"/>
                  </w:pPr>
                  <w:r>
                    <w:t xml:space="preserve">2.86 [1.57, 4.14]</w:t>
                  </w:r>
                </w:p>
              </w:tc>
              <w:tc>
                <w:tcPr/>
                <w:p>
                  <w:pPr>
                    <w:pStyle w:val="Compact"/>
                    <w:jc w:val="left"/>
                    <w:jc w:val="center"/>
                  </w:pPr>
                  <w:r>
                    <w:t xml:space="preserve">3.98 [2.25, 5.71]</w:t>
                  </w:r>
                </w:p>
              </w:tc>
              <w:tc>
                <w:tcPr/>
                <w:p>
                  <w:pPr>
                    <w:pStyle w:val="Compact"/>
                    <w:jc w:val="left"/>
                    <w:jc w:val="center"/>
                  </w:pPr>
                  <w:r>
                    <w:t xml:space="preserve">NA</w:t>
                  </w:r>
                </w:p>
              </w:tc>
            </w:tr>
          </w:tbl>
          <w:bookmarkEnd w:id="25"/>
          <w:p/>
        </w:tc>
      </w:tr>
    </w:tbl>
    <w:bookmarkEnd w:id="26"/>
    <w:bookmarkStart w:id="55" w:name="benchmark-fits"/>
    <w:p>
      <w:pPr>
        <w:pStyle w:val="Heading2"/>
      </w:pPr>
      <w:r>
        <w:t xml:space="preserve">Benchmark Fits</w:t>
      </w:r>
    </w:p>
    <w:p>
      <w:pPr>
        <w:pStyle w:val="FirstParagraph"/>
      </w:pPr>
      <w:r>
        <w:t xml:space="preserve">We next inspect simulated benchmark patterns for each fitted model variant.</w:t>
      </w:r>
      <w:r>
        <w:t xml:space="preserve"> </w:t>
      </w:r>
      <w:r>
        <w:t xml:space="preserve">We first show the empirical benchmarks that the simulations aim to reproduce in</w:t>
      </w:r>
      <w:r>
        <w:t xml:space="preserve"> </w:t>
      </w:r>
      <w:hyperlink w:anchor="fig-data_benchmarks">
        <w:r>
          <w:rPr>
            <w:rStyle w:val="Hyperlink"/>
          </w:rPr>
          <w:t xml:space="preserve">Figure 1</w:t>
        </w:r>
      </w:hyperlink>
      <w:r>
        <w:t xml:space="preserve">.</w:t>
      </w:r>
      <w:r>
        <w:t xml:space="preserve"> </w:t>
      </w:r>
      <w:r>
        <w:t xml:space="preserve">Each model figure then pairs the Category-SPC with the combined cat_lpp_by_recall plot to show whether a model captures both overall category structure and the LPP–recall association.</w:t>
      </w:r>
    </w:p>
    <w:bookmarkStart w:id="33" w:name="fig-data_benchmarks"/>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28" name="Picture"/>
                  <a:graphic>
                    <a:graphicData uri="http://schemas.openxmlformats.org/drawingml/2006/picture">
                      <pic:pic>
                        <pic:nvPicPr>
                          <pic:cNvPr descr="results/figures/analyses/reference_catspc.png" id="29" name="Picture"/>
                          <pic:cNvPicPr>
                            <a:picLocks noChangeArrowheads="1" noChangeAspect="1"/>
                          </pic:cNvPicPr>
                        </pic:nvPicPr>
                        <pic:blipFill>
                          <a:blip r:embed="rId27"/>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20220"/>
                  <wp:effectExtent b="0" l="0" r="0" t="0"/>
                  <wp:docPr descr="" title="" id="31" name="Picture"/>
                  <a:graphic>
                    <a:graphicData uri="http://schemas.openxmlformats.org/drawingml/2006/picture">
                      <pic:pic>
                        <pic:nvPicPr>
                          <pic:cNvPr descr="results/figures/cat_lpp_by_recall.png" id="32" name="Picture"/>
                          <pic:cNvPicPr>
                            <a:picLocks noChangeArrowheads="1" noChangeAspect="1"/>
                          </pic:cNvPicPr>
                        </pic:nvPicPr>
                        <pic:blipFill>
                          <a:blip r:embed="rId30"/>
                          <a:stretch>
                            <a:fillRect/>
                          </a:stretch>
                        </pic:blipFill>
                        <pic:spPr bwMode="auto">
                          <a:xfrm>
                            <a:off x="0" y="0"/>
                            <a:ext cx="2971800" cy="2220220"/>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1: Empirical benchmarks for model evaluation.</w:t>
      </w:r>
      <w:r>
        <w:t xml:space="preserve"> </w:t>
      </w:r>
      <w:r>
        <w:t xml:space="preserve">Left: Category-SPC for negative (red) and neutral (black) items, with bootstrapped 95% CIs across participants.</w:t>
      </w:r>
      <w:r>
        <w:t xml:space="preserve"> </w:t>
      </w:r>
      <w:r>
        <w:t xml:space="preserve">Right: Early LPP by recall status and item type, with lines following the legend labels (recalled/unrecalled negative and recalled/unrecalled neutral) and CIs omitted for clarity.</w:t>
      </w:r>
    </w:p>
    <w:bookmarkEnd w:id="33"/>
    <w:p>
      <w:pPr>
        <w:pStyle w:val="BodyText"/>
      </w:pPr>
      <w:r>
        <w:t xml:space="preserve"> </w:t>
      </w:r>
    </w:p>
    <w:bookmarkStart w:id="40" w:name="fig-eeg_emotion_only_fits"/>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35" name="Picture"/>
                  <a:graphic>
                    <a:graphicData uri="http://schemas.openxmlformats.org/drawingml/2006/picture">
                      <pic:pic>
                        <pic:nvPicPr>
                          <pic:cNvPr descr="results/figures/fitting/TalmiEEG_EEGEmotionOnly_50_set_likelihood_fixed_term_best_of_3_cat_spc.png" id="36" name="Picture"/>
                          <pic:cNvPicPr>
                            <a:picLocks noChangeArrowheads="1" noChangeAspect="1"/>
                          </pic:cNvPicPr>
                        </pic:nvPicPr>
                        <pic:blipFill>
                          <a:blip r:embed="rId34"/>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38" name="Picture"/>
                  <a:graphic>
                    <a:graphicData uri="http://schemas.openxmlformats.org/drawingml/2006/picture">
                      <pic:pic>
                        <pic:nvPicPr>
                          <pic:cNvPr descr="results/figures/fitting/TalmiEEG_EEGEmotionOnly_50_set_likelihood_fixed_term_best_of_3_cat_lpp_by_recall.png" id="39" name="Picture"/>
                          <pic:cNvPicPr>
                            <a:picLocks noChangeArrowheads="1" noChangeAspect="1"/>
                          </pic:cNvPicPr>
                        </pic:nvPicPr>
                        <pic:blipFill>
                          <a:blip r:embed="rId37"/>
                          <a:stretch>
                            <a:fillRect/>
                          </a:stretch>
                        </pic:blipFill>
                        <pic:spPr bwMode="auto">
                          <a:xfrm>
                            <a:off x="0" y="0"/>
                            <a:ext cx="2971800" cy="2207387"/>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2: Simulated benchmarks for the Emotion-only model.</w:t>
      </w:r>
      <w:r>
        <w:t xml:space="preserve"> </w:t>
      </w:r>
      <w:r>
        <w:t xml:space="preserve">Left: Category-SPC from simulations using per-subject fitted parameters, with negative (red) and neutral (black) lines and bootstrapped 95% CIs across subjects.</w:t>
      </w:r>
      <w:r>
        <w:t xml:space="preserve"> </w:t>
      </w:r>
      <w:r>
        <w:t xml:space="preserve">Right: Early LPP by recall status from the same simulations, with lines following the legend labels (recalled/unrecalled negative and recalled/unrecalled neutral) and CIs omitted.</w:t>
      </w:r>
    </w:p>
    <w:bookmarkEnd w:id="40"/>
    <w:p>
      <w:pPr>
        <w:pStyle w:val="BodyText"/>
      </w:pPr>
      <w:r>
        <w:t xml:space="preserve"> </w:t>
      </w:r>
    </w:p>
    <w:bookmarkStart w:id="47" w:name="fig-eeg_main_effects_fits"/>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42" name="Picture"/>
                  <a:graphic>
                    <a:graphicData uri="http://schemas.openxmlformats.org/drawingml/2006/picture">
                      <pic:pic>
                        <pic:nvPicPr>
                          <pic:cNvPr descr="results/figures/fitting/TalmiEEG_EEGMainEffects_50_set_likelihood_fixed_term_best_of_3_cat_spc.png" id="43" name="Picture"/>
                          <pic:cNvPicPr>
                            <a:picLocks noChangeArrowheads="1" noChangeAspect="1"/>
                          </pic:cNvPicPr>
                        </pic:nvPicPr>
                        <pic:blipFill>
                          <a:blip r:embed="rId41"/>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45" name="Picture"/>
                  <a:graphic>
                    <a:graphicData uri="http://schemas.openxmlformats.org/drawingml/2006/picture">
                      <pic:pic>
                        <pic:nvPicPr>
                          <pic:cNvPr descr="results/figures/fitting/TalmiEEG_EEGMainEffects_50_set_likelihood_fixed_term_best_of_3_cat_lpp_by_recall.png" id="46" name="Picture"/>
                          <pic:cNvPicPr>
                            <a:picLocks noChangeArrowheads="1" noChangeAspect="1"/>
                          </pic:cNvPicPr>
                        </pic:nvPicPr>
                        <pic:blipFill>
                          <a:blip r:embed="rId44"/>
                          <a:stretch>
                            <a:fillRect/>
                          </a:stretch>
                        </pic:blipFill>
                        <pic:spPr bwMode="auto">
                          <a:xfrm>
                            <a:off x="0" y="0"/>
                            <a:ext cx="2971800" cy="2207387"/>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3: Simulated benchmarks for the Emotion + LPP (main effects) model.</w:t>
      </w:r>
      <w:r>
        <w:t xml:space="preserve"> </w:t>
      </w:r>
      <w:r>
        <w:t xml:space="preserve">Left: Category-SPC from simulations using per-subject fitted parameters, with negative (red) and neutral (black) lines and bootstrapped 95% CIs across subjects.</w:t>
      </w:r>
      <w:r>
        <w:t xml:space="preserve"> </w:t>
      </w:r>
      <w:r>
        <w:t xml:space="preserve">Right: Early LPP by recall status from the same simulations, with lines following the legend labels (recalled/unrecalled negative and recalled/unrecalled neutral) and CIs omitted.</w:t>
      </w:r>
    </w:p>
    <w:bookmarkEnd w:id="47"/>
    <w:p>
      <w:pPr>
        <w:pStyle w:val="BodyText"/>
      </w:pPr>
      <w:r>
        <w:t xml:space="preserve"> </w:t>
      </w:r>
    </w:p>
    <w:bookmarkStart w:id="54" w:name="X4b890f5a77f79f43648c3b3607739aaeb2bb252"/>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306686"/>
                  <wp:effectExtent b="0" l="0" r="0" t="0"/>
                  <wp:docPr descr="" title="" id="49" name="Picture"/>
                  <a:graphic>
                    <a:graphicData uri="http://schemas.openxmlformats.org/drawingml/2006/picture">
                      <pic:pic>
                        <pic:nvPicPr>
                          <pic:cNvPr descr="results/figures/fitting/TalmiEEG_EEGMainEffectsPlusInteraction_50_set_likelihood_fixed_term_best_of_3_cat_spc.png" id="50" name="Picture"/>
                          <pic:cNvPicPr>
                            <a:picLocks noChangeArrowheads="1" noChangeAspect="1"/>
                          </pic:cNvPicPr>
                        </pic:nvPicPr>
                        <pic:blipFill>
                          <a:blip r:embed="rId48"/>
                          <a:stretch>
                            <a:fillRect/>
                          </a:stretch>
                        </pic:blipFill>
                        <pic:spPr bwMode="auto">
                          <a:xfrm>
                            <a:off x="0" y="0"/>
                            <a:ext cx="2971800" cy="2306686"/>
                          </a:xfrm>
                          <a:prstGeom prst="rect">
                            <a:avLst/>
                          </a:prstGeom>
                          <a:noFill/>
                          <a:ln w="9525">
                            <a:noFill/>
                            <a:headEnd/>
                            <a:tailEnd/>
                          </a:ln>
                        </pic:spPr>
                      </pic:pic>
                    </a:graphicData>
                  </a:graphic>
                </wp:inline>
              </w:drawing>
            </w:r>
          </w:p>
        </w:tc>
        <w:tc>
          <w:tcPr/>
          <w:p>
            <w:pPr>
              <w:jc w:val="center"/>
            </w:pPr>
            <w:r>
              <w:drawing>
                <wp:inline>
                  <wp:extent cx="2971800" cy="2207387"/>
                  <wp:effectExtent b="0" l="0" r="0" t="0"/>
                  <wp:docPr descr="" title="" id="52" name="Picture"/>
                  <a:graphic>
                    <a:graphicData uri="http://schemas.openxmlformats.org/drawingml/2006/picture">
                      <pic:pic>
                        <pic:nvPicPr>
                          <pic:cNvPr descr="results/figures/fitting/TalmiEEG_EEGMainEffectsPlusInteraction_50_set_likelihood_fixed_term_best_of_3_cat_lpp_by_recall.png" id="53" name="Picture"/>
                          <pic:cNvPicPr>
                            <a:picLocks noChangeArrowheads="1" noChangeAspect="1"/>
                          </pic:cNvPicPr>
                        </pic:nvPicPr>
                        <pic:blipFill>
                          <a:blip r:embed="rId51"/>
                          <a:stretch>
                            <a:fillRect/>
                          </a:stretch>
                        </pic:blipFill>
                        <pic:spPr bwMode="auto">
                          <a:xfrm>
                            <a:off x="0" y="0"/>
                            <a:ext cx="2971800" cy="2207387"/>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4: Simulated benchmarks for the Emotion + LPP (interaction) model.</w:t>
      </w:r>
      <w:r>
        <w:t xml:space="preserve"> </w:t>
      </w:r>
      <w:r>
        <w:t xml:space="preserve">Left: Category-SPC from simulations using per-subject fitted parameters, with negative (red) and neutral (black) lines and bootstrapped 95% CIs across subjects.</w:t>
      </w:r>
      <w:r>
        <w:t xml:space="preserve"> </w:t>
      </w:r>
      <w:r>
        <w:t xml:space="preserve">Right: Early LPP by recall status from the same simulations, with lines following the legend labels (recalled/unrecalled negative and recalled/unrecalled neutral) and CIs omitted.</w:t>
      </w:r>
    </w:p>
    <w:bookmarkEnd w:id="54"/>
    <w:p>
      <w:pPr>
        <w:pStyle w:val="BodyText"/>
      </w:pPr>
      <w:r>
        <w:t xml:space="preserve">In the Emotion-only simulations, the model captures much of the emotional enhancement of memory in the Category-SPC but shows little separation between recalled and unrecalled negative items in Early LPP. This pattern indicates that emotion labels alone can reproduce the overall category advantage without explaining LPP-linked recall differences.</w:t>
      </w:r>
      <w:r>
        <w:t xml:space="preserve"> </w:t>
      </w:r>
      <w:r>
        <w:t xml:space="preserve">In the Emotion + LPP (main effects) simulations, the model fits both summary statistics but assigns a larger recalled–unrecalled difference for neutral items and a smaller difference for negative items.</w:t>
      </w:r>
      <w:r>
        <w:t xml:space="preserve"> </w:t>
      </w:r>
      <w:r>
        <w:t xml:space="preserve">This pattern suggests that a single LPP slope captures the overall association while misallocating the emotion-specific separation.</w:t>
      </w:r>
      <w:r>
        <w:t xml:space="preserve"> </w:t>
      </w:r>
      <w:r>
        <w:t xml:space="preserve">In the Emotion + LPP (interaction) simulations, the Category-SPC preserves emotional enhancement of memory and the Early LPP panel shows a clearer emotion-dependent separation between recalled and unrecalled items.</w:t>
      </w:r>
      <w:r>
        <w:t xml:space="preserve"> </w:t>
      </w:r>
      <w:r>
        <w:t xml:space="preserve">Together these benchmarks indicate that combining emotion and LPP with an interaction provides the most faithful account of both the category-level advantage and the emotion-specific LPP–recall pattern.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2026-01-21T08:32:08Z</dcterms:created>
  <dcterms:modified xsi:type="dcterms:W3CDTF">2026-01-21T08:32:08Z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