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w:t>
      </w:r>
      <w:r>
        <w:t xml:space="preserve"> </w:t>
      </w:r>
      <w:r>
        <w:t xml:space="preserve">a</w:t>
      </w:r>
      <w:r>
        <w:t xml:space="preserve"> </w:t>
      </w:r>
      <w:r>
        <w:t xml:space="preserve">Retrieved-Context</w:t>
      </w:r>
      <w:r>
        <w:t xml:space="preserve"> </w:t>
      </w:r>
      <w:r>
        <w:t xml:space="preserve">Account</w:t>
      </w:r>
      <w:r>
        <w:t xml:space="preserve"> </w:t>
      </w:r>
      <w:r>
        <w:t xml:space="preserve">of</w:t>
      </w:r>
      <w:r>
        <w:t xml:space="preserve"> </w:t>
      </w:r>
      <w:r>
        <w:t xml:space="preserve">Narrative</w:t>
      </w:r>
      <w:r>
        <w:t xml:space="preserve"> </w:t>
      </w:r>
      <w:r>
        <w:t xml:space="preserve">Comprehension</w:t>
      </w:r>
      <w:r>
        <w:t xml:space="preserve"> </w:t>
      </w:r>
      <w:r>
        <w:t xml:space="preserve">and</w:t>
      </w:r>
      <w:r>
        <w:t xml:space="preserve"> </w:t>
      </w:r>
      <w:r>
        <w:t xml:space="preserve">Memory</w:t>
      </w:r>
    </w:p>
    <w:p>
      <w:pPr>
        <w:pStyle w:val="Author"/>
      </w:pPr>
      <w:r>
        <w:t xml:space="preserve">Jordan</w:t>
      </w:r>
      <w:r>
        <w:t xml:space="preserve"> </w:t>
      </w:r>
      <w:r>
        <w:t xml:space="preserve">Gunn</w:t>
      </w:r>
    </w:p>
    <w:p>
      <w:pPr>
        <w:pStyle w:val="FirstParagraph"/>
      </w:pPr>
      <w:r>
        <w:t xml:space="preserve">Comprehension is an interaction between memory access and coherence maintenance: readers build situation models by retrieving and reinstating prior information and then evaluating how it fits with the current input</w:t>
      </w:r>
      <w:r>
        <w:t xml:space="preserve"> </w:t>
      </w:r>
      <w:r>
        <w:t xml:space="preserve">(McKoon and Ratcliff 1992; Kintsch 1998; Zwaan, Magliano, and Graesser 1995)</w:t>
      </w:r>
      <w:r>
        <w:t xml:space="preserve">. Because access to prior information is controlled by the mechanisms of episodic memory search, theories that leave those mechanisms underspecified cannot predict the timing and selectivity of inference. Conversely, access alone is insufficient for understanding; a coherence gate must determine whether retrieved content is integrated. Yet research on episodic memory and on narrative comprehension has often proceeded on separate tracks, limiting theory and preventing unified accounts that tie recall dynamics to inference‑based understanding</w:t>
      </w:r>
      <w:r>
        <w:t xml:space="preserve"> </w:t>
      </w:r>
      <w:r>
        <w:t xml:space="preserve">(Kahana 2020)</w:t>
      </w:r>
      <w:r>
        <w:t xml:space="preserve">. A retrieved‑context framework (TCM/CMR) specifies how internal context evolves and is reinstated to cue retrieval, yielding quantitative predictions for availability over time; coupled with an explicit coherence gate, it provides the needed mechanistic bridge</w:t>
      </w:r>
      <w:r>
        <w:t xml:space="preserve"> </w:t>
      </w:r>
      <w:r>
        <w:t xml:space="preserve">(Howard and Kahana 2002; Polyn, Norman, and Kahana 2009)</w:t>
      </w:r>
      <w:r>
        <w:t xml:space="preserve">.</w:t>
      </w:r>
    </w:p>
    <w:p>
      <w:pPr>
        <w:pStyle w:val="BodyText"/>
      </w:pPr>
      <w:r>
        <w:t xml:space="preserve">The goal of this project is to develop and test a computational model of narrative comprehension and memory in which retrieved‑context dynamics determine access to prior ideas and interact with a coherence mechanism to determine their integration into an evolving situation model. In this account, inference is not reducible to reinstatement: rather, selective context reinstatement supplies candidates in proportion to overlap and recency, and a coherence‑evaluation process (sensitive to causal/protagonist structure, goals, and discourse cues) gates integration under capacity constraints</w:t>
      </w:r>
      <w:r>
        <w:t xml:space="preserve"> </w:t>
      </w:r>
      <w:r>
        <w:t xml:space="preserve">(Graesser, Singer, and Trabasso 1994; Van den Broek et al. 1999)</w:t>
      </w:r>
      <w:r>
        <w:t xml:space="preserve">. This integration explains which links are formed, when, and with what behavioral consequences in both recall sequences and tests of understanding, without invoking an ad hoc inference engine separate from memory.</w:t>
      </w:r>
    </w:p>
    <w:p>
      <w:pPr>
        <w:pStyle w:val="BodyText"/>
      </w:pPr>
      <w:r>
        <w:t xml:space="preserve">Our approach is to collect behavioral data in narrative recall and comprehension (free recall sequences, online bridging/causal probes, and delayed question answering) and to iteratively refine a computational model (Fig. 1) of both performance and latent reinstatement dynamics. The core model is a long‑standing, well‑specified retrieved‑context account (TCM/CMR) in which a gradually evolving context representation is bound to each studied unit and reinstated to cue what comes next</w:t>
      </w:r>
      <w:r>
        <w:t xml:space="preserve"> </w:t>
      </w:r>
      <w:r>
        <w:t xml:space="preserve">(Howard and Kahana 2002; Polyn, Norman, and Kahana 2009)</w:t>
      </w:r>
      <w:r>
        <w:t xml:space="preserve">. We adapt this machinery to sentences/propositions and show how its temporal targeting and overlap sensitivity reinterpret benchmark narrative phenomena (contiguity of recalls, boundary effects on order, causal centrality in memory and Q&amp;A) without invoking a separate inference engine</w:t>
      </w:r>
      <w:r>
        <w:t xml:space="preserve"> </w:t>
      </w:r>
      <w:r>
        <w:t xml:space="preserve">(Sederberg, Howard, and Kahana 2008; Healey, Long, and Kahana 2019; Zacks and Swallow 2007; DuBrow and Davachi 2016; Graesser, Singer, and Trabasso 1994)</w:t>
      </w:r>
      <w:r>
        <w:t xml:space="preserve">. The experiments are designed to challenge the framework, adjudicating selective‑ vs blended‑reinstatement variants and quantifying how coherence constraints gate inference over and above mere similarity</w:t>
      </w:r>
      <w:r>
        <w:t xml:space="preserve"> </w:t>
      </w:r>
      <w:r>
        <w:t xml:space="preserve">(McKoon and Ratcliff 1992; Kintsch 1998; Van den Broek et al. 1999)</w:t>
      </w:r>
      <w:r>
        <w:t xml:space="preserve">. We will deploy this approach to accomplish the following aims:</w:t>
      </w:r>
    </w:p>
    <w:p>
      <w:pPr>
        <w:pStyle w:val="BodyText"/>
      </w:pPr>
      <w:r>
        <w:t xml:space="preserve">Aim 1: Test the selective‑reinstatement account of inference in narratives.</w:t>
      </w:r>
      <w:r>
        <w:t xml:space="preserve"> </w:t>
      </w:r>
      <w:r>
        <w:t xml:space="preserve">In controlled stories where key content is repeated or replaced with overlap pairs (semantic similarity; shared protagonist via coreference; explicit causal links), we will measure sentence‑level sequence signatures (dual‑center lag‑CRPs; cross‑occurrence neighbor analyses; forward‑chaining analogs) and inference behavior (bridging/causal probes during and after reading). Selective‑reinstatement RCT predicts first‑over‑second preferences and graded integration (causal &gt; protagonist &gt; semantic) tied to probe success; blended CMR predicts balanced access and broader cross‑neighborhood linkage. Preliminary narrative‑recall analyses and Semantic‑CMR fits included.</w:t>
      </w:r>
    </w:p>
    <w:p>
      <w:pPr>
        <w:pStyle w:val="BodyText"/>
      </w:pPr>
      <w:r>
        <w:t xml:space="preserve">Aim 2: Demonstrate the joint constraints between memory and inference using a linking model.</w:t>
      </w:r>
      <w:r>
        <w:t xml:space="preserve"> </w:t>
      </w:r>
      <w:r>
        <w:t xml:space="preserve">We will develop a linking model from latent context state to both next‑step recall/inference and probe accuracy/RT, estimating shared parameters for reinstatement strength and coherence sensitivity on joint datasets (sequences + probes).</w:t>
      </w:r>
      <w:r>
        <w:t xml:space="preserve"> </w:t>
      </w:r>
      <w:r>
        <w:t xml:space="preserve">We will design double‑dissociation tests that separate memory availability (reinstatement makes information accessible) from inference commitment (coherence gate accepts/rejects the link), and apply formal model comparison to arbitrate selective vs blended architectures</w:t>
      </w:r>
      <w:r>
        <w:t xml:space="preserve"> </w:t>
      </w:r>
      <w:r>
        <w:t xml:space="preserve">(Kahana 2020; Wilson and Collins 2019)</w:t>
      </w:r>
      <w:r>
        <w:t xml:space="preserve">.</w:t>
      </w:r>
    </w:p>
    <w:p>
      <w:pPr>
        <w:pStyle w:val="BodyText"/>
      </w:pPr>
      <w:r>
        <w:t xml:space="preserve">Aim 3: Establish how narrative structure modulates reinstatement and inference (event boundaries and beyond).</w:t>
      </w:r>
      <w:r>
        <w:t xml:space="preserve"> </w:t>
      </w:r>
      <w:r>
        <w:t xml:space="preserve">We will orthogonally manipulate event boundaries (scene/time/space changes), goal/intent shifts, and cohesion cues while holding overlap fixed. The model predicts that boundaries separate contexts associated with nearby story elements, whereas reinstatement mechanisms can produce cross‑boundary linkage</w:t>
      </w:r>
      <w:r>
        <w:t xml:space="preserve"> </w:t>
      </w:r>
      <w:r>
        <w:t xml:space="preserve">(Zacks and Swallow 2007; DuBrow and Davachi 2016; Graesser, Singer, and Trabasso 1994)</w:t>
      </w:r>
      <w:r>
        <w:t xml:space="preserve">.</w:t>
      </w:r>
      <w:r>
        <w:t xml:space="preserve"> </w:t>
      </w:r>
      <w:r>
        <w:t xml:space="preserve">We will formalize and evaluate precise predictions produced by competing models of how narrative structure and cohesion cues interact in memory to configure the structure of memory and successful understanding.</w:t>
      </w:r>
    </w:p>
    <w:p>
      <w:pPr>
        <w:pStyle w:val="BodyText"/>
      </w:pPr>
      <w:r>
        <w:t xml:space="preserve">Figure 1. Iterative cycle of model‑derived paradigm development and behavioral data collection (recall sequences, probes, Q&amp;A), enabling empirical testing of model variants to distinguish selective vs blended reinstatement and to quantify coherence gating in narrative comprehension.</w:t>
      </w:r>
    </w:p>
    <w:bookmarkStart w:id="33" w:name="refs"/>
    <w:bookmarkStart w:id="20" w:name="ref-dubrow2016temporal"/>
    <w:p>
      <w:pPr>
        <w:pStyle w:val="Bibliography"/>
      </w:pPr>
      <w:r>
        <w:t xml:space="preserve">DuBrow, Sarah, and Lila Davachi. 2016.</w:t>
      </w:r>
      <w:r>
        <w:t xml:space="preserve"> </w:t>
      </w:r>
      <w:r>
        <w:t xml:space="preserve">“Temporal Binding Within and Across Events.”</w:t>
      </w:r>
      <w:r>
        <w:t xml:space="preserve"> </w:t>
      </w:r>
      <w:r>
        <w:rPr>
          <w:i/>
          <w:iCs/>
        </w:rPr>
        <w:t xml:space="preserve">Neurobiology of Learning and Memory</w:t>
      </w:r>
      <w:r>
        <w:t xml:space="preserve"> </w:t>
      </w:r>
      <w:r>
        <w:t xml:space="preserve">134: 107–14.</w:t>
      </w:r>
    </w:p>
    <w:bookmarkEnd w:id="20"/>
    <w:bookmarkStart w:id="21" w:name="ref-graesser1994constructing"/>
    <w:p>
      <w:pPr>
        <w:pStyle w:val="Bibliography"/>
      </w:pPr>
      <w:r>
        <w:t xml:space="preserve">Graesser, Arthur, Murray Singer, and Tom Trabasso. 1994.</w:t>
      </w:r>
      <w:r>
        <w:t xml:space="preserve"> </w:t>
      </w:r>
      <w:r>
        <w:t xml:space="preserve">“Constructing Inferences During Narrative Text Comprehension.”</w:t>
      </w:r>
      <w:r>
        <w:t xml:space="preserve"> </w:t>
      </w:r>
      <w:r>
        <w:rPr>
          <w:i/>
          <w:iCs/>
        </w:rPr>
        <w:t xml:space="preserve">Psychological Review</w:t>
      </w:r>
      <w:r>
        <w:t xml:space="preserve"> </w:t>
      </w:r>
      <w:r>
        <w:t xml:space="preserve">101 (3): 371.</w:t>
      </w:r>
    </w:p>
    <w:bookmarkEnd w:id="21"/>
    <w:bookmarkStart w:id="22" w:name="ref-healey2019contiguity"/>
    <w:p>
      <w:pPr>
        <w:pStyle w:val="Bibliography"/>
      </w:pPr>
      <w:r>
        <w:t xml:space="preserve">Healey, M Karl, Nicole M Long, and Michael J Kahana. 2019.</w:t>
      </w:r>
      <w:r>
        <w:t xml:space="preserve"> </w:t>
      </w:r>
      <w:r>
        <w:t xml:space="preserve">“Contiguity in Episodic Memory.”</w:t>
      </w:r>
      <w:r>
        <w:t xml:space="preserve"> </w:t>
      </w:r>
      <w:r>
        <w:rPr>
          <w:i/>
          <w:iCs/>
        </w:rPr>
        <w:t xml:space="preserve">Psychonomic Bulletin &amp; Review</w:t>
      </w:r>
      <w:r>
        <w:t xml:space="preserve"> </w:t>
      </w:r>
      <w:r>
        <w:t xml:space="preserve">26 (3): 699–720.</w:t>
      </w:r>
    </w:p>
    <w:bookmarkEnd w:id="22"/>
    <w:bookmarkStart w:id="23" w:name="ref-howard2002distributed"/>
    <w:p>
      <w:pPr>
        <w:pStyle w:val="Bibliography"/>
      </w:pPr>
      <w:r>
        <w:t xml:space="preserve">Howard, Marc W, and Michael J Kahana. 2002.</w:t>
      </w:r>
      <w:r>
        <w:t xml:space="preserve"> </w:t>
      </w:r>
      <w:r>
        <w:t xml:space="preserve">“A Distributed Representation of Temporal Context.”</w:t>
      </w:r>
      <w:r>
        <w:t xml:space="preserve"> </w:t>
      </w:r>
      <w:r>
        <w:rPr>
          <w:i/>
          <w:iCs/>
        </w:rPr>
        <w:t xml:space="preserve">Journal of Mathematical Psychology</w:t>
      </w:r>
      <w:r>
        <w:t xml:space="preserve"> </w:t>
      </w:r>
      <w:r>
        <w:t xml:space="preserve">46 (3): 269–99.</w:t>
      </w:r>
    </w:p>
    <w:bookmarkEnd w:id="23"/>
    <w:bookmarkStart w:id="24" w:name="ref-kahana2020computational"/>
    <w:p>
      <w:pPr>
        <w:pStyle w:val="Bibliography"/>
      </w:pPr>
      <w:r>
        <w:t xml:space="preserve">Kahana, Michael J. 2020.</w:t>
      </w:r>
      <w:r>
        <w:t xml:space="preserve"> </w:t>
      </w:r>
      <w:r>
        <w:t xml:space="preserve">“Computational Models of Memory Search.”</w:t>
      </w:r>
      <w:r>
        <w:t xml:space="preserve"> </w:t>
      </w:r>
      <w:r>
        <w:rPr>
          <w:i/>
          <w:iCs/>
        </w:rPr>
        <w:t xml:space="preserve">Annual Review of Psychology</w:t>
      </w:r>
      <w:r>
        <w:t xml:space="preserve"> </w:t>
      </w:r>
      <w:r>
        <w:t xml:space="preserve">71 (1): 107–38.</w:t>
      </w:r>
    </w:p>
    <w:bookmarkEnd w:id="24"/>
    <w:bookmarkStart w:id="25" w:name="ref-kintsch1998comprehension"/>
    <w:p>
      <w:pPr>
        <w:pStyle w:val="Bibliography"/>
      </w:pPr>
      <w:r>
        <w:t xml:space="preserve">Kintsch, Walter. 1998.</w:t>
      </w:r>
      <w:r>
        <w:t xml:space="preserve"> </w:t>
      </w:r>
      <w:r>
        <w:rPr>
          <w:i/>
          <w:iCs/>
        </w:rPr>
        <w:t xml:space="preserve">Comprehension: A Paradigm for Cognition</w:t>
      </w:r>
      <w:r>
        <w:t xml:space="preserve">. Cambridge university press.</w:t>
      </w:r>
    </w:p>
    <w:bookmarkEnd w:id="25"/>
    <w:bookmarkStart w:id="26" w:name="ref-mckoon1992inference"/>
    <w:p>
      <w:pPr>
        <w:pStyle w:val="Bibliography"/>
      </w:pPr>
      <w:r>
        <w:t xml:space="preserve">McKoon, Gail, and Roger Ratcliff. 1992.</w:t>
      </w:r>
      <w:r>
        <w:t xml:space="preserve"> </w:t>
      </w:r>
      <w:r>
        <w:t xml:space="preserve">“Inference During Reading.”</w:t>
      </w:r>
      <w:r>
        <w:t xml:space="preserve"> </w:t>
      </w:r>
      <w:r>
        <w:rPr>
          <w:i/>
          <w:iCs/>
        </w:rPr>
        <w:t xml:space="preserve">Psychological Review</w:t>
      </w:r>
      <w:r>
        <w:t xml:space="preserve"> </w:t>
      </w:r>
      <w:r>
        <w:t xml:space="preserve">99 (3): 440.</w:t>
      </w:r>
    </w:p>
    <w:bookmarkEnd w:id="26"/>
    <w:bookmarkStart w:id="27" w:name="ref-polyn2009context"/>
    <w:p>
      <w:pPr>
        <w:pStyle w:val="Bibliography"/>
      </w:pPr>
      <w:r>
        <w:t xml:space="preserve">Polyn, Sean M, Kenneth A Norman, and Michael J Kahana. 2009.</w:t>
      </w:r>
      <w:r>
        <w:t xml:space="preserve"> </w:t>
      </w:r>
      <w:r>
        <w:t xml:space="preserve">“A Context Maintenance and Retrieval Model of Organizational Processes in Free Recall.”</w:t>
      </w:r>
      <w:r>
        <w:t xml:space="preserve"> </w:t>
      </w:r>
      <w:r>
        <w:rPr>
          <w:i/>
          <w:iCs/>
        </w:rPr>
        <w:t xml:space="preserve">Psychological Review</w:t>
      </w:r>
      <w:r>
        <w:t xml:space="preserve"> </w:t>
      </w:r>
      <w:r>
        <w:t xml:space="preserve">116 (1): 129.</w:t>
      </w:r>
    </w:p>
    <w:bookmarkEnd w:id="27"/>
    <w:bookmarkStart w:id="28" w:name="ref-sederberg2008context"/>
    <w:p>
      <w:pPr>
        <w:pStyle w:val="Bibliography"/>
      </w:pPr>
      <w:r>
        <w:t xml:space="preserve">Sederberg, Per B, Marc W Howard, and Michael J Kahana. 2008.</w:t>
      </w:r>
      <w:r>
        <w:t xml:space="preserve"> </w:t>
      </w:r>
      <w:r>
        <w:t xml:space="preserve">“A Context-Based Theory of Recency and Contiguity in Free Recall.”</w:t>
      </w:r>
      <w:r>
        <w:t xml:space="preserve"> </w:t>
      </w:r>
      <w:r>
        <w:rPr>
          <w:i/>
          <w:iCs/>
        </w:rPr>
        <w:t xml:space="preserve">Psychological Review</w:t>
      </w:r>
      <w:r>
        <w:t xml:space="preserve"> </w:t>
      </w:r>
      <w:r>
        <w:t xml:space="preserve">115 (4): 893.</w:t>
      </w:r>
    </w:p>
    <w:bookmarkEnd w:id="28"/>
    <w:bookmarkStart w:id="29" w:name="ref-van1999landscape"/>
    <w:p>
      <w:pPr>
        <w:pStyle w:val="Bibliography"/>
      </w:pPr>
      <w:r>
        <w:t xml:space="preserve">Van den Broek, Paul, Michael Young, Yuhtsuen Tzeng, Tracy Linderholm, et al. 1999.</w:t>
      </w:r>
      <w:r>
        <w:t xml:space="preserve"> </w:t>
      </w:r>
      <w:r>
        <w:t xml:space="preserve">“The Landscape Model of Reading: Inferences and the Online Construction of a Memory Representation.”</w:t>
      </w:r>
      <w:r>
        <w:t xml:space="preserve"> </w:t>
      </w:r>
      <w:r>
        <w:rPr>
          <w:i/>
          <w:iCs/>
        </w:rPr>
        <w:t xml:space="preserve">The Construction of Mental Representations During Reading</w:t>
      </w:r>
      <w:r>
        <w:t xml:space="preserve">, 71–98.</w:t>
      </w:r>
    </w:p>
    <w:bookmarkEnd w:id="29"/>
    <w:bookmarkStart w:id="30" w:name="ref-wilson2019ten"/>
    <w:p>
      <w:pPr>
        <w:pStyle w:val="Bibliography"/>
      </w:pPr>
      <w:r>
        <w:t xml:space="preserve">Wilson, Robert C, and Anne GE Collins. 2019.</w:t>
      </w:r>
      <w:r>
        <w:t xml:space="preserve"> </w:t>
      </w:r>
      <w:r>
        <w:t xml:space="preserve">“Ten Simple Rules for the Computational Modeling of Behavioral Data.”</w:t>
      </w:r>
      <w:r>
        <w:t xml:space="preserve"> </w:t>
      </w:r>
      <w:r>
        <w:rPr>
          <w:i/>
          <w:iCs/>
        </w:rPr>
        <w:t xml:space="preserve">Elife</w:t>
      </w:r>
      <w:r>
        <w:t xml:space="preserve"> </w:t>
      </w:r>
      <w:r>
        <w:t xml:space="preserve">8: e49547.</w:t>
      </w:r>
    </w:p>
    <w:bookmarkEnd w:id="30"/>
    <w:bookmarkStart w:id="31" w:name="ref-zacks2007event"/>
    <w:p>
      <w:pPr>
        <w:pStyle w:val="Bibliography"/>
      </w:pPr>
      <w:r>
        <w:t xml:space="preserve">Zacks, Jeffrey M, and Khena M Swallow. 2007.</w:t>
      </w:r>
      <w:r>
        <w:t xml:space="preserve"> </w:t>
      </w:r>
      <w:r>
        <w:t xml:space="preserve">“Event Segmentation.”</w:t>
      </w:r>
      <w:r>
        <w:t xml:space="preserve"> </w:t>
      </w:r>
      <w:r>
        <w:rPr>
          <w:i/>
          <w:iCs/>
        </w:rPr>
        <w:t xml:space="preserve">Current Directions in Psychological Science</w:t>
      </w:r>
      <w:r>
        <w:t xml:space="preserve"> </w:t>
      </w:r>
      <w:r>
        <w:t xml:space="preserve">16 (2): 80–84.</w:t>
      </w:r>
    </w:p>
    <w:bookmarkEnd w:id="31"/>
    <w:bookmarkStart w:id="32" w:name="ref-zwaan1995dimensions"/>
    <w:p>
      <w:pPr>
        <w:pStyle w:val="Bibliography"/>
      </w:pPr>
      <w:r>
        <w:t xml:space="preserve">Zwaan, Rolf A, Joseph P Magliano, and Arthur Graesser. 1995.</w:t>
      </w:r>
      <w:r>
        <w:t xml:space="preserve"> </w:t>
      </w:r>
      <w:r>
        <w:t xml:space="preserve">“Dimensions of Situation Model Construction in Narrative Comprehension.”</w:t>
      </w:r>
      <w:r>
        <w:t xml:space="preserve"> </w:t>
      </w:r>
      <w:r>
        <w:rPr>
          <w:i/>
          <w:iCs/>
        </w:rPr>
        <w:t xml:space="preserve">Journal of Experimental Psychology: Learning, Memory, and Cognition</w:t>
      </w:r>
      <w:r>
        <w:t xml:space="preserve"> </w:t>
      </w:r>
      <w:r>
        <w:t xml:space="preserve">21 (2): 386.</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Retrieved-Context Account of Narrative Comprehension and Memory</dc:title>
  <dc:creator>Jordan Gunn</dc:creator>
  <cp:keywords/>
  <dcterms:created xsi:type="dcterms:W3CDTF">2025-10-21T11:21:43Z</dcterms:created>
  <dcterms:modified xsi:type="dcterms:W3CDTF">2025-10-21T11:21:43Z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