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Building on the behavioral and ERP results reported above, we test mechanistic accounts of how study-phase neural activity can modulate encoding within retrieved-context models.</w:t>
      </w:r>
      <w:r>
        <w:t xml:space="preserve"> </w:t>
      </w:r>
      <w:r>
        <w:t xml:space="preserve">We embed Early LPP as an item-level modulator of learning strength in eCMR and compare three variants that differ only in how LPP enters the encoding rule.</w:t>
      </w:r>
    </w:p>
    <w:bookmarkStart w:id="21" w:name="ecmr-specification"/>
    <w:p>
      <w:pPr>
        <w:pStyle w:val="Heading2"/>
      </w:pPr>
      <w:r>
        <w:t xml:space="preserve">eCMR Specification</w:t>
      </w:r>
    </w:p>
    <w:p>
      <w:pPr>
        <w:pStyle w:val="FirstParagraph"/>
      </w:pPr>
      <w:r>
        <w:t xml:space="preserve">We use a connectionist CMR architecture with a temporal context state.</w:t>
      </w:r>
      <w:r>
        <w:t xml:space="preserve"> </w:t>
      </w:r>
      <w:r>
        <w:t xml:space="preserve">We implement emotion and Early LPP as modulators of learning strength, rather than adding a separate emotional context layer.</w:t>
      </w:r>
      <w:r>
        <w:t xml:space="preserve"> </w:t>
      </w:r>
      <w:r>
        <w:t xml:space="preserve">This choice keeps the model aligned with standard retrieved-context dynamics while ensuring that emotion-only, LPP main-effects, and LPP interaction variants differ only in a single encoding pathway.</w:t>
      </w:r>
    </w:p>
    <w:p>
      <w:pPr>
        <w:pStyle w:val="BodyText"/>
      </w:pPr>
      <w:r>
        <w:t xml:space="preserve">We denote temporal context as</w:t>
      </w:r>
      <w:r>
        <w:t xml:space="preserve"> </w:t>
      </w:r>
      <m:oMath>
        <m:sSup>
          <m:e>
            <m:r>
              <m:t>c</m:t>
            </m:r>
          </m:e>
          <m:sup>
            <m:r>
              <m:t>T</m:t>
            </m:r>
          </m:sup>
        </m:sSup>
      </m:oMath>
      <w:r>
        <w:t xml:space="preserve"> </w:t>
      </w:r>
      <w:r>
        <w:t xml:space="preserve">and item features as</w:t>
      </w:r>
      <w:r>
        <w:t xml:space="preserve"> </w:t>
      </w:r>
      <m:oMath>
        <m:sSub>
          <m:e>
            <m:r>
              <m:t>f</m:t>
            </m:r>
          </m:e>
          <m:sub>
            <m:r>
              <m:t>i</m:t>
            </m:r>
          </m:sub>
        </m:sSub>
      </m:oMath>
      <w:r>
        <w:t xml:space="preserve">.</w:t>
      </w:r>
      <w:r>
        <w:t xml:space="preserve"> </w:t>
      </w:r>
      <m:oMath>
        <m:sSup>
          <m:e>
            <m:r>
              <m:t>M</m:t>
            </m:r>
          </m:e>
          <m:sup>
            <m:r>
              <m:t>F</m:t>
            </m:r>
            <m:r>
              <m:t>C</m:t>
            </m:r>
          </m:sup>
        </m:sSup>
      </m:oMath>
      <w:r>
        <w:t xml:space="preserve"> </w:t>
      </w:r>
      <w:r>
        <w:t xml:space="preserve">maps item features to temporal context, and</w:t>
      </w:r>
      <w:r>
        <w:t xml:space="preserve"> </w:t>
      </w:r>
      <m:oMath>
        <m:sSup>
          <m:e>
            <m:r>
              <m:t>M</m:t>
            </m:r>
          </m:e>
          <m:sup>
            <m:r>
              <m:t>C</m:t>
            </m:r>
            <m:r>
              <m:t>F</m:t>
            </m:r>
          </m:sup>
        </m:sSup>
      </m:oMath>
      <w:r>
        <w:t xml:space="preserve"> </w:t>
      </w:r>
      <w:r>
        <w:t xml:space="preserve">maps temporal context to item features.</w:t>
      </w:r>
    </w:p>
    <w:tbl>
      <w:tblPr>
        <w:tblStyle w:val="Table"/>
        <w:tblW w:type="pct" w:w="5000"/>
        <w:tblLayout w:type="fixed"/>
        <w:tblLook w:firstRow="0" w:lastRow="0" w:firstColumn="0" w:lastColumn="0" w:noHBand="0" w:noVBand="0" w:val="0000"/>
      </w:tblPr>
      <w:tblGrid>
        <w:gridCol w:w="7920"/>
      </w:tblGrid>
      <w:tr>
        <w:tc>
          <w:tcPr/>
          <w:bookmarkStart w:id="20" w:name="tbl-ecmr-parameters"/>
          <w:p>
            <w:pPr>
              <w:jc w:val="center"/>
            </w:pPr>
            <w:pPr>
              <w:jc w:val="start"/>
              <w:spacing w:before="200"/>
              <w:pStyle w:val="ImageCaption"/>
            </w:pPr>
            <w:r>
              <w:t xml:space="preserve">Table 1: Parameters and structures specifying eCMR.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Symbol</w:t>
                  </w:r>
                </w:p>
              </w:tc>
              <w:tc>
                <w:tcPr/>
                <w:p>
                  <w:pPr>
                    <w:pStyle w:val="Compact"/>
                    <w:jc w:val="left"/>
                    <w:jc w:val="center"/>
                  </w:pPr>
                  <w:r>
                    <w:t xml:space="preserve">Name</w:t>
                  </w:r>
                </w:p>
              </w:tc>
              <w:tc>
                <w:tcPr/>
                <w:p>
                  <w:pPr>
                    <w:pStyle w:val="Compact"/>
                    <w:jc w:val="left"/>
                    <w:jc w:val="center"/>
                  </w:pPr>
                  <w:r>
                    <w:t xml:space="preserve">Description</w:t>
                  </w:r>
                </w:p>
              </w:tc>
            </w:tr>
            <w:tr>
              <w:tc>
                <w:tcPr/>
                <w:p>
                  <w:pPr>
                    <w:pStyle w:val="Compact"/>
                    <w:jc w:val="left"/>
                    <w:jc w:val="center"/>
                  </w:pPr>
                  <m:oMath>
                    <m:sSup>
                      <m:e>
                        <m:r>
                          <m:t>c</m:t>
                        </m:r>
                      </m:e>
                      <m:sup>
                        <m:r>
                          <m:t>T</m:t>
                        </m:r>
                      </m:sup>
                    </m:sSup>
                  </m:oMath>
                </w:p>
              </w:tc>
              <w:tc>
                <w:tcPr/>
                <w:p>
                  <w:pPr>
                    <w:pStyle w:val="Compact"/>
                    <w:jc w:val="left"/>
                    <w:jc w:val="center"/>
                  </w:pPr>
                  <w:r>
                    <w:t xml:space="preserve">temporal context</w:t>
                  </w:r>
                </w:p>
              </w:tc>
              <w:tc>
                <w:tcPr/>
                <w:p>
                  <w:pPr>
                    <w:pStyle w:val="Compact"/>
                    <w:jc w:val="left"/>
                    <w:jc w:val="center"/>
                  </w:pPr>
                  <w:r>
                    <w:t xml:space="preserve">Recency-weighted summary of prior items</w:t>
                  </w:r>
                </w:p>
              </w:tc>
            </w:tr>
            <w:tr>
              <w:tc>
                <w:tcPr/>
                <w:p>
                  <w:pPr>
                    <w:pStyle w:val="Compact"/>
                    <w:jc w:val="left"/>
                    <w:jc w:val="center"/>
                  </w:pPr>
                  <m:oMath>
                    <m:sSub>
                      <m:e>
                        <m:r>
                          <m:t>f</m:t>
                        </m:r>
                      </m:e>
                      <m:sub>
                        <m:r>
                          <m:t>i</m:t>
                        </m:r>
                      </m:sub>
                    </m:sSub>
                  </m:oMath>
                </w:p>
              </w:tc>
              <w:tc>
                <w:tcPr/>
                <w:p>
                  <w:pPr>
                    <w:pStyle w:val="Compact"/>
                    <w:jc w:val="left"/>
                    <w:jc w:val="center"/>
                  </w:pPr>
                  <w:r>
                    <w:t xml:space="preserve">item features</w:t>
                  </w:r>
                </w:p>
              </w:tc>
              <w:tc>
                <w:tcPr/>
                <w:p>
                  <w:pPr>
                    <w:pStyle w:val="Compact"/>
                    <w:jc w:val="left"/>
                    <w:jc w:val="center"/>
                  </w:pPr>
                  <w:r>
                    <w:t xml:space="preserve">One-hot representation of item</w:t>
                  </w:r>
                  <w:r>
                    <w:t xml:space="preserve"> </w:t>
                  </w:r>
                  <m:oMath>
                    <m:r>
                      <m:t>i</m:t>
                    </m:r>
                  </m:oMath>
                </w:p>
              </w:tc>
            </w:tr>
            <w:tr>
              <w:tc>
                <w:tcPr/>
                <w:p>
                  <w:pPr>
                    <w:pStyle w:val="Compact"/>
                    <w:jc w:val="left"/>
                    <w:jc w:val="center"/>
                  </w:pPr>
                  <m:oMath>
                    <m:sSup>
                      <m:e>
                        <m:r>
                          <m:t>M</m:t>
                        </m:r>
                      </m:e>
                      <m:sup>
                        <m:r>
                          <m:t>F</m:t>
                        </m:r>
                        <m:r>
                          <m:t>C</m:t>
                        </m:r>
                      </m:sup>
                    </m:sSup>
                  </m:oMath>
                </w:p>
              </w:tc>
              <w:tc>
                <w:tcPr/>
                <w:p>
                  <w:pPr>
                    <w:pStyle w:val="Compact"/>
                    <w:jc w:val="left"/>
                    <w:jc w:val="center"/>
                  </w:pPr>
                  <w:r>
                    <w:t xml:space="preserve">item-to-temporal-context memory</w:t>
                  </w:r>
                </w:p>
              </w:tc>
              <w:tc>
                <w:tcPr/>
                <w:p>
                  <w:pPr>
                    <w:pStyle w:val="Compact"/>
                    <w:jc w:val="left"/>
                    <w:jc w:val="center"/>
                  </w:pPr>
                  <w:r>
                    <w:t xml:space="preserve">Feature-to-context associations</w:t>
                  </w:r>
                </w:p>
              </w:tc>
            </w:tr>
            <w:tr>
              <w:tc>
                <w:tcPr/>
                <w:p>
                  <w:pPr>
                    <w:pStyle w:val="Compact"/>
                    <w:jc w:val="left"/>
                    <w:jc w:val="center"/>
                  </w:pPr>
                  <m:oMath>
                    <m:sSup>
                      <m:e>
                        <m:r>
                          <m:t>M</m:t>
                        </m:r>
                      </m:e>
                      <m:sup>
                        <m:r>
                          <m:t>C</m:t>
                        </m:r>
                        <m:r>
                          <m:t>F</m:t>
                        </m:r>
                      </m:sup>
                    </m:sSup>
                  </m:oMath>
                </w:p>
              </w:tc>
              <w:tc>
                <w:tcPr/>
                <w:p>
                  <w:pPr>
                    <w:pStyle w:val="Compact"/>
                    <w:jc w:val="left"/>
                    <w:jc w:val="center"/>
                  </w:pPr>
                  <w:r>
                    <w:t xml:space="preserve">context-to-item memory</w:t>
                  </w:r>
                </w:p>
              </w:tc>
              <w:tc>
                <w:tcPr/>
                <w:p>
                  <w:pPr>
                    <w:pStyle w:val="Compact"/>
                    <w:jc w:val="left"/>
                    <w:jc w:val="center"/>
                  </w:pPr>
                  <w:r>
                    <w:t xml:space="preserve">Temporal context cueing item features</w:t>
                  </w:r>
                </w:p>
              </w:tc>
            </w:tr>
            <w:tr>
              <w:tc>
                <w:tcPr/>
                <w:p>
                  <w:pPr>
                    <w:pStyle w:val="Compact"/>
                    <w:jc w:val="left"/>
                    <w:jc w:val="center"/>
                  </w:pPr>
                  <m:oMath>
                    <m:sSub>
                      <m:e>
                        <m:r>
                          <m:t>β</m:t>
                        </m:r>
                      </m:e>
                      <m:sub>
                        <m:r>
                          <m:t>e</m:t>
                        </m:r>
                        <m:r>
                          <m:t>n</m:t>
                        </m:r>
                        <m:r>
                          <m:t>c</m:t>
                        </m:r>
                      </m:sub>
                    </m:sSub>
                  </m:oMath>
                </w:p>
              </w:tc>
              <w:tc>
                <w:tcPr/>
                <w:p>
                  <w:pPr>
                    <w:pStyle w:val="Compact"/>
                    <w:jc w:val="left"/>
                    <w:jc w:val="center"/>
                  </w:pPr>
                  <w:r>
                    <w:t xml:space="preserve">encoding drift rate</w:t>
                  </w:r>
                </w:p>
              </w:tc>
              <w:tc>
                <w:tcPr/>
                <w:p>
                  <w:pPr>
                    <w:pStyle w:val="Compact"/>
                    <w:jc w:val="left"/>
                    <w:jc w:val="center"/>
                  </w:pPr>
                  <w:r>
                    <w:t xml:space="preserve">Integration rate of temporal context during encoding</w:t>
                  </w:r>
                </w:p>
              </w:tc>
            </w:tr>
            <w:tr>
              <w:tc>
                <w:tcPr/>
                <w:p>
                  <w:pPr>
                    <w:pStyle w:val="Compact"/>
                    <w:jc w:val="left"/>
                    <w:jc w:val="center"/>
                  </w:pPr>
                  <m:oMath>
                    <m:sSub>
                      <m:e>
                        <m:r>
                          <m:t>β</m:t>
                        </m:r>
                      </m:e>
                      <m:sub>
                        <m:r>
                          <m:t>s</m:t>
                        </m:r>
                        <m:r>
                          <m:t>t</m:t>
                        </m:r>
                        <m:r>
                          <m:t>a</m:t>
                        </m:r>
                        <m:r>
                          <m:t>r</m:t>
                        </m:r>
                        <m:r>
                          <m:t>t</m:t>
                        </m:r>
                      </m:sub>
                    </m:sSub>
                  </m:oMath>
                </w:p>
              </w:tc>
              <w:tc>
                <w:tcPr/>
                <w:p>
                  <w:pPr>
                    <w:pStyle w:val="Compact"/>
                    <w:jc w:val="left"/>
                    <w:jc w:val="center"/>
                  </w:pPr>
                  <w:r>
                    <w:t xml:space="preserve">start drift rate</w:t>
                  </w:r>
                </w:p>
              </w:tc>
              <w:tc>
                <w:tcPr/>
                <w:p>
                  <w:pPr>
                    <w:pStyle w:val="Compact"/>
                    <w:jc w:val="left"/>
                    <w:jc w:val="center"/>
                  </w:pPr>
                  <w:r>
                    <w:t xml:space="preserve">Start-list context integration at recall onset</w:t>
                  </w:r>
                </w:p>
              </w:tc>
            </w:tr>
            <w:tr>
              <w:tc>
                <w:tcPr/>
                <w:p>
                  <w:pPr>
                    <w:pStyle w:val="Compact"/>
                    <w:jc w:val="left"/>
                    <w:jc w:val="center"/>
                  </w:pPr>
                  <m:oMath>
                    <m:sSub>
                      <m:e>
                        <m:r>
                          <m:t>β</m:t>
                        </m:r>
                      </m:e>
                      <m:sub>
                        <m:r>
                          <m:t>r</m:t>
                        </m:r>
                        <m:r>
                          <m:t>e</m:t>
                        </m:r>
                        <m:r>
                          <m:t>c</m:t>
                        </m:r>
                      </m:sub>
                    </m:sSub>
                  </m:oMath>
                </w:p>
              </w:tc>
              <w:tc>
                <w:tcPr/>
                <w:p>
                  <w:pPr>
                    <w:pStyle w:val="Compact"/>
                    <w:jc w:val="left"/>
                    <w:jc w:val="center"/>
                  </w:pPr>
                  <w:r>
                    <w:t xml:space="preserve">recall drift rate</w:t>
                  </w:r>
                </w:p>
              </w:tc>
              <w:tc>
                <w:tcPr/>
                <w:p>
                  <w:pPr>
                    <w:pStyle w:val="Compact"/>
                    <w:jc w:val="left"/>
                    <w:jc w:val="center"/>
                  </w:pPr>
                  <w:r>
                    <w:t xml:space="preserve">Integration rate of temporal context during recall</w:t>
                  </w:r>
                </w:p>
              </w:tc>
            </w:tr>
            <w:tr>
              <w:tc>
                <w:tcPr/>
                <w:p>
                  <w:pPr>
                    <w:pStyle w:val="Compact"/>
                    <w:jc w:val="left"/>
                    <w:jc w:val="center"/>
                  </w:pPr>
                  <m:oMath>
                    <m:r>
                      <m:t>α</m:t>
                    </m:r>
                  </m:oMath>
                </w:p>
              </w:tc>
              <w:tc>
                <w:tcPr/>
                <w:p>
                  <w:pPr>
                    <w:pStyle w:val="Compact"/>
                    <w:jc w:val="left"/>
                    <w:jc w:val="center"/>
                  </w:pPr>
                  <w:r>
                    <w:t xml:space="preserve">shared support</w:t>
                  </w:r>
                </w:p>
              </w:tc>
              <w:tc>
                <w:tcPr/>
                <w:p>
                  <w:pPr>
                    <w:pStyle w:val="Compact"/>
                    <w:jc w:val="left"/>
                    <w:jc w:val="center"/>
                  </w:pPr>
                  <w:r>
                    <w:t xml:space="preserve">Uniform pre-experimental support in</w:t>
                  </w:r>
                  <w:r>
                    <w:t xml:space="preserve"> </w:t>
                  </w:r>
                  <m:oMath>
                    <m:sSup>
                      <m:e>
                        <m:r>
                          <m:t>M</m:t>
                        </m:r>
                      </m:e>
                      <m:sup>
                        <m:r>
                          <m:t>C</m:t>
                        </m:r>
                        <m:r>
                          <m:t>F</m:t>
                        </m:r>
                      </m:sup>
                    </m:sSup>
                  </m:oMath>
                </w:p>
              </w:tc>
            </w:tr>
            <w:tr>
              <w:tc>
                <w:tcPr/>
                <w:p>
                  <w:pPr>
                    <w:pStyle w:val="Compact"/>
                    <w:jc w:val="left"/>
                    <w:jc w:val="center"/>
                  </w:pPr>
                  <m:oMath>
                    <m:r>
                      <m:t>δ</m:t>
                    </m:r>
                  </m:oMath>
                </w:p>
              </w:tc>
              <w:tc>
                <w:tcPr/>
                <w:p>
                  <w:pPr>
                    <w:pStyle w:val="Compact"/>
                    <w:jc w:val="left"/>
                    <w:jc w:val="center"/>
                  </w:pPr>
                  <w:r>
                    <w:t xml:space="preserve">item support</w:t>
                  </w:r>
                </w:p>
              </w:tc>
              <w:tc>
                <w:tcPr/>
                <w:p>
                  <w:pPr>
                    <w:pStyle w:val="Compact"/>
                    <w:jc w:val="left"/>
                    <w:jc w:val="center"/>
                  </w:pPr>
                  <w:r>
                    <w:t xml:space="preserve">Self-support in</w:t>
                  </w:r>
                  <w:r>
                    <w:t xml:space="preserve"> </w:t>
                  </w:r>
                  <m:oMath>
                    <m:sSup>
                      <m:e>
                        <m:r>
                          <m:t>M</m:t>
                        </m:r>
                      </m:e>
                      <m:sup>
                        <m:r>
                          <m:t>C</m:t>
                        </m:r>
                        <m:r>
                          <m:t>F</m:t>
                        </m:r>
                      </m:sup>
                    </m:sSup>
                  </m:oMath>
                </w:p>
              </w:tc>
            </w:tr>
            <w:tr>
              <w:tc>
                <w:tcPr/>
                <w:p>
                  <w:pPr>
                    <w:pStyle w:val="Compact"/>
                    <w:jc w:val="left"/>
                    <w:jc w:val="center"/>
                  </w:pPr>
                  <m:oMath>
                    <m:r>
                      <m:t>γ</m:t>
                    </m:r>
                  </m:oMath>
                </w:p>
              </w:tc>
              <w:tc>
                <w:tcPr/>
                <w:p>
                  <w:pPr>
                    <w:pStyle w:val="Compact"/>
                    <w:jc w:val="left"/>
                    <w:jc w:val="center"/>
                  </w:pPr>
                  <w:r>
                    <w:t xml:space="preserve">learning rate</w:t>
                  </w:r>
                </w:p>
              </w:tc>
              <w:tc>
                <w:tcPr/>
                <w:p>
                  <w:pPr>
                    <w:pStyle w:val="Compact"/>
                    <w:jc w:val="left"/>
                    <w:jc w:val="center"/>
                  </w:pPr>
                  <w:r>
                    <w:t xml:space="preserve">Feature-to-context learning rate in</w:t>
                  </w:r>
                  <w:r>
                    <w:t xml:space="preserve"> </w:t>
                  </w:r>
                  <m:oMath>
                    <m:sSup>
                      <m:e>
                        <m:r>
                          <m:t>M</m:t>
                        </m:r>
                      </m:e>
                      <m:sup>
                        <m:r>
                          <m:t>F</m:t>
                        </m:r>
                        <m:r>
                          <m:t>C</m:t>
                        </m:r>
                      </m:sup>
                    </m:sSup>
                  </m:oMath>
                </w:p>
              </w:tc>
            </w:tr>
            <w:tr>
              <w:tc>
                <w:tcPr/>
                <w:p>
                  <w:pPr>
                    <w:pStyle w:val="Compact"/>
                    <w:jc w:val="left"/>
                    <w:jc w:val="center"/>
                  </w:pPr>
                  <m:oMath>
                    <m:sSub>
                      <m:e>
                        <m:r>
                          <m:t>ϕ</m:t>
                        </m:r>
                      </m:e>
                      <m:sub>
                        <m:r>
                          <m:t>s</m:t>
                        </m:r>
                      </m:sub>
                    </m:sSub>
                  </m:oMath>
                </w:p>
              </w:tc>
              <w:tc>
                <w:tcPr/>
                <w:p>
                  <w:pPr>
                    <w:pStyle w:val="Compact"/>
                    <w:jc w:val="left"/>
                    <w:jc w:val="center"/>
                  </w:pPr>
                  <w:r>
                    <w:t xml:space="preserve">primacy scale</w:t>
                  </w:r>
                </w:p>
              </w:tc>
              <w:tc>
                <w:tcPr/>
                <w:p>
                  <w:pPr>
                    <w:pStyle w:val="Compact"/>
                    <w:jc w:val="left"/>
                    <w:jc w:val="center"/>
                  </w:pPr>
                  <w:r>
                    <w:t xml:space="preserve">Initial boost to</w:t>
                  </w:r>
                  <w:r>
                    <w:t xml:space="preserve"> </w:t>
                  </w:r>
                  <m:oMath>
                    <m:sSup>
                      <m:e>
                        <m:r>
                          <m:t>M</m:t>
                        </m:r>
                      </m:e>
                      <m:sup>
                        <m:r>
                          <m:t>C</m:t>
                        </m:r>
                        <m:r>
                          <m:t>F</m:t>
                        </m:r>
                      </m:sup>
                    </m:sSup>
                  </m:oMath>
                  <w:r>
                    <w:t xml:space="preserve"> </w:t>
                  </w:r>
                  <w:r>
                    <w:t xml:space="preserve">learning</w:t>
                  </w:r>
                </w:p>
              </w:tc>
            </w:tr>
            <w:tr>
              <w:tc>
                <w:tcPr/>
                <w:p>
                  <w:pPr>
                    <w:pStyle w:val="Compact"/>
                    <w:jc w:val="left"/>
                    <w:jc w:val="center"/>
                  </w:pPr>
                  <m:oMath>
                    <m:sSub>
                      <m:e>
                        <m:r>
                          <m:t>ϕ</m:t>
                        </m:r>
                      </m:e>
                      <m:sub>
                        <m:r>
                          <m:t>d</m:t>
                        </m:r>
                      </m:sub>
                    </m:sSub>
                  </m:oMath>
                </w:p>
              </w:tc>
              <w:tc>
                <w:tcPr/>
                <w:p>
                  <w:pPr>
                    <w:pStyle w:val="Compact"/>
                    <w:jc w:val="left"/>
                    <w:jc w:val="center"/>
                  </w:pPr>
                  <w:r>
                    <w:t xml:space="preserve">primacy decay</w:t>
                  </w:r>
                </w:p>
              </w:tc>
              <w:tc>
                <w:tcPr/>
                <w:p>
                  <w:pPr>
                    <w:pStyle w:val="Compact"/>
                    <w:jc w:val="left"/>
                    <w:jc w:val="center"/>
                  </w:pPr>
                  <w:r>
                    <w:t xml:space="preserve">Decay rate of the primacy boost</w:t>
                  </w:r>
                </w:p>
              </w:tc>
            </w:tr>
            <w:tr>
              <w:tc>
                <w:tcPr/>
                <w:p>
                  <w:pPr>
                    <w:pStyle w:val="Compact"/>
                    <w:jc w:val="left"/>
                    <w:jc w:val="center"/>
                  </w:pPr>
                  <m:oMath>
                    <m:sSub>
                      <m:e>
                        <m:r>
                          <m:t>τ</m:t>
                        </m:r>
                      </m:e>
                      <m:sub>
                        <m:r>
                          <m:t>c</m:t>
                        </m:r>
                      </m:sub>
                    </m:sSub>
                  </m:oMath>
                </w:p>
              </w:tc>
              <w:tc>
                <w:tcPr/>
                <w:p>
                  <w:pPr>
                    <w:pStyle w:val="Compact"/>
                    <w:jc w:val="left"/>
                    <w:jc w:val="center"/>
                  </w:pPr>
                  <w:r>
                    <w:t xml:space="preserve">choice sensitivity</w:t>
                  </w:r>
                </w:p>
              </w:tc>
              <w:tc>
                <w:tcPr/>
                <w:p>
                  <w:pPr>
                    <w:pStyle w:val="Compact"/>
                    <w:jc w:val="left"/>
                    <w:jc w:val="center"/>
                  </w:pPr>
                  <w:r>
                    <w:t xml:space="preserve">Exponent for Luce-style competition</w:t>
                  </w:r>
                </w:p>
              </w:tc>
            </w:tr>
            <w:tr>
              <w:tc>
                <w:tcPr/>
                <w:p>
                  <w:pPr>
                    <w:pStyle w:val="Compact"/>
                    <w:jc w:val="left"/>
                    <w:jc w:val="center"/>
                  </w:pPr>
                  <m:oMath>
                    <m:sSub>
                      <m:e>
                        <m:r>
                          <m:t>ϕ</m:t>
                        </m:r>
                      </m:e>
                      <m:sub>
                        <m:r>
                          <m:t>e</m:t>
                        </m:r>
                        <m:r>
                          <m:t>m</m:t>
                        </m:r>
                        <m:r>
                          <m:t>o</m:t>
                        </m:r>
                        <m:r>
                          <m:t>t</m:t>
                        </m:r>
                      </m:sub>
                    </m:sSub>
                  </m:oMath>
                </w:p>
              </w:tc>
              <w:tc>
                <w:tcPr/>
                <w:p>
                  <w:pPr>
                    <w:pStyle w:val="Compact"/>
                    <w:jc w:val="left"/>
                    <w:jc w:val="center"/>
                  </w:pPr>
                  <w:r>
                    <w:t xml:space="preserve">emotional learning boost</w:t>
                  </w:r>
                </w:p>
              </w:tc>
              <w:tc>
                <w:tcPr/>
                <w:p>
                  <w:pPr>
                    <w:pStyle w:val="Compact"/>
                    <w:jc w:val="left"/>
                    <w:jc w:val="center"/>
                  </w:pPr>
                  <w:r>
                    <w:t xml:space="preserve">Value is</w:t>
                  </w:r>
                  <w:r>
                    <w:t xml:space="preserve"> </w:t>
                  </w:r>
                  <m:oMath>
                    <m:sSub>
                      <m:e>
                        <m:r>
                          <m:t>ϕ</m:t>
                        </m:r>
                      </m:e>
                      <m:sub>
                        <m:r>
                          <m:t>e</m:t>
                        </m:r>
                        <m:r>
                          <m:t>m</m:t>
                        </m:r>
                        <m:r>
                          <m:t>o</m:t>
                        </m:r>
                        <m:r>
                          <m:t>t</m:t>
                        </m:r>
                      </m:sub>
                    </m:sSub>
                  </m:oMath>
                  <w:r>
                    <w:t xml:space="preserve"> </w:t>
                  </w:r>
                  <w:r>
                    <w:t xml:space="preserve">for emotional items and 0 for neutral items</w:t>
                  </w:r>
                </w:p>
              </w:tc>
            </w:tr>
            <w:tr>
              <w:tc>
                <w:tcPr/>
                <w:p>
                  <w:pPr>
                    <w:pStyle w:val="Compact"/>
                    <w:jc w:val="left"/>
                    <w:jc w:val="center"/>
                  </w:pPr>
                  <m:oMath>
                    <m:sSub>
                      <m:e>
                        <m:r>
                          <m:t>L</m:t>
                        </m:r>
                      </m:e>
                      <m:sub>
                        <m:r>
                          <m:t>i</m:t>
                        </m:r>
                      </m:sub>
                    </m:sSub>
                  </m:oMath>
                </w:p>
              </w:tc>
              <w:tc>
                <w:tcPr/>
                <w:p>
                  <w:pPr>
                    <w:pStyle w:val="Compact"/>
                    <w:jc w:val="left"/>
                    <w:jc w:val="center"/>
                  </w:pPr>
                  <w:r>
                    <w:t xml:space="preserve">centered Early LPP</w:t>
                  </w:r>
                </w:p>
              </w:tc>
              <w:tc>
                <w:tcPr/>
                <w:p>
                  <w:pPr>
                    <w:pStyle w:val="Compact"/>
                    <w:jc w:val="left"/>
                    <w:jc w:val="center"/>
                  </w:pPr>
                  <w:r>
                    <w:t xml:space="preserve">List-centered Early LPP for item</w:t>
                  </w:r>
                  <w:r>
                    <w:t xml:space="preserve"> </w:t>
                  </w:r>
                  <m:oMath>
                    <m:r>
                      <m:t>i</m:t>
                    </m:r>
                  </m:oMath>
                </w:p>
              </w:tc>
            </w:tr>
            <w:tr>
              <w:tc>
                <w:tcPr/>
                <w:p>
                  <w:pPr>
                    <w:pStyle w:val="Compact"/>
                    <w:jc w:val="left"/>
                    <w:jc w:val="center"/>
                  </w:pPr>
                  <m:oMath>
                    <m:sSub>
                      <m:e>
                        <m:r>
                          <m:t>κ</m:t>
                        </m:r>
                      </m:e>
                      <m:sub>
                        <m:r>
                          <m:t>L</m:t>
                        </m:r>
                      </m:sub>
                    </m:sSub>
                  </m:oMath>
                </w:p>
              </w:tc>
              <w:tc>
                <w:tcPr/>
                <w:p>
                  <w:pPr>
                    <w:pStyle w:val="Compact"/>
                    <w:jc w:val="left"/>
                    <w:jc w:val="center"/>
                  </w:pPr>
                  <w:r>
                    <w:t xml:space="preserve">LPP main scale</w:t>
                  </w:r>
                </w:p>
              </w:tc>
              <w:tc>
                <w:tcPr/>
                <w:p>
                  <w:pPr>
                    <w:pStyle w:val="Compact"/>
                    <w:jc w:val="left"/>
                    <w:jc w:val="center"/>
                  </w:pPr>
                  <w:r>
                    <w:t xml:space="preserve">Slope for LPP main effect</w:t>
                  </w:r>
                </w:p>
              </w:tc>
            </w:tr>
            <w:tr>
              <w:tc>
                <w:tcPr/>
                <w:p>
                  <w:pPr>
                    <w:pStyle w:val="Compact"/>
                    <w:jc w:val="left"/>
                    <w:jc w:val="center"/>
                  </w:pPr>
                  <m:oMath>
                    <m:sSub>
                      <m:e>
                        <m:r>
                          <m:t>λ</m:t>
                        </m:r>
                      </m:e>
                      <m:sub>
                        <m:r>
                          <m:t>L</m:t>
                        </m:r>
                      </m:sub>
                    </m:sSub>
                  </m:oMath>
                </w:p>
              </w:tc>
              <w:tc>
                <w:tcPr/>
                <w:p>
                  <w:pPr>
                    <w:pStyle w:val="Compact"/>
                    <w:jc w:val="left"/>
                    <w:jc w:val="center"/>
                  </w:pPr>
                  <w:r>
                    <w:t xml:space="preserve">LPP main threshold</w:t>
                  </w:r>
                </w:p>
              </w:tc>
              <w:tc>
                <w:tcPr/>
                <w:p>
                  <w:pPr>
                    <w:pStyle w:val="Compact"/>
                    <w:jc w:val="left"/>
                    <w:jc w:val="center"/>
                  </w:pPr>
                  <w:r>
                    <w:t xml:space="preserve">Centering offset for the LPP main effect</w:t>
                  </w:r>
                </w:p>
              </w:tc>
            </w:tr>
            <w:tr>
              <w:tc>
                <w:tcPr/>
                <w:p>
                  <w:pPr>
                    <w:pStyle w:val="Compact"/>
                    <w:jc w:val="left"/>
                    <w:jc w:val="center"/>
                  </w:pPr>
                  <m:oMath>
                    <m:sSub>
                      <m:e>
                        <m:r>
                          <m:t>κ</m:t>
                        </m:r>
                      </m:e>
                      <m:sub>
                        <m:r>
                          <m:t>E</m:t>
                        </m:r>
                        <m:r>
                          <m:t>L</m:t>
                        </m:r>
                      </m:sub>
                    </m:sSub>
                  </m:oMath>
                </w:p>
              </w:tc>
              <w:tc>
                <w:tcPr/>
                <w:p>
                  <w:pPr>
                    <w:pStyle w:val="Compact"/>
                    <w:jc w:val="left"/>
                    <w:jc w:val="center"/>
                  </w:pPr>
                  <w:r>
                    <w:t xml:space="preserve">LPP interaction scale</w:t>
                  </w:r>
                </w:p>
              </w:tc>
              <w:tc>
                <w:tcPr/>
                <w:p>
                  <w:pPr>
                    <w:pStyle w:val="Compact"/>
                    <w:jc w:val="left"/>
                    <w:jc w:val="center"/>
                  </w:pPr>
                  <w:r>
                    <w:t xml:space="preserve">Slope for LPP-by-emotion interaction</w:t>
                  </w:r>
                </w:p>
              </w:tc>
            </w:tr>
            <w:tr>
              <w:tc>
                <w:tcPr/>
                <w:p>
                  <w:pPr>
                    <w:pStyle w:val="Compact"/>
                    <w:jc w:val="left"/>
                    <w:jc w:val="center"/>
                  </w:pPr>
                  <m:oMath>
                    <m:sSub>
                      <m:e>
                        <m:r>
                          <m:t>λ</m:t>
                        </m:r>
                      </m:e>
                      <m:sub>
                        <m:r>
                          <m:t>E</m:t>
                        </m:r>
                        <m:r>
                          <m:t>L</m:t>
                        </m:r>
                      </m:sub>
                    </m:sSub>
                  </m:oMath>
                </w:p>
              </w:tc>
              <w:tc>
                <w:tcPr/>
                <w:p>
                  <w:pPr>
                    <w:pStyle w:val="Compact"/>
                    <w:jc w:val="left"/>
                    <w:jc w:val="center"/>
                  </w:pPr>
                  <w:r>
                    <w:t xml:space="preserve">LPP interaction threshold</w:t>
                  </w:r>
                </w:p>
              </w:tc>
              <w:tc>
                <w:tcPr/>
                <w:p>
                  <w:pPr>
                    <w:pStyle w:val="Compact"/>
                    <w:jc w:val="left"/>
                    <w:jc w:val="center"/>
                  </w:pPr>
                  <w:r>
                    <w:t xml:space="preserve">Centering offset for the interaction term</w:t>
                  </w:r>
                </w:p>
              </w:tc>
            </w:tr>
          </w:tbl>
          <w:bookmarkEnd w:id="20"/>
          <w:p/>
        </w:tc>
      </w:tr>
    </w:tbl>
    <w:p>
      <w:pPr>
        <w:pStyle w:val="BodyText"/>
      </w:pPr>
      <w:r>
        <w:t xml:space="preserve">At the start of each list,</w:t>
      </w:r>
      <w:r>
        <w:t xml:space="preserve"> </w:t>
      </w:r>
      <m:oMath>
        <m:sSup>
          <m:e>
            <m:r>
              <m:t>M</m:t>
            </m:r>
          </m:e>
          <m:sup>
            <m:r>
              <m:t>F</m:t>
            </m:r>
            <m:r>
              <m:t>C</m:t>
            </m:r>
          </m:sup>
        </m:sSup>
      </m:oMath>
      <w:r>
        <w:t xml:space="preserve"> </w:t>
      </w:r>
      <w:r>
        <w:t xml:space="preserve">and</w:t>
      </w:r>
      <w:r>
        <w:t xml:space="preserve"> </w:t>
      </w:r>
      <m:oMath>
        <m:sSup>
          <m:e>
            <m:r>
              <m:t>M</m:t>
            </m:r>
          </m:e>
          <m:sup>
            <m:r>
              <m:t>C</m:t>
            </m:r>
            <m:r>
              <m:t>F</m:t>
            </m:r>
          </m:sup>
        </m:sSup>
      </m:oMath>
      <w:r>
        <w:t xml:space="preserve"> </w:t>
      </w:r>
      <w:r>
        <w:t xml:space="preserve">are initialized to pre-experimental values.</w:t>
      </w:r>
    </w:p>
    <w:p>
      <w:pPr>
        <w:pStyle w:val="BodyText"/>
      </w:pPr>
      <m:oMathPara>
        <m:oMathParaPr>
          <m:jc m:val="center"/>
        </m:oMathParaPr>
        <m:oMath>
          <m:sSubSup>
            <m:e>
              <m:r>
                <m:t>M</m:t>
              </m:r>
            </m:e>
            <m:sub>
              <m:r>
                <m:t>p</m:t>
              </m:r>
              <m:r>
                <m:t>r</m:t>
              </m:r>
              <m:r>
                <m:t>e</m:t>
              </m:r>
              <m:d>
                <m:dPr>
                  <m:begChr m:val="("/>
                  <m:endChr m:val=")"/>
                  <m:sepChr m:val=""/>
                  <m:grow/>
                </m:dPr>
                <m:e>
                  <m:r>
                    <m:t>i</m:t>
                  </m:r>
                  <m:r>
                    <m:t>j</m:t>
                  </m:r>
                </m:e>
              </m:d>
            </m:sub>
            <m:sup>
              <m:r>
                <m:t>F</m:t>
              </m:r>
              <m:r>
                <m:t>C</m:t>
              </m:r>
            </m:sup>
          </m:sSubSup>
          <m:r>
            <m:rPr>
              <m:sty m:val="p"/>
            </m:rPr>
            <m:t>=</m:t>
          </m:r>
          <m:d>
            <m:dPr>
              <m:begChr m:val="{"/>
              <m:endChr m:val=""/>
              <m:sep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i</m:t>
                    </m:r>
                    <m:r>
                      <m:rPr>
                        <m:sty m:val="p"/>
                      </m:rPr>
                      <m:t>=</m:t>
                    </m:r>
                    <m:r>
                      <m:t>j</m:t>
                    </m:r>
                  </m:e>
                </m:mr>
                <m:mr>
                  <m:e>
                    <m:r>
                      <m:t>0</m:t>
                    </m:r>
                  </m:e>
                  <m:e>
                    <m:r>
                      <m:rPr>
                        <m:nor/>
                        <m:sty m:val="p"/>
                      </m:rPr>
                      <m:t>if </m:t>
                    </m:r>
                    <m:r>
                      <m:t>i</m:t>
                    </m:r>
                    <m:r>
                      <m:rPr>
                        <m:sty m:val="p"/>
                      </m:rPr>
                      <m:t>≠</m:t>
                    </m:r>
                    <m:r>
                      <m:t>j</m:t>
                    </m:r>
                  </m:e>
                </m:mr>
              </m:m>
            </m:e>
          </m:d>
        </m:oMath>
      </m:oMathPara>
    </w:p>
    <w:p>
      <w:pPr>
        <w:pStyle w:val="FirstParagraph"/>
      </w:pPr>
      <m:oMathPara>
        <m:oMathParaPr>
          <m:jc m:val="center"/>
        </m:oMathParaPr>
        <m:oMath>
          <m:sSubSup>
            <m:e>
              <m:r>
                <m:t>M</m:t>
              </m:r>
            </m:e>
            <m:sub>
              <m:r>
                <m:t>p</m:t>
              </m:r>
              <m:r>
                <m:t>r</m:t>
              </m:r>
              <m:r>
                <m:t>e</m:t>
              </m:r>
              <m:d>
                <m:dPr>
                  <m:begChr m:val="("/>
                  <m:endChr m:val=")"/>
                  <m:sepChr m:val=""/>
                  <m:grow/>
                </m:dPr>
                <m:e>
                  <m:r>
                    <m:t>i</m:t>
                  </m:r>
                  <m:r>
                    <m:t>j</m:t>
                  </m:r>
                </m:e>
              </m:d>
            </m:sub>
            <m:sup>
              <m:r>
                <m:t>C</m:t>
              </m:r>
              <m:r>
                <m:t>F</m:t>
              </m:r>
            </m:sup>
          </m:sSubSup>
          <m:r>
            <m:rPr>
              <m:sty m:val="p"/>
            </m:rPr>
            <m:t>=</m:t>
          </m:r>
          <m:d>
            <m:dPr>
              <m:begChr m:val="{"/>
              <m:endChr m:val=""/>
              <m:sepChr m:val=""/>
              <m:grow/>
            </m:dPr>
            <m:e>
              <m:m>
                <m:mPr>
                  <m:baseJc m:val="center"/>
                  <m:plcHide m:val="on"/>
                  <m:mcs>
                    <m:mc>
                      <m:mcPr>
                        <m:mcJc m:val="left"/>
                        <m:count m:val="1"/>
                      </m:mcPr>
                    </m:mc>
                    <m:mc>
                      <m:mcPr>
                        <m:mcJc m:val="left"/>
                        <m:count m:val="1"/>
                      </m:mcPr>
                    </m:mc>
                  </m:mcs>
                </m:mPr>
                <m:mr>
                  <m:e>
                    <m:r>
                      <m:t>δ</m:t>
                    </m:r>
                  </m:e>
                  <m:e>
                    <m:r>
                      <m:rPr>
                        <m:nor/>
                        <m:sty m:val="p"/>
                      </m:rPr>
                      <m:t>if </m:t>
                    </m:r>
                    <m:r>
                      <m:t>i</m:t>
                    </m:r>
                    <m:r>
                      <m:rPr>
                        <m:sty m:val="p"/>
                      </m:rPr>
                      <m:t>=</m:t>
                    </m:r>
                    <m:r>
                      <m:t>j</m:t>
                    </m:r>
                  </m:e>
                </m:mr>
                <m:mr>
                  <m:e>
                    <m:r>
                      <m:t>α</m:t>
                    </m:r>
                  </m:e>
                  <m:e>
                    <m:r>
                      <m:rPr>
                        <m:nor/>
                        <m:sty m:val="p"/>
                      </m:rPr>
                      <m:t>if </m:t>
                    </m:r>
                    <m:r>
                      <m:t>i</m:t>
                    </m:r>
                    <m:r>
                      <m:rPr>
                        <m:sty m:val="p"/>
                      </m:rPr>
                      <m:t>≠</m:t>
                    </m:r>
                    <m:r>
                      <m:t>j</m:t>
                    </m:r>
                  </m:e>
                </m:mr>
              </m:m>
            </m:e>
          </m:d>
        </m:oMath>
      </m:oMathPara>
    </w:p>
    <w:p>
      <w:pPr>
        <w:pStyle w:val="FirstParagraph"/>
      </w:pPr>
      <m:oMath>
        <m:r>
          <m:t>γ</m:t>
        </m:r>
      </m:oMath>
      <w:r>
        <w:t xml:space="preserve"> </w:t>
      </w:r>
      <w:r>
        <w:t xml:space="preserve">scales the ratio of new feature-to-context associations formed during the experiment to pre-experimental item-context links.</w:t>
      </w:r>
      <w:r>
        <w:t xml:space="preserve"> </w:t>
      </w:r>
      <m:oMath>
        <m:r>
          <m:t>δ</m:t>
        </m:r>
      </m:oMath>
      <w:r>
        <w:t xml:space="preserve"> </w:t>
      </w:r>
      <w:r>
        <w:t xml:space="preserve">and</w:t>
      </w:r>
      <w:r>
        <w:t xml:space="preserve"> </w:t>
      </w:r>
      <m:oMath>
        <m:r>
          <m:t>α</m:t>
        </m:r>
      </m:oMath>
      <w:r>
        <w:t xml:space="preserve"> </w:t>
      </w:r>
      <w:r>
        <w:t xml:space="preserve">set pre-experimental self-support and shared support in context-to-feature memory, respectively.</w:t>
      </w:r>
    </w:p>
    <w:p>
      <w:pPr>
        <w:pStyle w:val="BodyText"/>
      </w:pPr>
      <w:r>
        <w:t xml:space="preserve">During encoding, temporal contextual input is retrieved as</w:t>
      </w:r>
      <w:r>
        <w:t xml:space="preserve"> </w:t>
      </w:r>
      <m:oMath>
        <m:sSubSup>
          <m:e>
            <m:r>
              <m:t>c</m:t>
            </m:r>
          </m:e>
          <m:sub>
            <m:r>
              <m:t>i</m:t>
            </m:r>
          </m:sub>
          <m:sup>
            <m:r>
              <m:t>I</m:t>
            </m:r>
            <m:r>
              <m:t>N</m:t>
            </m:r>
          </m:sup>
        </m:sSubSup>
        <m:r>
          <m:rPr>
            <m:sty m:val="p"/>
          </m:rPr>
          <m:t>=</m:t>
        </m:r>
        <m:sSup>
          <m:e>
            <m:r>
              <m:t>M</m:t>
            </m:r>
          </m:e>
          <m:sup>
            <m:r>
              <m:t>F</m:t>
            </m:r>
            <m:r>
              <m:t>C</m:t>
            </m:r>
          </m:sup>
        </m:sSup>
        <m:sSub>
          <m:e>
            <m:r>
              <m:t>f</m:t>
            </m:r>
          </m:e>
          <m:sub>
            <m:r>
              <m:t>i</m:t>
            </m:r>
          </m:sub>
        </m:sSub>
      </m:oMath>
      <w:r>
        <w:t xml:space="preserve"> </w:t>
      </w:r>
      <w:r>
        <w:t xml:space="preserve">and normalized to unit length.</w:t>
      </w:r>
      <w:r>
        <w:t xml:space="preserve"> </w:t>
      </w:r>
      <w:r>
        <w:t xml:space="preserve">Temporal context updates according to</w:t>
      </w:r>
    </w:p>
    <w:p>
      <w:pPr>
        <w:pStyle w:val="BodyText"/>
      </w:pPr>
      <m:oMathPara>
        <m:oMathParaPr>
          <m:jc m:val="center"/>
        </m:oMathParaPr>
        <m:oMath>
          <m:sSubSup>
            <m:e>
              <m:r>
                <m:t>c</m:t>
              </m:r>
            </m:e>
            <m:sub>
              <m:r>
                <m:t>i</m:t>
              </m:r>
            </m:sub>
            <m:sup>
              <m:r>
                <m:t>T</m:t>
              </m:r>
            </m:sup>
          </m:sSubSup>
          <m:r>
            <m:rPr>
              <m:sty m:val="p"/>
            </m:rPr>
            <m:t>=</m:t>
          </m:r>
          <m:sSub>
            <m:e>
              <m:r>
                <m:t>ρ</m:t>
              </m:r>
            </m:e>
            <m:sub>
              <m:r>
                <m:t>i</m:t>
              </m:r>
            </m:sub>
          </m:sSub>
          <m:sSubSup>
            <m:e>
              <m:r>
                <m:t>c</m:t>
              </m:r>
            </m:e>
            <m:sub>
              <m:r>
                <m:t>i</m:t>
              </m:r>
              <m:r>
                <m:rPr>
                  <m:sty m:val="p"/>
                </m:rPr>
                <m:t>−</m:t>
              </m:r>
              <m:r>
                <m:t>1</m:t>
              </m:r>
            </m:sub>
            <m:sup>
              <m:r>
                <m:t>T</m:t>
              </m:r>
            </m:sup>
          </m:sSubSup>
          <m:r>
            <m:rPr>
              <m:sty m:val="p"/>
            </m:rPr>
            <m:t>+</m:t>
          </m:r>
          <m:sSub>
            <m:e>
              <m:r>
                <m:t>β</m:t>
              </m:r>
            </m:e>
            <m:sub>
              <m:r>
                <m:t>e</m:t>
              </m:r>
              <m:r>
                <m:t>n</m:t>
              </m:r>
              <m:r>
                <m:t>c</m:t>
              </m:r>
            </m:sub>
          </m:sSub>
          <m:sSubSup>
            <m:e>
              <m:r>
                <m:t>c</m:t>
              </m:r>
            </m:e>
            <m:sub>
              <m:r>
                <m:t>i</m:t>
              </m:r>
            </m:sub>
            <m:sup>
              <m:r>
                <m:t>I</m:t>
              </m:r>
              <m:r>
                <m:t>N</m:t>
              </m:r>
            </m:sup>
          </m:sSubSup>
        </m:oMath>
      </m:oMathPara>
    </w:p>
    <w:p>
      <w:pPr>
        <w:pStyle w:val="FirstParagraph"/>
      </w:pPr>
      <m:oMathPara>
        <m:oMathParaPr>
          <m:jc m:val="center"/>
        </m:oMathParaPr>
        <m:oMath>
          <m:sSub>
            <m:e>
              <m:r>
                <m:t>ρ</m:t>
              </m:r>
            </m:e>
            <m:sub>
              <m:r>
                <m:t>i</m:t>
              </m:r>
            </m:sub>
          </m:sSub>
          <m:r>
            <m:rPr>
              <m:sty m:val="p"/>
            </m:rPr>
            <m:t>=</m:t>
          </m:r>
          <m:rad>
            <m:radPr>
              <m:degHide m:val="on"/>
            </m:radPr>
            <m:deg/>
            <m:e>
              <m:r>
                <m:t>1</m:t>
              </m:r>
              <m:r>
                <m:rPr>
                  <m:sty m:val="p"/>
                </m:rPr>
                <m:t>+</m:t>
              </m:r>
              <m:sSubSup>
                <m:e>
                  <m:r>
                    <m:t>β</m:t>
                  </m:r>
                </m:e>
                <m:sub>
                  <m:r>
                    <m:t>e</m:t>
                  </m:r>
                  <m:r>
                    <m:t>n</m:t>
                  </m:r>
                  <m:r>
                    <m:t>c</m:t>
                  </m:r>
                </m:sub>
                <m:sup>
                  <m:r>
                    <m:t>2</m:t>
                  </m:r>
                </m:sup>
              </m:sSubSup>
              <m:d>
                <m:dPr>
                  <m:begChr m:val="["/>
                  <m:endChr m:val="]"/>
                  <m:sepChr m:val=""/>
                  <m:grow/>
                </m:dPr>
                <m:e>
                  <m:sSup>
                    <m:e>
                      <m:d>
                        <m:dPr>
                          <m:begChr m:val="("/>
                          <m:endChr m:val=")"/>
                          <m:sepChr m:val=""/>
                          <m:grow/>
                        </m:dPr>
                        <m:e>
                          <m:sSubSup>
                            <m:e>
                              <m:r>
                                <m:t>c</m:t>
                              </m:r>
                            </m:e>
                            <m:sub>
                              <m:r>
                                <m:t>i</m:t>
                              </m:r>
                              <m:r>
                                <m:rPr>
                                  <m:sty m:val="p"/>
                                </m:rPr>
                                <m:t>−</m:t>
                              </m:r>
                              <m:r>
                                <m:t>1</m:t>
                              </m:r>
                            </m:sub>
                            <m:sup>
                              <m:r>
                                <m:t>T</m:t>
                              </m:r>
                            </m:sup>
                          </m:sSubSup>
                          <m:r>
                            <m:rPr>
                              <m:sty m:val="p"/>
                            </m:rPr>
                            <m:t>⋅</m:t>
                          </m:r>
                          <m:sSubSup>
                            <m:e>
                              <m:r>
                                <m:t>c</m:t>
                              </m:r>
                            </m:e>
                            <m:sub>
                              <m:r>
                                <m:t>i</m:t>
                              </m:r>
                            </m:sub>
                            <m:sup>
                              <m:r>
                                <m:t>I</m:t>
                              </m:r>
                              <m:r>
                                <m:t>N</m:t>
                              </m:r>
                            </m:sup>
                          </m:sSubSup>
                        </m:e>
                      </m:d>
                    </m:e>
                    <m:sup>
                      <m:r>
                        <m:t>2</m:t>
                      </m:r>
                    </m:sup>
                  </m:sSup>
                  <m:r>
                    <m:rPr>
                      <m:sty m:val="p"/>
                    </m:rPr>
                    <m:t>−</m:t>
                  </m:r>
                  <m:r>
                    <m:t>1</m:t>
                  </m:r>
                </m:e>
              </m:d>
            </m:e>
          </m:rad>
          <m:r>
            <m:rPr>
              <m:sty m:val="p"/>
            </m:rPr>
            <m:t>−</m:t>
          </m:r>
          <m:sSub>
            <m:e>
              <m:r>
                <m:t>β</m:t>
              </m:r>
            </m:e>
            <m:sub>
              <m:r>
                <m:t>e</m:t>
              </m:r>
              <m:r>
                <m:t>n</m:t>
              </m:r>
              <m:r>
                <m:t>c</m:t>
              </m:r>
            </m:sub>
          </m:sSub>
          <m:d>
            <m:dPr>
              <m:begChr m:val="("/>
              <m:endChr m:val=")"/>
              <m:sepChr m:val=""/>
              <m:grow/>
            </m:dPr>
            <m:e>
              <m:sSubSup>
                <m:e>
                  <m:r>
                    <m:t>c</m:t>
                  </m:r>
                </m:e>
                <m:sub>
                  <m:r>
                    <m:t>i</m:t>
                  </m:r>
                  <m:r>
                    <m:rPr>
                      <m:sty m:val="p"/>
                    </m:rPr>
                    <m:t>−</m:t>
                  </m:r>
                  <m:r>
                    <m:t>1</m:t>
                  </m:r>
                </m:sub>
                <m:sup>
                  <m:r>
                    <m:t>T</m:t>
                  </m:r>
                </m:sup>
              </m:sSubSup>
              <m:r>
                <m:rPr>
                  <m:sty m:val="p"/>
                </m:rPr>
                <m:t>⋅</m:t>
              </m:r>
              <m:sSubSup>
                <m:e>
                  <m:r>
                    <m:t>c</m:t>
                  </m:r>
                </m:e>
                <m:sub>
                  <m:r>
                    <m:t>i</m:t>
                  </m:r>
                </m:sub>
                <m:sup>
                  <m:r>
                    <m:t>I</m:t>
                  </m:r>
                  <m:r>
                    <m:t>N</m:t>
                  </m:r>
                </m:sup>
              </m:sSubSup>
            </m:e>
          </m:d>
        </m:oMath>
      </m:oMathPara>
    </w:p>
    <w:p>
      <w:pPr>
        <w:pStyle w:val="FirstParagraph"/>
      </w:pPr>
      <w:r>
        <w:t xml:space="preserve">Feature-to-context learning uses a Hebbian update.</w:t>
      </w:r>
    </w:p>
    <w:p>
      <w:pPr>
        <w:pStyle w:val="BodyText"/>
      </w:pPr>
      <m:oMathPara>
        <m:oMathParaPr>
          <m:jc m:val="center"/>
        </m:oMathParaPr>
        <m:oMath>
          <m:r>
            <m:t>Δ</m:t>
          </m:r>
          <m:sSubSup>
            <m:e>
              <m:r>
                <m:t>M</m:t>
              </m:r>
            </m:e>
            <m:sub>
              <m:r>
                <m:t>i</m:t>
              </m:r>
              <m:r>
                <m:t>j</m:t>
              </m:r>
            </m:sub>
            <m:sup>
              <m:r>
                <m:t>F</m:t>
              </m:r>
              <m:r>
                <m:t>C</m:t>
              </m:r>
            </m:sup>
          </m:sSubSup>
          <m:r>
            <m:rPr>
              <m:sty m:val="p"/>
            </m:rPr>
            <m:t>=</m:t>
          </m:r>
          <m:r>
            <m:t>γ</m:t>
          </m:r>
          <m:sSub>
            <m:e>
              <m:r>
                <m:t>f</m:t>
              </m:r>
            </m:e>
            <m:sub>
              <m:r>
                <m:t>i</m:t>
              </m:r>
            </m:sub>
          </m:sSub>
          <m:sSubSup>
            <m:e>
              <m:r>
                <m:t>c</m:t>
              </m:r>
            </m:e>
            <m:sub>
              <m:r>
                <m:t>j</m:t>
              </m:r>
            </m:sub>
            <m:sup>
              <m:r>
                <m:t>T</m:t>
              </m:r>
            </m:sup>
          </m:sSubSup>
        </m:oMath>
      </m:oMathPara>
    </w:p>
    <w:p>
      <w:pPr>
        <w:pStyle w:val="FirstParagraph"/>
      </w:pPr>
      <w:r>
        <w:t xml:space="preserve">Primacy is implemented by scaling the temporal context-to-feature learning rate.</w:t>
      </w:r>
    </w:p>
    <w:p>
      <w:pPr>
        <w:pStyle w:val="BodyText"/>
      </w:pPr>
      <m:oMathPara>
        <m:oMathParaPr>
          <m:jc m:val="center"/>
        </m:oMathParaPr>
        <m:oMath>
          <m:sSub>
            <m:e>
              <m:r>
                <m:t>ϕ</m:t>
              </m:r>
            </m:e>
            <m:sub>
              <m:r>
                <m:t>i</m:t>
              </m:r>
            </m:sub>
          </m:sSub>
          <m:r>
            <m:rPr>
              <m:sty m:val="p"/>
            </m:rPr>
            <m:t>=</m:t>
          </m:r>
          <m:sSub>
            <m:e>
              <m:r>
                <m:t>ϕ</m:t>
              </m:r>
            </m:e>
            <m:sub>
              <m:r>
                <m:t>s</m:t>
              </m:r>
            </m:sub>
          </m:sSub>
          <m:sSup>
            <m:e>
              <m:r>
                <m:t>e</m:t>
              </m:r>
            </m:e>
            <m:sup>
              <m:r>
                <m:rPr>
                  <m:sty m:val="p"/>
                </m:rPr>
                <m:t>−</m:t>
              </m:r>
              <m:sSub>
                <m:e>
                  <m:r>
                    <m:t>ϕ</m:t>
                  </m:r>
                </m:e>
                <m:sub>
                  <m:r>
                    <m:t>d</m:t>
                  </m:r>
                </m:sub>
              </m:sSub>
              <m:d>
                <m:dPr>
                  <m:begChr m:val="("/>
                  <m:endChr m:val=")"/>
                  <m:sepChr m:val=""/>
                  <m:grow/>
                </m:dPr>
                <m:e>
                  <m:r>
                    <m:t>i</m:t>
                  </m:r>
                  <m:r>
                    <m:rPr>
                      <m:sty m:val="p"/>
                    </m:rPr>
                    <m:t>−</m:t>
                  </m:r>
                  <m:r>
                    <m:t>1</m:t>
                  </m:r>
                </m:e>
              </m:d>
            </m:sup>
          </m:sSup>
          <m:r>
            <m:rPr>
              <m:sty m:val="p"/>
            </m:rPr>
            <m:t>+</m:t>
          </m:r>
          <m:r>
            <m:t>1</m:t>
          </m:r>
        </m:oMath>
      </m:oMathPara>
    </w:p>
    <w:p>
      <w:pPr>
        <w:pStyle w:val="FirstParagraph"/>
      </w:pPr>
      <w:r>
        <w:t xml:space="preserve">Learning strength is defined as</w:t>
      </w:r>
    </w:p>
    <w:p>
      <w:pPr>
        <w:pStyle w:val="BodyText"/>
      </w:pPr>
      <m:oMathPara>
        <m:oMathParaPr>
          <m:jc m:val="center"/>
        </m:oMathParaPr>
        <m:oMath>
          <m:sSub>
            <m:e>
              <m:r>
                <m:t>g</m:t>
              </m:r>
            </m:e>
            <m:sub>
              <m:r>
                <m:t>i</m:t>
              </m:r>
            </m:sub>
          </m:sSub>
          <m:r>
            <m:rPr>
              <m:sty m:val="p"/>
            </m:rPr>
            <m:t>=</m:t>
          </m:r>
          <m:sSub>
            <m:e>
              <m:r>
                <m:t>ϕ</m:t>
              </m:r>
            </m:e>
            <m:sub>
              <m:r>
                <m:t>e</m:t>
              </m:r>
              <m:r>
                <m:t>m</m:t>
              </m:r>
              <m:r>
                <m:t>o</m:t>
              </m:r>
              <m:r>
                <m:t>t</m:t>
              </m:r>
              <m:r>
                <m:rPr>
                  <m:sty m:val="p"/>
                </m:rPr>
                <m:t>,</m:t>
              </m:r>
              <m:r>
                <m:t>i</m:t>
              </m:r>
            </m:sub>
          </m:sSub>
          <m:r>
            <m:rPr>
              <m:sty m:val="p"/>
            </m:rPr>
            <m:t>+</m:t>
          </m:r>
          <m:sSub>
            <m:e>
              <m:r>
                <m:t>ϕ</m:t>
              </m:r>
            </m:e>
            <m:sub>
              <m:r>
                <m:t>i</m:t>
              </m:r>
            </m:sub>
          </m:sSub>
        </m:oMath>
      </m:oMathPara>
    </w:p>
    <w:p>
      <w:pPr>
        <w:pStyle w:val="FirstParagraph"/>
      </w:pPr>
      <m:oMath>
        <m:sSub>
          <m:e>
            <m:r>
              <m:t>ϕ</m:t>
            </m:r>
          </m:e>
          <m:sub>
            <m:r>
              <m:t>e</m:t>
            </m:r>
            <m:r>
              <m:t>m</m:t>
            </m:r>
            <m:r>
              <m:t>o</m:t>
            </m:r>
            <m:r>
              <m:t>t</m:t>
            </m:r>
            <m:r>
              <m:rPr>
                <m:sty m:val="p"/>
              </m:rPr>
              <m:t>,</m:t>
            </m:r>
            <m:r>
              <m:t>i</m:t>
            </m:r>
          </m:sub>
        </m:sSub>
      </m:oMath>
      <w:r>
        <w:t xml:space="preserve"> </w:t>
      </w:r>
      <w:r>
        <w:t xml:space="preserve">equals</w:t>
      </w:r>
      <w:r>
        <w:t xml:space="preserve"> </w:t>
      </w:r>
      <m:oMath>
        <m:sSub>
          <m:e>
            <m:r>
              <m:t>ϕ</m:t>
            </m:r>
          </m:e>
          <m:sub>
            <m:r>
              <m:t>e</m:t>
            </m:r>
            <m:r>
              <m:t>m</m:t>
            </m:r>
            <m:r>
              <m:t>o</m:t>
            </m:r>
            <m:r>
              <m:t>t</m:t>
            </m:r>
          </m:sub>
        </m:sSub>
      </m:oMath>
      <w:r>
        <w:t xml:space="preserve"> </w:t>
      </w:r>
      <w:r>
        <w:t xml:space="preserve">for emotional items and 0 for neutral items.</w:t>
      </w:r>
      <w:r>
        <w:t xml:space="preserve"> </w:t>
      </w:r>
      <w:r>
        <w:t xml:space="preserve">The primacy term</w:t>
      </w:r>
      <w:r>
        <w:t xml:space="preserve"> </w:t>
      </w:r>
      <m:oMath>
        <m:sSub>
          <m:e>
            <m:r>
              <m:t>ϕ</m:t>
            </m:r>
          </m:e>
          <m:sub>
            <m:r>
              <m:t>i</m:t>
            </m:r>
          </m:sub>
        </m:sSub>
      </m:oMath>
      <w:r>
        <w:t xml:space="preserve"> </w:t>
      </w:r>
      <w:r>
        <w:t xml:space="preserve">enters additively to capture an independent contribution to learning strength.</w:t>
      </w:r>
    </w:p>
    <w:p>
      <w:pPr>
        <w:pStyle w:val="BodyText"/>
      </w:pPr>
      <w:r>
        <w:t xml:space="preserve">Context-to-feature learning uses the learning strength</w:t>
      </w:r>
      <w:r>
        <w:t xml:space="preserve"> </w:t>
      </w:r>
      <m:oMath>
        <m:sSub>
          <m:e>
            <m:r>
              <m:t>g</m:t>
            </m:r>
          </m:e>
          <m:sub>
            <m:r>
              <m:t>i</m:t>
            </m:r>
          </m:sub>
        </m:sSub>
      </m:oMath>
      <w:r>
        <w:t xml:space="preserve">.</w:t>
      </w:r>
    </w:p>
    <w:p>
      <w:pPr>
        <w:pStyle w:val="BodyText"/>
      </w:pPr>
      <m:oMathPara>
        <m:oMathParaPr>
          <m:jc m:val="center"/>
        </m:oMathParaPr>
        <m:oMath>
          <m:r>
            <m:t>Δ</m:t>
          </m:r>
          <m:sSubSup>
            <m:e>
              <m:r>
                <m:t>M</m:t>
              </m:r>
            </m:e>
            <m:sub>
              <m:r>
                <m:t>i</m:t>
              </m:r>
              <m:r>
                <m:t>j</m:t>
              </m:r>
            </m:sub>
            <m:sup>
              <m:r>
                <m:t>C</m:t>
              </m:r>
              <m:r>
                <m:t>F</m:t>
              </m:r>
            </m:sup>
          </m:sSubSup>
          <m:r>
            <m:rPr>
              <m:sty m:val="p"/>
            </m:rPr>
            <m:t>=</m:t>
          </m:r>
          <m:sSub>
            <m:e>
              <m:r>
                <m:t>g</m:t>
              </m:r>
            </m:e>
            <m:sub>
              <m:r>
                <m:t>i</m:t>
              </m:r>
            </m:sub>
          </m:sSub>
          <m:sSubSup>
            <m:e>
              <m:r>
                <m:t>c</m:t>
              </m:r>
            </m:e>
            <m:sub>
              <m:r>
                <m:t>j</m:t>
              </m:r>
            </m:sub>
            <m:sup>
              <m:r>
                <m:t>T</m:t>
              </m:r>
            </m:sup>
          </m:sSubSup>
          <m:sSub>
            <m:e>
              <m:r>
                <m:t>f</m:t>
              </m:r>
            </m:e>
            <m:sub>
              <m:r>
                <m:t>i</m:t>
              </m:r>
            </m:sub>
          </m:sSub>
        </m:oMath>
      </m:oMathPara>
    </w:p>
    <w:p>
      <w:pPr>
        <w:pStyle w:val="FirstParagraph"/>
      </w:pPr>
      <w:r>
        <w:t xml:space="preserve">At the start of recall, temporal context is shifted toward the pre-list state.</w:t>
      </w:r>
    </w:p>
    <w:p>
      <w:pPr>
        <w:pStyle w:val="BodyText"/>
      </w:pPr>
      <m:oMathPara>
        <m:oMathParaPr>
          <m:jc m:val="center"/>
        </m:oMathParaPr>
        <m:oMath>
          <m:sSubSup>
            <m:e>
              <m:r>
                <m:t>c</m:t>
              </m:r>
            </m:e>
            <m:sub>
              <m:r>
                <m:t>s</m:t>
              </m:r>
              <m:r>
                <m:t>t</m:t>
              </m:r>
              <m:r>
                <m:t>a</m:t>
              </m:r>
              <m:r>
                <m:t>r</m:t>
              </m:r>
              <m:r>
                <m:t>t</m:t>
              </m:r>
            </m:sub>
            <m:sup>
              <m:r>
                <m:t>T</m:t>
              </m:r>
            </m:sup>
          </m:sSubSup>
          <m:r>
            <m:rPr>
              <m:sty m:val="p"/>
            </m:rPr>
            <m:t>=</m:t>
          </m:r>
          <m:sSub>
            <m:e>
              <m:r>
                <m:t>ρ</m:t>
              </m:r>
            </m:e>
            <m:sub>
              <m:r>
                <m:t>N</m:t>
              </m:r>
              <m:r>
                <m:rPr>
                  <m:sty m:val="p"/>
                </m:rPr>
                <m:t>+</m:t>
              </m:r>
              <m:r>
                <m:t>1</m:t>
              </m:r>
            </m:sub>
          </m:sSub>
          <m:sSubSup>
            <m:e>
              <m:r>
                <m:t>c</m:t>
              </m:r>
            </m:e>
            <m:sub>
              <m:r>
                <m:t>N</m:t>
              </m:r>
            </m:sub>
            <m:sup>
              <m:r>
                <m:t>T</m:t>
              </m:r>
            </m:sup>
          </m:sSubSup>
          <m:r>
            <m:rPr>
              <m:sty m:val="p"/>
            </m:rPr>
            <m:t>+</m:t>
          </m:r>
          <m:sSub>
            <m:e>
              <m:r>
                <m:t>β</m:t>
              </m:r>
            </m:e>
            <m:sub>
              <m:r>
                <m:t>s</m:t>
              </m:r>
              <m:r>
                <m:t>t</m:t>
              </m:r>
              <m:r>
                <m:t>a</m:t>
              </m:r>
              <m:r>
                <m:t>r</m:t>
              </m:r>
              <m:r>
                <m:t>t</m:t>
              </m:r>
            </m:sub>
          </m:sSub>
          <m:sSubSup>
            <m:e>
              <m:r>
                <m:t>c</m:t>
              </m:r>
            </m:e>
            <m:sub>
              <m:r>
                <m:t>0</m:t>
              </m:r>
            </m:sub>
            <m:sup>
              <m:r>
                <m:t>T</m:t>
              </m:r>
            </m:sup>
          </m:sSubSup>
        </m:oMath>
      </m:oMathPara>
    </w:p>
    <w:p>
      <w:pPr>
        <w:pStyle w:val="FirstParagraph"/>
      </w:pPr>
      <w:r>
        <w:t xml:space="preserve">At each recall step, temporal context cues item activations.</w:t>
      </w:r>
    </w:p>
    <w:p>
      <w:pPr>
        <w:pStyle w:val="BodyText"/>
      </w:pPr>
      <m:oMathPara>
        <m:oMathParaPr>
          <m:jc m:val="center"/>
        </m:oMathParaPr>
        <m:oMath>
          <m:r>
            <m:t>A</m:t>
          </m:r>
          <m:r>
            <m:rPr>
              <m:sty m:val="p"/>
            </m:rPr>
            <m:t>=</m:t>
          </m:r>
          <m:sSup>
            <m:e>
              <m:r>
                <m:t>M</m:t>
              </m:r>
            </m:e>
            <m:sup>
              <m:r>
                <m:t>C</m:t>
              </m:r>
              <m:r>
                <m:t>F</m:t>
              </m:r>
            </m:sup>
          </m:sSup>
          <m:sSup>
            <m:e>
              <m:r>
                <m:t>c</m:t>
              </m:r>
            </m:e>
            <m:sup>
              <m:r>
                <m:t>T</m:t>
              </m:r>
            </m:sup>
          </m:sSup>
        </m:oMath>
      </m:oMathPara>
    </w:p>
    <w:p>
      <w:pPr>
        <w:pStyle w:val="FirstParagraph"/>
      </w:pPr>
      <w:r>
        <w:t xml:space="preserve">At each recall step, the probability of recalling item</w:t>
      </w:r>
      <w:r>
        <w:t xml:space="preserve"> </w:t>
      </w:r>
      <m:oMath>
        <m:r>
          <m:t>i</m:t>
        </m:r>
      </m:oMath>
      <w:r>
        <w:t xml:space="preserve"> </w:t>
      </w:r>
      <w:r>
        <w:t xml:space="preserve">is</w:t>
      </w:r>
    </w:p>
    <w:p>
      <w:pPr>
        <w:pStyle w:val="BodyText"/>
      </w:pPr>
      <m:oMathPara>
        <m:oMathParaPr>
          <m:jc m:val="center"/>
        </m:oMathParaPr>
        <m:oMath>
          <m:r>
            <m:t>P</m:t>
          </m:r>
          <m:d>
            <m:dPr>
              <m:begChr m:val="("/>
              <m:endChr m:val=")"/>
              <m:sepChr m:val=""/>
              <m:grow/>
            </m:dPr>
            <m:e>
              <m:r>
                <m:t>i</m:t>
              </m:r>
            </m:e>
          </m:d>
          <m:r>
            <m:rPr>
              <m:sty m:val="p"/>
            </m:rPr>
            <m:t>=</m:t>
          </m:r>
          <m:f>
            <m:fPr>
              <m:type m:val="bar"/>
            </m:fPr>
            <m:num>
              <m:sSubSup>
                <m:e>
                  <m:r>
                    <m:t>A</m:t>
                  </m:r>
                </m:e>
                <m:sub>
                  <m:r>
                    <m:t>i</m:t>
                  </m:r>
                </m:sub>
                <m:sup>
                  <m:sSub>
                    <m:e>
                      <m:r>
                        <m:t>τ</m:t>
                      </m:r>
                    </m:e>
                    <m:sub>
                      <m:r>
                        <m:t>c</m:t>
                      </m:r>
                    </m:sub>
                  </m:sSub>
                </m:sup>
              </m:sSubSup>
            </m:num>
            <m:den>
              <m:nary>
                <m:naryPr>
                  <m:chr m:val="∑"/>
                  <m:limLoc m:val="undOvr"/>
                  <m:subHide m:val="off"/>
                  <m:supHide m:val="on"/>
                </m:naryPr>
                <m:sub>
                  <m:r>
                    <m:t>k</m:t>
                  </m:r>
                </m:sub>
                <m:sup>
                  <m:r>
                    <m:t>​</m:t>
                  </m:r>
                </m:sup>
                <m:e>
                  <m:sSubSup>
                    <m:e>
                      <m:r>
                        <m:t>A</m:t>
                      </m:r>
                    </m:e>
                    <m:sub>
                      <m:r>
                        <m:t>k</m:t>
                      </m:r>
                    </m:sub>
                    <m:sup>
                      <m:sSub>
                        <m:e>
                          <m:r>
                            <m:t>τ</m:t>
                          </m:r>
                        </m:e>
                        <m:sub>
                          <m:r>
                            <m:t>c</m:t>
                          </m:r>
                        </m:sub>
                      </m:sSub>
                    </m:sup>
                  </m:sSubSup>
                </m:e>
              </m:nary>
            </m:den>
          </m:f>
        </m:oMath>
      </m:oMathPara>
    </w:p>
    <w:p>
      <w:pPr>
        <w:pStyle w:val="FirstParagraph"/>
      </w:pPr>
      <w:r>
        <w:t xml:space="preserve">We omit an explicit termination mechanism, consistent with our focus on recalled items rather than stopping decisions.</w:t>
      </w:r>
      <w:r>
        <w:t xml:space="preserve"> </w:t>
      </w:r>
      <w:r>
        <w:t xml:space="preserve">After each recall, the recalled item’s temporal context is reinstated via</w:t>
      </w:r>
      <w:r>
        <w:t xml:space="preserve"> </w:t>
      </w:r>
      <m:oMath>
        <m:sSup>
          <m:e>
            <m:r>
              <m:t>M</m:t>
            </m:r>
          </m:e>
          <m:sup>
            <m:r>
              <m:t>F</m:t>
            </m:r>
            <m:r>
              <m:t>C</m:t>
            </m:r>
          </m:sup>
        </m:sSup>
      </m:oMath>
      <w:r>
        <w:t xml:space="preserve"> </w:t>
      </w:r>
      <w:r>
        <w:t xml:space="preserve">and integrated with drift rate</w:t>
      </w:r>
      <w:r>
        <w:t xml:space="preserve"> </w:t>
      </w:r>
      <m:oMath>
        <m:sSub>
          <m:e>
            <m:r>
              <m:t>β</m:t>
            </m:r>
          </m:e>
          <m:sub>
            <m:r>
              <m:t>r</m:t>
            </m:r>
            <m:r>
              <m:t>e</m:t>
            </m:r>
            <m:r>
              <m:t>c</m:t>
            </m:r>
          </m:sub>
        </m:sSub>
      </m:oMath>
      <w:r>
        <w:t xml:space="preserve">, and the process iterates.</w:t>
      </w:r>
    </w:p>
    <w:bookmarkEnd w:id="21"/>
    <w:bookmarkStart w:id="22" w:name="model-variants"/>
    <w:p>
      <w:pPr>
        <w:pStyle w:val="Heading2"/>
      </w:pPr>
      <w:r>
        <w:t xml:space="preserve">Model Variants</w:t>
      </w:r>
    </w:p>
    <w:p>
      <w:pPr>
        <w:pStyle w:val="FirstParagraph"/>
      </w:pPr>
      <w:r>
        <w:t xml:space="preserve">We compare three variants that differ only in how Early LPP enters the learning-strength term</w:t>
      </w:r>
      <w:r>
        <w:t xml:space="preserve"> </w:t>
      </w:r>
      <m:oMath>
        <m:sSub>
          <m:e>
            <m:r>
              <m:t>g</m:t>
            </m:r>
          </m:e>
          <m:sub>
            <m:r>
              <m:t>i</m:t>
            </m:r>
          </m:sub>
        </m:sSub>
      </m:oMath>
      <w:r>
        <w:t xml:space="preserve"> </w:t>
      </w:r>
      <w:r>
        <w:t xml:space="preserve">in</w:t>
      </w:r>
      <w:r>
        <w:t xml:space="preserve"> </w:t>
      </w:r>
      <m:oMath>
        <m:r>
          <m:t>Δ</m:t>
        </m:r>
        <m:sSubSup>
          <m:e>
            <m:r>
              <m:t>M</m:t>
            </m:r>
          </m:e>
          <m:sub>
            <m:r>
              <m:t>i</m:t>
            </m:r>
            <m:r>
              <m:t>j</m:t>
            </m:r>
          </m:sub>
          <m:sup>
            <m:r>
              <m:t>C</m:t>
            </m:r>
            <m:r>
              <m:t>F</m:t>
            </m:r>
          </m:sup>
        </m:sSubSup>
      </m:oMath>
      <w:r>
        <w:t xml:space="preserve">.</w:t>
      </w:r>
      <w:r>
        <w:t xml:space="preserve"> </w:t>
      </w:r>
      <w:r>
        <w:t xml:space="preserve">This isolates whether LPP adds explanatory value beyond emotion labels and whether that value differs by item type, while keeping the retrieved-context dynamics fixed.</w:t>
      </w:r>
    </w:p>
    <w:p>
      <w:pPr>
        <w:pStyle w:val="BodyText"/>
      </w:pPr>
      <w:r>
        <w:t xml:space="preserve">Let</w:t>
      </w:r>
      <w:r>
        <w:t xml:space="preserve"> </w:t>
      </w:r>
      <m:oMath>
        <m:sSub>
          <m:e>
            <m:r>
              <m:t>e</m:t>
            </m:r>
          </m:e>
          <m:sub>
            <m:r>
              <m:t>i</m:t>
            </m:r>
          </m:sub>
        </m:sSub>
      </m:oMath>
      <w:r>
        <w:t xml:space="preserve"> </w:t>
      </w:r>
      <w:r>
        <w:t xml:space="preserve">be an indicator that equals 1 for emotional items and 0 for neutral items.</w:t>
      </w:r>
      <w:r>
        <w:t xml:space="preserve"> </w:t>
      </w:r>
      <w:r>
        <w:t xml:space="preserve">In the emotion-only model, LPP effects are removed by setting</w:t>
      </w:r>
      <w:r>
        <w:t xml:space="preserve"> </w:t>
      </w:r>
      <m:oMath>
        <m:sSub>
          <m:e>
            <m:r>
              <m:t>κ</m:t>
            </m:r>
          </m:e>
          <m:sub>
            <m:r>
              <m:t>L</m:t>
            </m:r>
          </m:sub>
        </m:sSub>
        <m:r>
          <m:rPr>
            <m:sty m:val="p"/>
          </m:rPr>
          <m:t>=</m:t>
        </m:r>
        <m:r>
          <m:t>0</m:t>
        </m:r>
      </m:oMath>
      <w:r>
        <w:t xml:space="preserve"> </w:t>
      </w:r>
      <w:r>
        <w:t xml:space="preserve">and</w:t>
      </w:r>
      <w:r>
        <w:t xml:space="preserve"> </w:t>
      </w:r>
      <m:oMath>
        <m:sSub>
          <m:e>
            <m:r>
              <m:t>κ</m:t>
            </m:r>
          </m:e>
          <m:sub>
            <m:r>
              <m:t>E</m:t>
            </m:r>
            <m:r>
              <m:t>L</m:t>
            </m:r>
          </m:sub>
        </m:sSub>
        <m:r>
          <m:rPr>
            <m:sty m:val="p"/>
          </m:rPr>
          <m:t>=</m:t>
        </m:r>
        <m:r>
          <m:t>0</m:t>
        </m:r>
      </m:oMath>
      <w:r>
        <w:t xml:space="preserve">, yielding</w:t>
      </w:r>
    </w:p>
    <w:p>
      <w:pPr>
        <w:pStyle w:val="BodyText"/>
      </w:pPr>
      <m:oMathPara>
        <m:oMathParaPr>
          <m:jc m:val="center"/>
        </m:oMathParaPr>
        <m:oMath>
          <m:sSub>
            <m:e>
              <m:r>
                <m:t>g</m:t>
              </m:r>
            </m:e>
            <m:sub>
              <m:r>
                <m:t>i</m:t>
              </m:r>
            </m:sub>
          </m:sSub>
          <m:r>
            <m:rPr>
              <m:sty m:val="p"/>
            </m:rPr>
            <m:t>=</m:t>
          </m:r>
          <m:sSub>
            <m:e>
              <m:r>
                <m:t>ϕ</m:t>
              </m:r>
            </m:e>
            <m:sub>
              <m:r>
                <m:t>e</m:t>
              </m:r>
              <m:r>
                <m:t>m</m:t>
              </m:r>
              <m:r>
                <m:t>o</m:t>
              </m:r>
              <m:r>
                <m:t>t</m:t>
              </m:r>
              <m:r>
                <m:rPr>
                  <m:sty m:val="p"/>
                </m:rPr>
                <m:t>,</m:t>
              </m:r>
              <m:r>
                <m:t>i</m:t>
              </m:r>
            </m:sub>
          </m:sSub>
          <m:r>
            <m:rPr>
              <m:sty m:val="p"/>
            </m:rPr>
            <m:t>+</m:t>
          </m:r>
          <m:sSub>
            <m:e>
              <m:r>
                <m:t>ϕ</m:t>
              </m:r>
            </m:e>
            <m:sub>
              <m:r>
                <m:t>i</m:t>
              </m:r>
            </m:sub>
          </m:sSub>
        </m:oMath>
      </m:oMathPara>
    </w:p>
    <w:p>
      <w:pPr>
        <w:pStyle w:val="FirstParagraph"/>
      </w:pPr>
      <w:r>
        <w:t xml:space="preserve">In the main-effect model, the interaction term is removed by setting</w:t>
      </w:r>
      <w:r>
        <w:t xml:space="preserve"> </w:t>
      </w:r>
      <m:oMath>
        <m:sSub>
          <m:e>
            <m:r>
              <m:t>κ</m:t>
            </m:r>
          </m:e>
          <m:sub>
            <m:r>
              <m:t>E</m:t>
            </m:r>
            <m:r>
              <m:t>L</m:t>
            </m:r>
          </m:sub>
        </m:sSub>
        <m:r>
          <m:rPr>
            <m:sty m:val="p"/>
          </m:rPr>
          <m:t>=</m:t>
        </m:r>
        <m:r>
          <m:t>0</m:t>
        </m:r>
      </m:oMath>
      <w:r>
        <w:t xml:space="preserve">, yielding</w:t>
      </w:r>
    </w:p>
    <w:p>
      <w:pPr>
        <w:pStyle w:val="BodyText"/>
      </w:pPr>
      <m:oMathPara>
        <m:oMathParaPr>
          <m:jc m:val="center"/>
        </m:oMathParaPr>
        <m:oMath>
          <m:sSub>
            <m:e>
              <m:r>
                <m:t>g</m:t>
              </m:r>
            </m:e>
            <m:sub>
              <m:r>
                <m:t>i</m:t>
              </m:r>
            </m:sub>
          </m:sSub>
          <m:r>
            <m:rPr>
              <m:sty m:val="p"/>
            </m:rPr>
            <m:t>=</m:t>
          </m:r>
          <m:sSub>
            <m:e>
              <m:r>
                <m:t>ϕ</m:t>
              </m:r>
            </m:e>
            <m:sub>
              <m:r>
                <m:t>e</m:t>
              </m:r>
              <m:r>
                <m:t>m</m:t>
              </m:r>
              <m:r>
                <m:t>o</m:t>
              </m:r>
              <m:r>
                <m:t>t</m:t>
              </m:r>
              <m:r>
                <m:rPr>
                  <m:sty m:val="p"/>
                </m:rPr>
                <m:t>,</m:t>
              </m:r>
              <m:r>
                <m:t>i</m:t>
              </m:r>
            </m:sub>
          </m:sSub>
          <m:r>
            <m:rPr>
              <m:sty m:val="p"/>
            </m:rPr>
            <m:t>+</m:t>
          </m:r>
          <m:sSub>
            <m:e>
              <m:r>
                <m:t>ϕ</m:t>
              </m:r>
            </m:e>
            <m:sub>
              <m:r>
                <m:t>i</m:t>
              </m:r>
            </m:sub>
          </m:sSub>
          <m:r>
            <m:rPr>
              <m:sty m:val="p"/>
            </m:rPr>
            <m:t>+</m:t>
          </m:r>
          <m:sSub>
            <m:e>
              <m:r>
                <m:t>κ</m:t>
              </m:r>
            </m:e>
            <m:sub>
              <m:r>
                <m:t>L</m:t>
              </m:r>
            </m:sub>
          </m:sSub>
          <m:d>
            <m:dPr>
              <m:begChr m:val="("/>
              <m:endChr m:val=")"/>
              <m:sepChr m:val=""/>
              <m:grow/>
            </m:dPr>
            <m:e>
              <m:sSub>
                <m:e>
                  <m:r>
                    <m:t>L</m:t>
                  </m:r>
                </m:e>
                <m:sub>
                  <m:r>
                    <m:t>i</m:t>
                  </m:r>
                </m:sub>
              </m:sSub>
              <m:r>
                <m:rPr>
                  <m:sty m:val="p"/>
                </m:rPr>
                <m:t>−</m:t>
              </m:r>
              <m:sSub>
                <m:e>
                  <m:r>
                    <m:t>λ</m:t>
                  </m:r>
                </m:e>
                <m:sub>
                  <m:r>
                    <m:t>L</m:t>
                  </m:r>
                </m:sub>
              </m:sSub>
            </m:e>
          </m:d>
        </m:oMath>
      </m:oMathPara>
    </w:p>
    <w:p>
      <w:pPr>
        <w:pStyle w:val="FirstParagraph"/>
      </w:pPr>
      <w:r>
        <w:t xml:space="preserve">In the separate-slope model, both LPP terms are allowed, yielding</w:t>
      </w:r>
    </w:p>
    <w:p>
      <w:pPr>
        <w:pStyle w:val="BodyText"/>
      </w:pPr>
      <m:oMathPara>
        <m:oMathParaPr>
          <m:jc m:val="center"/>
        </m:oMathParaPr>
        <m:oMath>
          <m:sSub>
            <m:e>
              <m:r>
                <m:t>g</m:t>
              </m:r>
            </m:e>
            <m:sub>
              <m:r>
                <m:t>i</m:t>
              </m:r>
            </m:sub>
          </m:sSub>
          <m:r>
            <m:rPr>
              <m:sty m:val="p"/>
            </m:rPr>
            <m:t>=</m:t>
          </m:r>
          <m:sSub>
            <m:e>
              <m:r>
                <m:t>ϕ</m:t>
              </m:r>
            </m:e>
            <m:sub>
              <m:r>
                <m:t>e</m:t>
              </m:r>
              <m:r>
                <m:t>m</m:t>
              </m:r>
              <m:r>
                <m:t>o</m:t>
              </m:r>
              <m:r>
                <m:t>t</m:t>
              </m:r>
              <m:r>
                <m:rPr>
                  <m:sty m:val="p"/>
                </m:rPr>
                <m:t>,</m:t>
              </m:r>
              <m:r>
                <m:t>i</m:t>
              </m:r>
            </m:sub>
          </m:sSub>
          <m:r>
            <m:rPr>
              <m:sty m:val="p"/>
            </m:rPr>
            <m:t>+</m:t>
          </m:r>
          <m:sSub>
            <m:e>
              <m:r>
                <m:t>ϕ</m:t>
              </m:r>
            </m:e>
            <m:sub>
              <m:r>
                <m:t>i</m:t>
              </m:r>
            </m:sub>
          </m:sSub>
          <m:r>
            <m:rPr>
              <m:sty m:val="p"/>
            </m:rPr>
            <m:t>+</m:t>
          </m:r>
          <m:sSub>
            <m:e>
              <m:r>
                <m:t>κ</m:t>
              </m:r>
            </m:e>
            <m:sub>
              <m:r>
                <m:t>L</m:t>
              </m:r>
            </m:sub>
          </m:sSub>
          <m:d>
            <m:dPr>
              <m:begChr m:val="("/>
              <m:endChr m:val=")"/>
              <m:sepChr m:val=""/>
              <m:grow/>
            </m:dPr>
            <m:e>
              <m:sSub>
                <m:e>
                  <m:r>
                    <m:t>L</m:t>
                  </m:r>
                </m:e>
                <m:sub>
                  <m:r>
                    <m:t>i</m:t>
                  </m:r>
                </m:sub>
              </m:sSub>
              <m:r>
                <m:rPr>
                  <m:sty m:val="p"/>
                </m:rPr>
                <m:t>−</m:t>
              </m:r>
              <m:sSub>
                <m:e>
                  <m:r>
                    <m:t>λ</m:t>
                  </m:r>
                </m:e>
                <m:sub>
                  <m:r>
                    <m:t>L</m:t>
                  </m:r>
                </m:sub>
              </m:sSub>
            </m:e>
          </m:d>
          <m:r>
            <m:rPr>
              <m:sty m:val="p"/>
            </m:rPr>
            <m:t>+</m:t>
          </m:r>
          <m:sSub>
            <m:e>
              <m:r>
                <m:t>κ</m:t>
              </m:r>
            </m:e>
            <m:sub>
              <m:r>
                <m:t>E</m:t>
              </m:r>
              <m:r>
                <m:t>L</m:t>
              </m:r>
            </m:sub>
          </m:sSub>
          <m:d>
            <m:dPr>
              <m:begChr m:val="("/>
              <m:endChr m:val=")"/>
              <m:sepChr m:val=""/>
              <m:grow/>
            </m:dPr>
            <m:e>
              <m:sSub>
                <m:e>
                  <m:r>
                    <m:t>L</m:t>
                  </m:r>
                </m:e>
                <m:sub>
                  <m:r>
                    <m:t>i</m:t>
                  </m:r>
                </m:sub>
              </m:sSub>
              <m:r>
                <m:rPr>
                  <m:sty m:val="p"/>
                </m:rPr>
                <m:t>−</m:t>
              </m:r>
              <m:sSub>
                <m:e>
                  <m:r>
                    <m:t>λ</m:t>
                  </m:r>
                </m:e>
                <m:sub>
                  <m:r>
                    <m:t>E</m:t>
                  </m:r>
                  <m:r>
                    <m:t>L</m:t>
                  </m:r>
                </m:sub>
              </m:sSub>
            </m:e>
          </m:d>
          <m:sSub>
            <m:e>
              <m:r>
                <m:t>e</m:t>
              </m:r>
            </m:e>
            <m:sub>
              <m:r>
                <m:t>i</m:t>
              </m:r>
            </m:sub>
          </m:sSub>
        </m:oMath>
      </m:oMathPara>
    </w:p>
    <w:p>
      <w:pPr>
        <w:pStyle w:val="FirstParagraph"/>
      </w:pPr>
      <w:r>
        <w:t xml:space="preserve">In implementation, negative values of</w:t>
      </w:r>
      <w:r>
        <w:t xml:space="preserve"> </w:t>
      </w:r>
      <m:oMath>
        <m:sSub>
          <m:e>
            <m:r>
              <m:t>g</m:t>
            </m:r>
          </m:e>
          <m:sub>
            <m:r>
              <m:t>i</m:t>
            </m:r>
          </m:sub>
        </m:sSub>
      </m:oMath>
      <w:r>
        <w:t xml:space="preserve"> </w:t>
      </w:r>
      <w:r>
        <w:t xml:space="preserve">are clamped to 0 in all variants.</w:t>
      </w:r>
    </w:p>
    <w:bookmarkEnd w:id="22"/>
    <w:bookmarkStart w:id="25" w:name="evaluation-approach"/>
    <w:p>
      <w:pPr>
        <w:pStyle w:val="Heading2"/>
      </w:pPr>
      <w:r>
        <w:t xml:space="preserve">Evaluation Approach</w:t>
      </w:r>
    </w:p>
    <w:p>
      <w:pPr>
        <w:pStyle w:val="FirstParagraph"/>
      </w:pPr>
      <w:r>
        <w:t xml:space="preserve">We evaluated each model by how well it predicts the unordered set of recalled items on each list (not recall order), because our data is missing recall order information and because our primary behavioral outcomes and benchmarks target item selection rather than order-dependent dynamics. Let</w:t>
      </w:r>
      <w:r>
        <w:t xml:space="preserve"> </w:t>
      </w:r>
      <m:oMath>
        <m:sSub>
          <m:e>
            <m:r>
              <m:t>S</m:t>
            </m:r>
          </m:e>
          <m:sub>
            <m:r>
              <m:t>t</m:t>
            </m:r>
          </m:sub>
        </m:sSub>
      </m:oMath>
      <w:r>
        <w:t xml:space="preserve"> </w:t>
      </w:r>
      <w:r>
        <w:t xml:space="preserve">denote the set of items recalled on trial</w:t>
      </w:r>
      <w:r>
        <w:t xml:space="preserve"> </w:t>
      </w:r>
      <m:oMath>
        <m:r>
          <m:t>t</m:t>
        </m:r>
      </m:oMath>
      <w:r>
        <w:t xml:space="preserve">, and let</w:t>
      </w:r>
      <w:r>
        <w:t xml:space="preserve"> </w:t>
      </w:r>
      <m:oMath>
        <m:r>
          <m:t>r</m:t>
        </m:r>
      </m:oMath>
      <w:r>
        <w:t xml:space="preserve"> </w:t>
      </w:r>
      <w:r>
        <w:t xml:space="preserve">range over recall sequences that contain exactly the items in</w:t>
      </w:r>
      <w:r>
        <w:t xml:space="preserve"> </w:t>
      </w:r>
      <m:oMath>
        <m:sSub>
          <m:e>
            <m:r>
              <m:t>S</m:t>
            </m:r>
          </m:e>
          <m:sub>
            <m:r>
              <m:t>t</m:t>
            </m:r>
          </m:sub>
        </m:sSub>
      </m:oMath>
      <w:r>
        <w:t xml:space="preserve"> </w:t>
      </w:r>
      <w:r>
        <w:t xml:space="preserve">(in any order). We define the</w:t>
      </w:r>
      <w:r>
        <w:t xml:space="preserve"> </w:t>
      </w:r>
      <w:r>
        <w:rPr>
          <w:i/>
          <w:iCs/>
        </w:rPr>
        <w:t xml:space="preserve">set likelihood</w:t>
      </w:r>
      <w:r>
        <w:t xml:space="preserve"> </w:t>
      </w:r>
      <w:r>
        <w:t xml:space="preserve">as</w:t>
      </w:r>
    </w:p>
    <w:p>
      <w:pPr>
        <w:pStyle w:val="BodyText"/>
      </w:pPr>
      <m:oMathPara>
        <m:oMathParaPr>
          <m:jc m:val="center"/>
        </m:oMathParaPr>
        <m:oMath>
          <m:r>
            <m:t>P</m:t>
          </m:r>
          <m:d>
            <m:dPr>
              <m:begChr m:val="("/>
              <m:endChr m:val=")"/>
              <m:sepChr m:val=""/>
              <m:grow/>
            </m:dPr>
            <m:e>
              <m:sSub>
                <m:e>
                  <m:r>
                    <m:t>S</m:t>
                  </m:r>
                </m:e>
                <m:sub>
                  <m:r>
                    <m:t>t</m:t>
                  </m:r>
                </m:sub>
              </m:sSub>
              <m:r>
                <m:rPr>
                  <m:sty m:val="p"/>
                </m:rPr>
                <m:t>∣</m:t>
              </m:r>
              <m:r>
                <m:t>θ</m:t>
              </m:r>
            </m:e>
          </m:d>
          <m:r>
            <m:rPr>
              <m:sty m:val="p"/>
            </m:rPr>
            <m:t>=</m:t>
          </m:r>
          <m:nary>
            <m:naryPr>
              <m:chr m:val="∑"/>
              <m:limLoc m:val="undOvr"/>
              <m:subHide m:val="off"/>
              <m:supHide m:val="on"/>
            </m:naryPr>
            <m:sub>
              <m:r>
                <m:t>r</m:t>
              </m:r>
              <m:r>
                <m:rPr>
                  <m:sty m:val="p"/>
                </m:rPr>
                <m:t>:</m:t>
              </m:r>
              <m:r>
                <m:t> </m:t>
              </m:r>
              <m:r>
                <m:t>r</m:t>
              </m:r>
              <m:r>
                <m:t> </m:t>
              </m:r>
              <m:r>
                <m:rPr>
                  <m:nor/>
                  <m:sty m:val="p"/>
                </m:rPr>
                <m:t>yields</m:t>
              </m:r>
              <m:r>
                <m:t> </m:t>
              </m:r>
              <m:sSub>
                <m:e>
                  <m:r>
                    <m:t>S</m:t>
                  </m:r>
                </m:e>
                <m:sub>
                  <m:r>
                    <m:t>t</m:t>
                  </m:r>
                </m:sub>
              </m:sSub>
            </m:sub>
            <m:sup>
              <m:r>
                <m:t>​</m:t>
              </m:r>
            </m:sup>
            <m:e>
              <m:r>
                <m:t>P</m:t>
              </m:r>
            </m:e>
          </m:nary>
          <m:d>
            <m:dPr>
              <m:begChr m:val="("/>
              <m:endChr m:val=")"/>
              <m:sepChr m:val=""/>
              <m:grow/>
            </m:dPr>
            <m:e>
              <m:r>
                <m:t>r</m:t>
              </m:r>
              <m:r>
                <m:rPr>
                  <m:sty m:val="p"/>
                </m:rPr>
                <m:t>∣</m:t>
              </m:r>
              <m:r>
                <m:t>θ</m:t>
              </m:r>
            </m:e>
          </m:d>
          <m:r>
            <m:rPr>
              <m:sty m:val="p"/>
            </m:rPr>
            <m:t>,</m:t>
          </m:r>
        </m:oMath>
      </m:oMathPara>
    </w:p>
    <w:p>
      <w:pPr>
        <w:pStyle w:val="FirstParagraph"/>
      </w:pPr>
      <w:r>
        <w:t xml:space="preserve">where</w:t>
      </w:r>
      <w:r>
        <w:t xml:space="preserve"> </w:t>
      </w:r>
      <m:oMath>
        <m:r>
          <m:t>θ</m:t>
        </m:r>
      </m:oMath>
      <w:r>
        <w:t xml:space="preserve"> </w:t>
      </w:r>
      <w:r>
        <w:t xml:space="preserve">are the model parameters.</w:t>
      </w:r>
    </w:p>
    <w:p>
      <w:pPr>
        <w:pStyle w:val="BodyText"/>
      </w:pPr>
      <w:r>
        <w:t xml:space="preserve">Evaluating this sum exactly is infeasible because the number of sequences that yield a given set grows rapidly with</w:t>
      </w:r>
      <w:r>
        <w:t xml:space="preserve"> </w:t>
      </w:r>
      <m:oMath>
        <m:d>
          <m:dPr>
            <m:begChr m:val="|"/>
            <m:endChr m:val="|"/>
            <m:sepChr m:val=""/>
            <m:grow/>
          </m:dPr>
          <m:e>
            <m:sSub>
              <m:e>
                <m:r>
                  <m:t>S</m:t>
                </m:r>
              </m:e>
              <m:sub>
                <m:r>
                  <m:t>t</m:t>
                </m:r>
              </m:sub>
            </m:sSub>
          </m:e>
        </m:d>
      </m:oMath>
      <w:r>
        <w:t xml:space="preserve">. We therefore approximate</w:t>
      </w:r>
      <w:r>
        <w:t xml:space="preserve"> </w:t>
      </w:r>
      <m:oMath>
        <m:r>
          <m:t>P</m:t>
        </m:r>
        <m:d>
          <m:dPr>
            <m:begChr m:val="("/>
            <m:endChr m:val=")"/>
            <m:sepChr m:val=""/>
            <m:grow/>
          </m:dPr>
          <m:e>
            <m:sSub>
              <m:e>
                <m:r>
                  <m:t>S</m:t>
                </m:r>
              </m:e>
              <m:sub>
                <m:r>
                  <m:t>t</m:t>
                </m:r>
              </m:sub>
            </m:sSub>
            <m:r>
              <m:rPr>
                <m:sty m:val="p"/>
              </m:rPr>
              <m:t>∣</m:t>
            </m:r>
            <m:r>
              <m:t>θ</m:t>
            </m:r>
          </m:e>
        </m:d>
      </m:oMath>
      <w:r>
        <w:t xml:space="preserve"> </w:t>
      </w:r>
      <w:r>
        <w:t xml:space="preserve">by Monte Carlo sampling: for each trial we draw</w:t>
      </w:r>
      <w:r>
        <w:t xml:space="preserve"> </w:t>
      </w:r>
      <m:oMath>
        <m:r>
          <m:t>K</m:t>
        </m:r>
      </m:oMath>
      <w:r>
        <w:t xml:space="preserve"> </w:t>
      </w:r>
      <w:r>
        <w:t xml:space="preserve">random permutations</w:t>
      </w:r>
      <w:r>
        <w:t xml:space="preserve"> </w:t>
      </w:r>
      <m:oMath>
        <m:sSub>
          <m:e>
            <m:r>
              <m:t>r</m:t>
            </m:r>
          </m:e>
          <m:sub>
            <m:r>
              <m:t>1</m:t>
            </m:r>
          </m:sub>
        </m:sSub>
        <m:r>
          <m:rPr>
            <m:sty m:val="p"/>
          </m:rPr>
          <m:t>,</m:t>
        </m:r>
        <m:r>
          <m:rPr>
            <m:sty m:val="p"/>
          </m:rPr>
          <m:t>…</m:t>
        </m:r>
        <m:r>
          <m:rPr>
            <m:sty m:val="p"/>
          </m:rPr>
          <m:t>,</m:t>
        </m:r>
        <m:sSub>
          <m:e>
            <m:r>
              <m:t>r</m:t>
            </m:r>
          </m:e>
          <m:sub>
            <m:r>
              <m:t>K</m:t>
            </m:r>
          </m:sub>
        </m:sSub>
      </m:oMath>
      <w:r>
        <w:t xml:space="preserve"> </w:t>
      </w:r>
      <w:r>
        <w:t xml:space="preserve">of</w:t>
      </w:r>
      <w:r>
        <w:t xml:space="preserve"> </w:t>
      </w:r>
      <m:oMath>
        <m:sSub>
          <m:e>
            <m:r>
              <m:t>S</m:t>
            </m:r>
          </m:e>
          <m:sub>
            <m:r>
              <m:t>t</m:t>
            </m:r>
          </m:sub>
        </m:sSub>
      </m:oMath>
      <w:r>
        <w:t xml:space="preserve">, compute</w:t>
      </w:r>
      <w:r>
        <w:t xml:space="preserve"> </w:t>
      </w:r>
      <m:oMath>
        <m:r>
          <m:t>P</m:t>
        </m:r>
        <m:d>
          <m:dPr>
            <m:begChr m:val="("/>
            <m:endChr m:val=")"/>
            <m:sepChr m:val=""/>
            <m:grow/>
          </m:dPr>
          <m:e>
            <m:sSub>
              <m:e>
                <m:r>
                  <m:t>r</m:t>
                </m:r>
              </m:e>
              <m:sub>
                <m:r>
                  <m:t>k</m:t>
                </m:r>
              </m:sub>
            </m:sSub>
            <m:r>
              <m:rPr>
                <m:sty m:val="p"/>
              </m:rPr>
              <m:t>∣</m:t>
            </m:r>
            <m:r>
              <m:t>θ</m:t>
            </m:r>
          </m:e>
        </m:d>
      </m:oMath>
      <w:r>
        <w:t xml:space="preserve">, and estimate the sum as</w:t>
      </w:r>
      <w:r>
        <w:t xml:space="preserve"> </w:t>
      </w:r>
      <m:oMath>
        <m:d>
          <m:dPr>
            <m:begChr m:val="|"/>
            <m:endChr m:val="|"/>
            <m:sepChr m:val=""/>
            <m:grow/>
          </m:dPr>
          <m:e>
            <m:sSub>
              <m:e>
                <m:r>
                  <m:t>S</m:t>
                </m:r>
              </m:e>
              <m:sub>
                <m:r>
                  <m:t>t</m:t>
                </m:r>
              </m:sub>
            </m:sSub>
          </m:e>
        </m:d>
        <m:r>
          <m:rPr>
            <m:sty m:val="p"/>
          </m:rPr>
          <m:t>!</m:t>
        </m:r>
        <m:r>
          <m:t> </m:t>
        </m:r>
        <m:f>
          <m:fPr>
            <m:type m:val="bar"/>
          </m:fPr>
          <m:num>
            <m:r>
              <m:t>1</m:t>
            </m:r>
          </m:num>
          <m:den>
            <m:r>
              <m:t>K</m:t>
            </m:r>
          </m:den>
        </m:f>
        <m:nary>
          <m:naryPr>
            <m:chr m:val="∑"/>
            <m:limLoc m:val="undOvr"/>
            <m:subHide m:val="off"/>
            <m:supHide m:val="off"/>
          </m:naryPr>
          <m:sub>
            <m:r>
              <m:t>k</m:t>
            </m:r>
            <m:r>
              <m:rPr>
                <m:sty m:val="p"/>
              </m:rPr>
              <m:t>=</m:t>
            </m:r>
            <m:r>
              <m:t>1</m:t>
            </m:r>
          </m:sub>
          <m:sup>
            <m:r>
              <m:t>K</m:t>
            </m:r>
          </m:sup>
          <m:e>
            <m:r>
              <m:t>P</m:t>
            </m:r>
          </m:e>
        </m:nary>
        <m:d>
          <m:dPr>
            <m:begChr m:val="("/>
            <m:endChr m:val=")"/>
            <m:sepChr m:val=""/>
            <m:grow/>
          </m:dPr>
          <m:e>
            <m:sSub>
              <m:e>
                <m:r>
                  <m:t>r</m:t>
                </m:r>
              </m:e>
              <m:sub>
                <m:r>
                  <m:t>k</m:t>
                </m:r>
              </m:sub>
            </m:sSub>
            <m:r>
              <m:rPr>
                <m:sty m:val="p"/>
              </m:rPr>
              <m:t>∣</m:t>
            </m:r>
            <m:r>
              <m:t>θ</m:t>
            </m:r>
          </m:e>
        </m:d>
      </m:oMath>
      <w:r>
        <w:t xml:space="preserve">. Because the factorial factor does not depend on</w:t>
      </w:r>
      <w:r>
        <w:t xml:space="preserve"> </w:t>
      </w:r>
      <m:oMath>
        <m:r>
          <m:t>θ</m:t>
        </m:r>
      </m:oMath>
      <w:r>
        <w:t xml:space="preserve">, we maximize the (unscaled) mean permutation likelihood</w:t>
      </w:r>
      <w:r>
        <w:t xml:space="preserve"> </w:t>
      </w:r>
      <m:oMath>
        <m:f>
          <m:fPr>
            <m:type m:val="bar"/>
          </m:fPr>
          <m:num>
            <m:r>
              <m:t>1</m:t>
            </m:r>
          </m:num>
          <m:den>
            <m:r>
              <m:t>K</m:t>
            </m:r>
          </m:den>
        </m:f>
        <m:nary>
          <m:naryPr>
            <m:chr m:val="∑"/>
            <m:limLoc m:val="undOvr"/>
            <m:subHide m:val="off"/>
            <m:supHide m:val="on"/>
          </m:naryPr>
          <m:sub>
            <m:r>
              <m:t>k</m:t>
            </m:r>
          </m:sub>
          <m:sup>
            <m:r>
              <m:t>​</m:t>
            </m:r>
          </m:sup>
          <m:e>
            <m:r>
              <m:t>P</m:t>
            </m:r>
          </m:e>
        </m:nary>
        <m:d>
          <m:dPr>
            <m:begChr m:val="("/>
            <m:endChr m:val=")"/>
            <m:sepChr m:val=""/>
            <m:grow/>
          </m:dPr>
          <m:e>
            <m:sSub>
              <m:e>
                <m:r>
                  <m:t>r</m:t>
                </m:r>
              </m:e>
              <m:sub>
                <m:r>
                  <m:t>k</m:t>
                </m:r>
              </m:sub>
            </m:sSub>
            <m:r>
              <m:rPr>
                <m:sty m:val="p"/>
              </m:rPr>
              <m:t>∣</m:t>
            </m:r>
            <m:r>
              <m:t>θ</m:t>
            </m:r>
          </m:e>
        </m:d>
      </m:oMath>
      <w:r>
        <w:t xml:space="preserve">, which is proportional to the set likelihood and yields identical fits and</w:t>
      </w:r>
      <w:r>
        <w:t xml:space="preserve"> </w:t>
      </w:r>
      <m:oMath>
        <m:r>
          <m:t>Δ</m:t>
        </m:r>
      </m:oMath>
      <w:r>
        <w:t xml:space="preserve">AIC comparisons.</w:t>
      </w:r>
    </w:p>
    <w:p>
      <w:pPr>
        <w:pStyle w:val="BodyText"/>
      </w:pPr>
      <w:r>
        <w:t xml:space="preserve">We maximize the objective with differential evolution</w:t>
      </w:r>
      <w:r>
        <w:t xml:space="preserve"> </w:t>
      </w:r>
      <w:r>
        <w:t xml:space="preserve">(Storn and Price 1997)</w:t>
      </w:r>
      <w:r>
        <w:t xml:space="preserve">. Because the optimizer is stochastic, we run three independent fits per participant and model variant and retain the best-performing fit. We compare variants using AIC computed from the approximate set log-likelihood. We then assess qualitative adequacy by simulating each fitted model on the study lists while matching each trial’s observed output length and plotting the benchmark summaries.</w:t>
      </w:r>
      <w:r>
        <w:t xml:space="preserve"> </w:t>
      </w:r>
      <w:r>
        <w:t xml:space="preserve">This set-likelihood approach evaluates models on their ability to reproduce the full recalled sets, providing a stringent test of mechanistic hypotheses.</w:t>
      </w:r>
    </w:p>
    <w:bookmarkStart w:id="24" w:name="refs"/>
    <w:bookmarkStart w:id="23" w:name="ref-storn1997differential"/>
    <w:p>
      <w:pPr>
        <w:pStyle w:val="Bibliography"/>
      </w:pPr>
      <w:r>
        <w:t xml:space="preserve">Storn, Rainer, and Kenneth Price. 1997.</w:t>
      </w:r>
      <w:r>
        <w:t xml:space="preserve"> </w:t>
      </w:r>
      <w:r>
        <w:t xml:space="preserve">“Differential Evolution–a Simple and Efficient Heuristic for Global Optimization over Continuous Spaces.”</w:t>
      </w:r>
      <w:r>
        <w:t xml:space="preserve"> </w:t>
      </w:r>
      <w:r>
        <w:rPr>
          <w:i/>
          <w:iCs/>
        </w:rPr>
        <w:t xml:space="preserve">Journal of Global Optimization</w:t>
      </w:r>
      <w:r>
        <w:t xml:space="preserve"> </w:t>
      </w:r>
      <w:r>
        <w:t xml:space="preserve">11 (4): 341–59.</w:t>
      </w:r>
    </w:p>
    <w:bookmarkEnd w:id="23"/>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2026-01-21T09:17:28Z</dcterms:created>
  <dcterms:modified xsi:type="dcterms:W3CDTF">2026-01-21T09:17:28Z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