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824D3" w14:textId="77777777" w:rsidR="00EB5DB3" w:rsidRDefault="00000000">
      <w:pPr>
        <w:pStyle w:val="FirstParagraph"/>
      </w:pPr>
      <w:r>
        <w:t>Building on the behavioral and ERP results reported above, we test mechanistic accounts of how study-phase neural activity can modulate encoding within retrieved-context models. We embed Early LPP as an item-level modulator of learning strength in eCMR and compare three variants that differ only in how LPP enters the encoding rule.</w:t>
      </w:r>
    </w:p>
    <w:p w14:paraId="7BD95EDB" w14:textId="77777777" w:rsidR="00EB5DB3" w:rsidRDefault="00000000">
      <w:pPr>
        <w:pStyle w:val="Heading2"/>
      </w:pPr>
      <w:bookmarkStart w:id="0" w:name="ecmr-specification"/>
      <w:r>
        <w:t>eCMR Specification</w:t>
      </w:r>
    </w:p>
    <w:p w14:paraId="5D18FE34" w14:textId="77777777" w:rsidR="00EB5DB3" w:rsidRDefault="00000000">
      <w:pPr>
        <w:pStyle w:val="FirstParagraph"/>
      </w:pPr>
      <w:r>
        <w:t>We use a connectionist CMR architecture with a temporal context state and bidirectional item-context associations. We implement emotion and Early LPP as modulators of learning strength, and we do not include a separate emotional context layer. This keeps the retrieved-context dynamics fixed across variants while localizing emotion/LPP effects to a single encoding pathway.</w:t>
      </w:r>
    </w:p>
    <w:p w14:paraId="22DCFA77" w14:textId="77777777" w:rsidR="00EB5DB3" w:rsidRDefault="00000000">
      <w:pPr>
        <w:pStyle w:val="BodyText"/>
      </w:pPr>
      <w:r>
        <w:t xml:space="preserve">We denote temporal context as </w:t>
      </w:r>
      <m:oMath>
        <m:sSup>
          <m:sSupPr>
            <m:ctrlPr>
              <w:rPr>
                <w:rFonts w:ascii="Cambria Math" w:hAnsi="Cambria Math"/>
              </w:rPr>
            </m:ctrlPr>
          </m:sSupPr>
          <m:e>
            <m:r>
              <w:rPr>
                <w:rFonts w:ascii="Cambria Math" w:hAnsi="Cambria Math"/>
              </w:rPr>
              <m:t>c</m:t>
            </m:r>
          </m:e>
          <m:sup>
            <m:r>
              <w:rPr>
                <w:rFonts w:ascii="Cambria Math" w:hAnsi="Cambria Math"/>
              </w:rPr>
              <m:t>T</m:t>
            </m:r>
          </m:sup>
        </m:sSup>
      </m:oMath>
      <w:r>
        <w:t xml:space="preserve"> and item features as </w:t>
      </w:r>
      <m:oMath>
        <m:sSub>
          <m:sSubPr>
            <m:ctrlPr>
              <w:rPr>
                <w:rFonts w:ascii="Cambria Math" w:hAnsi="Cambria Math"/>
              </w:rPr>
            </m:ctrlPr>
          </m:sSubPr>
          <m:e>
            <m:r>
              <w:rPr>
                <w:rFonts w:ascii="Cambria Math" w:hAnsi="Cambria Math"/>
              </w:rPr>
              <m:t>f</m:t>
            </m:r>
          </m:e>
          <m:sub>
            <m:r>
              <w:rPr>
                <w:rFonts w:ascii="Cambria Math" w:hAnsi="Cambria Math"/>
              </w:rPr>
              <m:t>i</m:t>
            </m:r>
          </m:sub>
        </m:sSub>
      </m:oMath>
      <w:r>
        <w:t xml:space="preserve">. </w:t>
      </w:r>
      <m:oMath>
        <m:sSup>
          <m:sSupPr>
            <m:ctrlPr>
              <w:rPr>
                <w:rFonts w:ascii="Cambria Math" w:hAnsi="Cambria Math"/>
              </w:rPr>
            </m:ctrlPr>
          </m:sSupPr>
          <m:e>
            <m:r>
              <w:rPr>
                <w:rFonts w:ascii="Cambria Math" w:hAnsi="Cambria Math"/>
              </w:rPr>
              <m:t>M</m:t>
            </m:r>
          </m:e>
          <m:sup>
            <m:r>
              <w:rPr>
                <w:rFonts w:ascii="Cambria Math" w:hAnsi="Cambria Math"/>
              </w:rPr>
              <m:t>FC</m:t>
            </m:r>
          </m:sup>
        </m:sSup>
      </m:oMath>
      <w:r>
        <w:t xml:space="preserve"> maps item features to temporal context, and </w:t>
      </w:r>
      <m:oMath>
        <m:sSup>
          <m:sSupPr>
            <m:ctrlPr>
              <w:rPr>
                <w:rFonts w:ascii="Cambria Math" w:hAnsi="Cambria Math"/>
              </w:rPr>
            </m:ctrlPr>
          </m:sSupPr>
          <m:e>
            <m:r>
              <w:rPr>
                <w:rFonts w:ascii="Cambria Math" w:hAnsi="Cambria Math"/>
              </w:rPr>
              <m:t>M</m:t>
            </m:r>
          </m:e>
          <m:sup>
            <m:r>
              <w:rPr>
                <w:rFonts w:ascii="Cambria Math" w:hAnsi="Cambria Math"/>
              </w:rPr>
              <m:t>CF</m:t>
            </m:r>
          </m:sup>
        </m:sSup>
      </m:oMath>
      <w:r>
        <w:t xml:space="preserve"> maps temporal context to item features.</w:t>
      </w:r>
    </w:p>
    <w:tbl>
      <w:tblPr>
        <w:tblStyle w:val="Table"/>
        <w:tblW w:w="5000" w:type="pct"/>
        <w:tblLayout w:type="fixed"/>
        <w:tblLook w:val="0000" w:firstRow="0" w:lastRow="0" w:firstColumn="0" w:lastColumn="0" w:noHBand="0" w:noVBand="0"/>
      </w:tblPr>
      <w:tblGrid>
        <w:gridCol w:w="9360"/>
      </w:tblGrid>
      <w:tr w:rsidR="00EB5DB3" w14:paraId="59683AE8" w14:textId="77777777">
        <w:tc>
          <w:tcPr>
            <w:tcW w:w="7920" w:type="dxa"/>
          </w:tcPr>
          <w:p w14:paraId="12817E73" w14:textId="77777777" w:rsidR="00EB5DB3" w:rsidRDefault="00000000">
            <w:pPr>
              <w:pStyle w:val="ImageCaption"/>
              <w:spacing w:before="200"/>
            </w:pPr>
            <w:bookmarkStart w:id="1" w:name="tbl-ecmr-parameters"/>
            <w:r>
              <w:t>Table 1: Parameters and structures specifying eCMR.</w:t>
            </w:r>
          </w:p>
          <w:tbl>
            <w:tblPr>
              <w:tblStyle w:val="Table"/>
              <w:tblW w:w="0" w:type="auto"/>
              <w:tblLook w:val="0020" w:firstRow="1" w:lastRow="0" w:firstColumn="0" w:lastColumn="0" w:noHBand="0" w:noVBand="0"/>
            </w:tblPr>
            <w:tblGrid>
              <w:gridCol w:w="3960"/>
              <w:gridCol w:w="3960"/>
            </w:tblGrid>
            <w:tr w:rsidR="00EB5DB3" w14:paraId="25F1D9DB" w14:textId="77777777" w:rsidTr="00EB5DB3">
              <w:trPr>
                <w:cnfStyle w:val="100000000000" w:firstRow="1" w:lastRow="0" w:firstColumn="0" w:lastColumn="0" w:oddVBand="0" w:evenVBand="0" w:oddHBand="0" w:evenHBand="0" w:firstRowFirstColumn="0" w:firstRowLastColumn="0" w:lastRowFirstColumn="0" w:lastRowLastColumn="0"/>
                <w:tblHeader/>
              </w:trPr>
              <w:tc>
                <w:tcPr>
                  <w:tcW w:w="3960" w:type="dxa"/>
                </w:tcPr>
                <w:p w14:paraId="0CDCC5BE" w14:textId="77777777" w:rsidR="00EB5DB3" w:rsidRDefault="00000000">
                  <w:pPr>
                    <w:pStyle w:val="Compact"/>
                    <w:jc w:val="center"/>
                  </w:pPr>
                  <w:r>
                    <w:t>Symbol</w:t>
                  </w:r>
                </w:p>
              </w:tc>
              <w:tc>
                <w:tcPr>
                  <w:tcW w:w="3960" w:type="dxa"/>
                </w:tcPr>
                <w:p w14:paraId="0C9AB3D6" w14:textId="77777777" w:rsidR="00EB5DB3" w:rsidRDefault="00000000">
                  <w:pPr>
                    <w:pStyle w:val="Compact"/>
                    <w:jc w:val="center"/>
                  </w:pPr>
                  <w:r>
                    <w:t>Meaning</w:t>
                  </w:r>
                </w:p>
              </w:tc>
            </w:tr>
            <w:tr w:rsidR="00EB5DB3" w14:paraId="45DAFD99" w14:textId="77777777">
              <w:tc>
                <w:tcPr>
                  <w:tcW w:w="3960" w:type="dxa"/>
                </w:tcPr>
                <w:p w14:paraId="4A3F7A7A" w14:textId="77777777" w:rsidR="00EB5DB3" w:rsidRDefault="00000000">
                  <w:pPr>
                    <w:pStyle w:val="Compact"/>
                    <w:jc w:val="center"/>
                  </w:pPr>
                  <m:oMathPara>
                    <m:oMath>
                      <m:sSup>
                        <m:sSupPr>
                          <m:ctrlPr>
                            <w:rPr>
                              <w:rFonts w:ascii="Cambria Math" w:hAnsi="Cambria Math"/>
                            </w:rPr>
                          </m:ctrlPr>
                        </m:sSupPr>
                        <m:e>
                          <m:r>
                            <w:rPr>
                              <w:rFonts w:ascii="Cambria Math" w:hAnsi="Cambria Math"/>
                            </w:rPr>
                            <m:t>c</m:t>
                          </m:r>
                        </m:e>
                        <m:sup>
                          <m:r>
                            <w:rPr>
                              <w:rFonts w:ascii="Cambria Math" w:hAnsi="Cambria Math"/>
                            </w:rPr>
                            <m:t>T</m:t>
                          </m:r>
                        </m:sup>
                      </m:sSup>
                    </m:oMath>
                  </m:oMathPara>
                </w:p>
              </w:tc>
              <w:tc>
                <w:tcPr>
                  <w:tcW w:w="3960" w:type="dxa"/>
                </w:tcPr>
                <w:p w14:paraId="004A84F3" w14:textId="77777777" w:rsidR="00EB5DB3" w:rsidRDefault="00000000">
                  <w:pPr>
                    <w:pStyle w:val="Compact"/>
                    <w:jc w:val="center"/>
                  </w:pPr>
                  <w:r>
                    <w:t>temporal context</w:t>
                  </w:r>
                </w:p>
              </w:tc>
            </w:tr>
            <w:tr w:rsidR="00EB5DB3" w14:paraId="125DFD00" w14:textId="77777777">
              <w:tc>
                <w:tcPr>
                  <w:tcW w:w="3960" w:type="dxa"/>
                </w:tcPr>
                <w:p w14:paraId="7D3FAD92" w14:textId="77777777" w:rsidR="00EB5DB3" w:rsidRDefault="00000000">
                  <w:pPr>
                    <w:pStyle w:val="Compact"/>
                    <w:jc w:val="center"/>
                  </w:pPr>
                  <m:oMathPara>
                    <m:oMath>
                      <m:sSub>
                        <m:sSubPr>
                          <m:ctrlPr>
                            <w:rPr>
                              <w:rFonts w:ascii="Cambria Math" w:hAnsi="Cambria Math"/>
                            </w:rPr>
                          </m:ctrlPr>
                        </m:sSubPr>
                        <m:e>
                          <m:r>
                            <w:rPr>
                              <w:rFonts w:ascii="Cambria Math" w:hAnsi="Cambria Math"/>
                            </w:rPr>
                            <m:t>f</m:t>
                          </m:r>
                        </m:e>
                        <m:sub>
                          <m:r>
                            <w:rPr>
                              <w:rFonts w:ascii="Cambria Math" w:hAnsi="Cambria Math"/>
                            </w:rPr>
                            <m:t>i</m:t>
                          </m:r>
                        </m:sub>
                      </m:sSub>
                    </m:oMath>
                  </m:oMathPara>
                </w:p>
              </w:tc>
              <w:tc>
                <w:tcPr>
                  <w:tcW w:w="3960" w:type="dxa"/>
                </w:tcPr>
                <w:p w14:paraId="0EF2C436" w14:textId="77777777" w:rsidR="00EB5DB3" w:rsidRDefault="00000000">
                  <w:pPr>
                    <w:pStyle w:val="Compact"/>
                    <w:jc w:val="center"/>
                  </w:pPr>
                  <w:r>
                    <w:t>item feature vector (one-hot)</w:t>
                  </w:r>
                </w:p>
              </w:tc>
            </w:tr>
            <w:tr w:rsidR="00EB5DB3" w14:paraId="25BD3165" w14:textId="77777777">
              <w:tc>
                <w:tcPr>
                  <w:tcW w:w="3960" w:type="dxa"/>
                </w:tcPr>
                <w:p w14:paraId="3ABF9103" w14:textId="77777777" w:rsidR="00EB5DB3" w:rsidRDefault="00000000">
                  <w:pPr>
                    <w:pStyle w:val="Compact"/>
                    <w:jc w:val="center"/>
                  </w:pPr>
                  <m:oMathPara>
                    <m:oMath>
                      <m:sSup>
                        <m:sSupPr>
                          <m:ctrlPr>
                            <w:rPr>
                              <w:rFonts w:ascii="Cambria Math" w:hAnsi="Cambria Math"/>
                            </w:rPr>
                          </m:ctrlPr>
                        </m:sSupPr>
                        <m:e>
                          <m:r>
                            <w:rPr>
                              <w:rFonts w:ascii="Cambria Math" w:hAnsi="Cambria Math"/>
                            </w:rPr>
                            <m:t>M</m:t>
                          </m:r>
                        </m:e>
                        <m:sup>
                          <m:r>
                            <w:rPr>
                              <w:rFonts w:ascii="Cambria Math" w:hAnsi="Cambria Math"/>
                            </w:rPr>
                            <m:t>FC</m:t>
                          </m:r>
                        </m:sup>
                      </m:sSup>
                    </m:oMath>
                  </m:oMathPara>
                </w:p>
              </w:tc>
              <w:tc>
                <w:tcPr>
                  <w:tcW w:w="3960" w:type="dxa"/>
                </w:tcPr>
                <w:p w14:paraId="622AF9C7" w14:textId="77777777" w:rsidR="00EB5DB3" w:rsidRDefault="00000000">
                  <w:pPr>
                    <w:pStyle w:val="Compact"/>
                    <w:jc w:val="center"/>
                  </w:pPr>
                  <w:r>
                    <w:t>feature-to-context associations</w:t>
                  </w:r>
                </w:p>
              </w:tc>
            </w:tr>
            <w:tr w:rsidR="00EB5DB3" w14:paraId="07776D45" w14:textId="77777777">
              <w:tc>
                <w:tcPr>
                  <w:tcW w:w="3960" w:type="dxa"/>
                </w:tcPr>
                <w:p w14:paraId="661CAAF5" w14:textId="77777777" w:rsidR="00EB5DB3" w:rsidRDefault="00000000">
                  <w:pPr>
                    <w:pStyle w:val="Compact"/>
                    <w:jc w:val="center"/>
                  </w:pPr>
                  <m:oMathPara>
                    <m:oMath>
                      <m:sSup>
                        <m:sSupPr>
                          <m:ctrlPr>
                            <w:rPr>
                              <w:rFonts w:ascii="Cambria Math" w:hAnsi="Cambria Math"/>
                            </w:rPr>
                          </m:ctrlPr>
                        </m:sSupPr>
                        <m:e>
                          <m:r>
                            <w:rPr>
                              <w:rFonts w:ascii="Cambria Math" w:hAnsi="Cambria Math"/>
                            </w:rPr>
                            <m:t>M</m:t>
                          </m:r>
                        </m:e>
                        <m:sup>
                          <m:r>
                            <w:rPr>
                              <w:rFonts w:ascii="Cambria Math" w:hAnsi="Cambria Math"/>
                            </w:rPr>
                            <m:t>CF</m:t>
                          </m:r>
                        </m:sup>
                      </m:sSup>
                    </m:oMath>
                  </m:oMathPara>
                </w:p>
              </w:tc>
              <w:tc>
                <w:tcPr>
                  <w:tcW w:w="3960" w:type="dxa"/>
                </w:tcPr>
                <w:p w14:paraId="74D76CD7" w14:textId="77777777" w:rsidR="00EB5DB3" w:rsidRDefault="00000000">
                  <w:pPr>
                    <w:pStyle w:val="Compact"/>
                    <w:jc w:val="center"/>
                  </w:pPr>
                  <w:r>
                    <w:t>context-to-feature associations</w:t>
                  </w:r>
                </w:p>
              </w:tc>
            </w:tr>
            <w:tr w:rsidR="00EB5DB3" w14:paraId="17BE2FFA" w14:textId="77777777">
              <w:tc>
                <w:tcPr>
                  <w:tcW w:w="3960" w:type="dxa"/>
                </w:tcPr>
                <w:p w14:paraId="0BA7989B" w14:textId="77777777" w:rsidR="00EB5DB3" w:rsidRDefault="00000000">
                  <w:pPr>
                    <w:pStyle w:val="Compact"/>
                    <w:jc w:val="center"/>
                  </w:pPr>
                  <m:oMathPara>
                    <m:oMath>
                      <m:sSub>
                        <m:sSubPr>
                          <m:ctrlPr>
                            <w:rPr>
                              <w:rFonts w:ascii="Cambria Math" w:hAnsi="Cambria Math"/>
                            </w:rPr>
                          </m:ctrlPr>
                        </m:sSubPr>
                        <m:e>
                          <m:r>
                            <w:rPr>
                              <w:rFonts w:ascii="Cambria Math" w:hAnsi="Cambria Math"/>
                            </w:rPr>
                            <m:t>β</m:t>
                          </m:r>
                        </m:e>
                        <m:sub>
                          <m:r>
                            <w:rPr>
                              <w:rFonts w:ascii="Cambria Math" w:hAnsi="Cambria Math"/>
                            </w:rPr>
                            <m:t>enc</m:t>
                          </m:r>
                        </m:sub>
                      </m:sSub>
                    </m:oMath>
                  </m:oMathPara>
                </w:p>
              </w:tc>
              <w:tc>
                <w:tcPr>
                  <w:tcW w:w="3960" w:type="dxa"/>
                </w:tcPr>
                <w:p w14:paraId="3796300D" w14:textId="77777777" w:rsidR="00EB5DB3" w:rsidRDefault="00000000">
                  <w:pPr>
                    <w:pStyle w:val="Compact"/>
                    <w:jc w:val="center"/>
                  </w:pPr>
                  <w:r>
                    <w:t>encoding drift rate</w:t>
                  </w:r>
                </w:p>
              </w:tc>
            </w:tr>
            <w:tr w:rsidR="00EB5DB3" w14:paraId="6CD0486C" w14:textId="77777777">
              <w:tc>
                <w:tcPr>
                  <w:tcW w:w="3960" w:type="dxa"/>
                </w:tcPr>
                <w:p w14:paraId="764347B5" w14:textId="77777777" w:rsidR="00EB5DB3" w:rsidRDefault="00000000">
                  <w:pPr>
                    <w:pStyle w:val="Compact"/>
                    <w:jc w:val="center"/>
                  </w:pPr>
                  <m:oMathPara>
                    <m:oMath>
                      <m:sSub>
                        <m:sSubPr>
                          <m:ctrlPr>
                            <w:rPr>
                              <w:rFonts w:ascii="Cambria Math" w:hAnsi="Cambria Math"/>
                            </w:rPr>
                          </m:ctrlPr>
                        </m:sSubPr>
                        <m:e>
                          <m:r>
                            <w:rPr>
                              <w:rFonts w:ascii="Cambria Math" w:hAnsi="Cambria Math"/>
                            </w:rPr>
                            <m:t>β</m:t>
                          </m:r>
                        </m:e>
                        <m:sub>
                          <m:r>
                            <w:rPr>
                              <w:rFonts w:ascii="Cambria Math" w:hAnsi="Cambria Math"/>
                            </w:rPr>
                            <m:t>start</m:t>
                          </m:r>
                        </m:sub>
                      </m:sSub>
                    </m:oMath>
                  </m:oMathPara>
                </w:p>
              </w:tc>
              <w:tc>
                <w:tcPr>
                  <w:tcW w:w="3960" w:type="dxa"/>
                </w:tcPr>
                <w:p w14:paraId="0E22EC4F" w14:textId="77777777" w:rsidR="00EB5DB3" w:rsidRDefault="00000000">
                  <w:pPr>
                    <w:pStyle w:val="Compact"/>
                    <w:jc w:val="center"/>
                  </w:pPr>
                  <w:r>
                    <w:t>start-list drift rate</w:t>
                  </w:r>
                </w:p>
              </w:tc>
            </w:tr>
            <w:tr w:rsidR="00EB5DB3" w14:paraId="031A2891" w14:textId="77777777">
              <w:tc>
                <w:tcPr>
                  <w:tcW w:w="3960" w:type="dxa"/>
                </w:tcPr>
                <w:p w14:paraId="0D773A25" w14:textId="77777777" w:rsidR="00EB5DB3" w:rsidRDefault="00000000">
                  <w:pPr>
                    <w:pStyle w:val="Compact"/>
                    <w:jc w:val="center"/>
                  </w:pPr>
                  <m:oMathPara>
                    <m:oMath>
                      <m:sSub>
                        <m:sSubPr>
                          <m:ctrlPr>
                            <w:rPr>
                              <w:rFonts w:ascii="Cambria Math" w:hAnsi="Cambria Math"/>
                            </w:rPr>
                          </m:ctrlPr>
                        </m:sSubPr>
                        <m:e>
                          <m:r>
                            <w:rPr>
                              <w:rFonts w:ascii="Cambria Math" w:hAnsi="Cambria Math"/>
                            </w:rPr>
                            <m:t>β</m:t>
                          </m:r>
                        </m:e>
                        <m:sub>
                          <m:r>
                            <w:rPr>
                              <w:rFonts w:ascii="Cambria Math" w:hAnsi="Cambria Math"/>
                            </w:rPr>
                            <m:t>rec</m:t>
                          </m:r>
                        </m:sub>
                      </m:sSub>
                    </m:oMath>
                  </m:oMathPara>
                </w:p>
              </w:tc>
              <w:tc>
                <w:tcPr>
                  <w:tcW w:w="3960" w:type="dxa"/>
                </w:tcPr>
                <w:p w14:paraId="31FE47ED" w14:textId="77777777" w:rsidR="00EB5DB3" w:rsidRDefault="00000000">
                  <w:pPr>
                    <w:pStyle w:val="Compact"/>
                    <w:jc w:val="center"/>
                  </w:pPr>
                  <w:r>
                    <w:t>recall drift rate</w:t>
                  </w:r>
                </w:p>
              </w:tc>
            </w:tr>
            <w:tr w:rsidR="00EB5DB3" w14:paraId="42FE0E47" w14:textId="77777777">
              <w:tc>
                <w:tcPr>
                  <w:tcW w:w="3960" w:type="dxa"/>
                </w:tcPr>
                <w:p w14:paraId="1D92F182" w14:textId="77777777" w:rsidR="00EB5DB3" w:rsidRDefault="00000000">
                  <w:pPr>
                    <w:pStyle w:val="Compact"/>
                    <w:jc w:val="center"/>
                  </w:pPr>
                  <m:oMathPara>
                    <m:oMath>
                      <m:r>
                        <w:rPr>
                          <w:rFonts w:ascii="Cambria Math" w:hAnsi="Cambria Math"/>
                        </w:rPr>
                        <m:t>α</m:t>
                      </m:r>
                    </m:oMath>
                  </m:oMathPara>
                </w:p>
              </w:tc>
              <w:tc>
                <w:tcPr>
                  <w:tcW w:w="3960" w:type="dxa"/>
                </w:tcPr>
                <w:p w14:paraId="2947CFDD" w14:textId="77777777" w:rsidR="00EB5DB3" w:rsidRDefault="00000000">
                  <w:pPr>
                    <w:pStyle w:val="Compact"/>
                    <w:jc w:val="center"/>
                  </w:pPr>
                  <w:r>
                    <w:t xml:space="preserve">shared support in </w:t>
                  </w:r>
                  <m:oMath>
                    <m:sSup>
                      <m:sSupPr>
                        <m:ctrlPr>
                          <w:rPr>
                            <w:rFonts w:ascii="Cambria Math" w:hAnsi="Cambria Math"/>
                          </w:rPr>
                        </m:ctrlPr>
                      </m:sSupPr>
                      <m:e>
                        <m:r>
                          <w:rPr>
                            <w:rFonts w:ascii="Cambria Math" w:hAnsi="Cambria Math"/>
                          </w:rPr>
                          <m:t>M</m:t>
                        </m:r>
                      </m:e>
                      <m:sup>
                        <m:r>
                          <w:rPr>
                            <w:rFonts w:ascii="Cambria Math" w:hAnsi="Cambria Math"/>
                          </w:rPr>
                          <m:t>CF</m:t>
                        </m:r>
                      </m:sup>
                    </m:sSup>
                  </m:oMath>
                </w:p>
              </w:tc>
            </w:tr>
            <w:tr w:rsidR="00EB5DB3" w14:paraId="4C707529" w14:textId="77777777">
              <w:tc>
                <w:tcPr>
                  <w:tcW w:w="3960" w:type="dxa"/>
                </w:tcPr>
                <w:p w14:paraId="27768E17" w14:textId="77777777" w:rsidR="00EB5DB3" w:rsidRDefault="00000000">
                  <w:pPr>
                    <w:pStyle w:val="Compact"/>
                    <w:jc w:val="center"/>
                  </w:pPr>
                  <m:oMathPara>
                    <m:oMath>
                      <m:r>
                        <w:rPr>
                          <w:rFonts w:ascii="Cambria Math" w:hAnsi="Cambria Math"/>
                        </w:rPr>
                        <m:t>δ</m:t>
                      </m:r>
                    </m:oMath>
                  </m:oMathPara>
                </w:p>
              </w:tc>
              <w:tc>
                <w:tcPr>
                  <w:tcW w:w="3960" w:type="dxa"/>
                </w:tcPr>
                <w:p w14:paraId="0A35C919" w14:textId="77777777" w:rsidR="00EB5DB3" w:rsidRDefault="00000000">
                  <w:pPr>
                    <w:pStyle w:val="Compact"/>
                    <w:jc w:val="center"/>
                  </w:pPr>
                  <w:r>
                    <w:t xml:space="preserve">self-support in </w:t>
                  </w:r>
                  <m:oMath>
                    <m:sSup>
                      <m:sSupPr>
                        <m:ctrlPr>
                          <w:rPr>
                            <w:rFonts w:ascii="Cambria Math" w:hAnsi="Cambria Math"/>
                          </w:rPr>
                        </m:ctrlPr>
                      </m:sSupPr>
                      <m:e>
                        <m:r>
                          <w:rPr>
                            <w:rFonts w:ascii="Cambria Math" w:hAnsi="Cambria Math"/>
                          </w:rPr>
                          <m:t>M</m:t>
                        </m:r>
                      </m:e>
                      <m:sup>
                        <m:r>
                          <w:rPr>
                            <w:rFonts w:ascii="Cambria Math" w:hAnsi="Cambria Math"/>
                          </w:rPr>
                          <m:t>CF</m:t>
                        </m:r>
                      </m:sup>
                    </m:sSup>
                  </m:oMath>
                </w:p>
              </w:tc>
            </w:tr>
            <w:tr w:rsidR="00EB5DB3" w14:paraId="071A42E9" w14:textId="77777777">
              <w:tc>
                <w:tcPr>
                  <w:tcW w:w="3960" w:type="dxa"/>
                </w:tcPr>
                <w:p w14:paraId="114B7EC3" w14:textId="77777777" w:rsidR="00EB5DB3" w:rsidRDefault="00000000">
                  <w:pPr>
                    <w:pStyle w:val="Compact"/>
                    <w:jc w:val="center"/>
                  </w:pPr>
                  <m:oMathPara>
                    <m:oMath>
                      <m:r>
                        <w:rPr>
                          <w:rFonts w:ascii="Cambria Math" w:hAnsi="Cambria Math"/>
                        </w:rPr>
                        <m:t>γ</m:t>
                      </m:r>
                    </m:oMath>
                  </m:oMathPara>
                </w:p>
              </w:tc>
              <w:tc>
                <w:tcPr>
                  <w:tcW w:w="3960" w:type="dxa"/>
                </w:tcPr>
                <w:p w14:paraId="184AC2A7" w14:textId="77777777" w:rsidR="00EB5DB3" w:rsidRDefault="00000000">
                  <w:pPr>
                    <w:pStyle w:val="Compact"/>
                    <w:jc w:val="center"/>
                  </w:pPr>
                  <w:r>
                    <w:t xml:space="preserve">learning rate for </w:t>
                  </w:r>
                  <m:oMath>
                    <m:r>
                      <w:rPr>
                        <w:rFonts w:ascii="Cambria Math" w:hAnsi="Cambria Math"/>
                      </w:rPr>
                      <m:t>Δ</m:t>
                    </m:r>
                    <m:sSup>
                      <m:sSupPr>
                        <m:ctrlPr>
                          <w:rPr>
                            <w:rFonts w:ascii="Cambria Math" w:hAnsi="Cambria Math"/>
                          </w:rPr>
                        </m:ctrlPr>
                      </m:sSupPr>
                      <m:e>
                        <m:r>
                          <w:rPr>
                            <w:rFonts w:ascii="Cambria Math" w:hAnsi="Cambria Math"/>
                          </w:rPr>
                          <m:t>M</m:t>
                        </m:r>
                      </m:e>
                      <m:sup>
                        <m:r>
                          <w:rPr>
                            <w:rFonts w:ascii="Cambria Math" w:hAnsi="Cambria Math"/>
                          </w:rPr>
                          <m:t>FC</m:t>
                        </m:r>
                      </m:sup>
                    </m:sSup>
                  </m:oMath>
                </w:p>
              </w:tc>
            </w:tr>
            <w:tr w:rsidR="00EB5DB3" w14:paraId="32A5E045" w14:textId="77777777">
              <w:tc>
                <w:tcPr>
                  <w:tcW w:w="3960" w:type="dxa"/>
                </w:tcPr>
                <w:p w14:paraId="158587A4" w14:textId="77777777" w:rsidR="00EB5DB3" w:rsidRDefault="00000000">
                  <w:pPr>
                    <w:pStyle w:val="Compact"/>
                    <w:jc w:val="center"/>
                  </w:pPr>
                  <m:oMathPara>
                    <m:oMath>
                      <m:sSub>
                        <m:sSubPr>
                          <m:ctrlPr>
                            <w:rPr>
                              <w:rFonts w:ascii="Cambria Math" w:hAnsi="Cambria Math"/>
                            </w:rPr>
                          </m:ctrlPr>
                        </m:sSubPr>
                        <m:e>
                          <m:r>
                            <w:rPr>
                              <w:rFonts w:ascii="Cambria Math" w:hAnsi="Cambria Math"/>
                            </w:rPr>
                            <m:t>ϕ</m:t>
                          </m:r>
                        </m:e>
                        <m:sub>
                          <m:r>
                            <w:rPr>
                              <w:rFonts w:ascii="Cambria Math" w:hAnsi="Cambria Math"/>
                            </w:rPr>
                            <m:t>s</m:t>
                          </m:r>
                        </m:sub>
                      </m:sSub>
                    </m:oMath>
                  </m:oMathPara>
                </w:p>
              </w:tc>
              <w:tc>
                <w:tcPr>
                  <w:tcW w:w="3960" w:type="dxa"/>
                </w:tcPr>
                <w:p w14:paraId="3EB14B63" w14:textId="77777777" w:rsidR="00EB5DB3" w:rsidRDefault="00000000">
                  <w:pPr>
                    <w:pStyle w:val="Compact"/>
                    <w:jc w:val="center"/>
                  </w:pPr>
                  <w:r>
                    <w:t>primacy scale</w:t>
                  </w:r>
                </w:p>
              </w:tc>
            </w:tr>
            <w:tr w:rsidR="00EB5DB3" w14:paraId="71F10E49" w14:textId="77777777">
              <w:tc>
                <w:tcPr>
                  <w:tcW w:w="3960" w:type="dxa"/>
                </w:tcPr>
                <w:p w14:paraId="20997F99" w14:textId="77777777" w:rsidR="00EB5DB3" w:rsidRDefault="00000000">
                  <w:pPr>
                    <w:pStyle w:val="Compact"/>
                    <w:jc w:val="center"/>
                  </w:pPr>
                  <m:oMathPara>
                    <m:oMath>
                      <m:sSub>
                        <m:sSubPr>
                          <m:ctrlPr>
                            <w:rPr>
                              <w:rFonts w:ascii="Cambria Math" w:hAnsi="Cambria Math"/>
                            </w:rPr>
                          </m:ctrlPr>
                        </m:sSubPr>
                        <m:e>
                          <m:r>
                            <w:rPr>
                              <w:rFonts w:ascii="Cambria Math" w:hAnsi="Cambria Math"/>
                            </w:rPr>
                            <m:t>ϕ</m:t>
                          </m:r>
                        </m:e>
                        <m:sub>
                          <m:r>
                            <w:rPr>
                              <w:rFonts w:ascii="Cambria Math" w:hAnsi="Cambria Math"/>
                            </w:rPr>
                            <m:t>d</m:t>
                          </m:r>
                        </m:sub>
                      </m:sSub>
                    </m:oMath>
                  </m:oMathPara>
                </w:p>
              </w:tc>
              <w:tc>
                <w:tcPr>
                  <w:tcW w:w="3960" w:type="dxa"/>
                </w:tcPr>
                <w:p w14:paraId="3BC0E3D4" w14:textId="77777777" w:rsidR="00EB5DB3" w:rsidRDefault="00000000">
                  <w:pPr>
                    <w:pStyle w:val="Compact"/>
                    <w:jc w:val="center"/>
                  </w:pPr>
                  <w:r>
                    <w:t>primacy decay</w:t>
                  </w:r>
                </w:p>
              </w:tc>
            </w:tr>
            <w:tr w:rsidR="00EB5DB3" w14:paraId="635DFC44" w14:textId="77777777">
              <w:tc>
                <w:tcPr>
                  <w:tcW w:w="3960" w:type="dxa"/>
                </w:tcPr>
                <w:p w14:paraId="47BDF14B" w14:textId="77777777" w:rsidR="00EB5DB3" w:rsidRDefault="00000000">
                  <w:pPr>
                    <w:pStyle w:val="Compact"/>
                    <w:jc w:val="center"/>
                  </w:pPr>
                  <m:oMathPara>
                    <m:oMath>
                      <m:sSub>
                        <m:sSubPr>
                          <m:ctrlPr>
                            <w:rPr>
                              <w:rFonts w:ascii="Cambria Math" w:hAnsi="Cambria Math"/>
                            </w:rPr>
                          </m:ctrlPr>
                        </m:sSubPr>
                        <m:e>
                          <m:r>
                            <w:rPr>
                              <w:rFonts w:ascii="Cambria Math" w:hAnsi="Cambria Math"/>
                            </w:rPr>
                            <m:t>τ</m:t>
                          </m:r>
                        </m:e>
                        <m:sub>
                          <m:r>
                            <w:rPr>
                              <w:rFonts w:ascii="Cambria Math" w:hAnsi="Cambria Math"/>
                            </w:rPr>
                            <m:t>c</m:t>
                          </m:r>
                        </m:sub>
                      </m:sSub>
                    </m:oMath>
                  </m:oMathPara>
                </w:p>
              </w:tc>
              <w:tc>
                <w:tcPr>
                  <w:tcW w:w="3960" w:type="dxa"/>
                </w:tcPr>
                <w:p w14:paraId="5CDE9DF1" w14:textId="77777777" w:rsidR="00EB5DB3" w:rsidRDefault="00000000">
                  <w:pPr>
                    <w:pStyle w:val="Compact"/>
                    <w:jc w:val="center"/>
                  </w:pPr>
                  <w:r>
                    <w:t>choice sensitivity</w:t>
                  </w:r>
                </w:p>
              </w:tc>
            </w:tr>
            <w:tr w:rsidR="00EB5DB3" w14:paraId="04582268" w14:textId="77777777">
              <w:tc>
                <w:tcPr>
                  <w:tcW w:w="3960" w:type="dxa"/>
                </w:tcPr>
                <w:p w14:paraId="27A3B51D" w14:textId="77777777" w:rsidR="00EB5DB3" w:rsidRDefault="00000000">
                  <w:pPr>
                    <w:pStyle w:val="Compact"/>
                    <w:jc w:val="center"/>
                  </w:pPr>
                  <m:oMathPara>
                    <m:oMath>
                      <m:sSub>
                        <m:sSubPr>
                          <m:ctrlPr>
                            <w:rPr>
                              <w:rFonts w:ascii="Cambria Math" w:hAnsi="Cambria Math"/>
                            </w:rPr>
                          </m:ctrlPr>
                        </m:sSubPr>
                        <m:e>
                          <m:r>
                            <w:rPr>
                              <w:rFonts w:ascii="Cambria Math" w:hAnsi="Cambria Math"/>
                            </w:rPr>
                            <m:t>g</m:t>
                          </m:r>
                        </m:e>
                        <m:sub>
                          <m:r>
                            <w:rPr>
                              <w:rFonts w:ascii="Cambria Math" w:hAnsi="Cambria Math"/>
                            </w:rPr>
                            <m:t>i</m:t>
                          </m:r>
                        </m:sub>
                      </m:sSub>
                    </m:oMath>
                  </m:oMathPara>
                </w:p>
              </w:tc>
              <w:tc>
                <w:tcPr>
                  <w:tcW w:w="3960" w:type="dxa"/>
                </w:tcPr>
                <w:p w14:paraId="4E67EF67" w14:textId="77777777" w:rsidR="00EB5DB3" w:rsidRDefault="00000000">
                  <w:pPr>
                    <w:pStyle w:val="Compact"/>
                    <w:jc w:val="center"/>
                  </w:pPr>
                  <w:r>
                    <w:t>learning strength</w:t>
                  </w:r>
                </w:p>
              </w:tc>
            </w:tr>
            <w:tr w:rsidR="00EB5DB3" w14:paraId="32D10984" w14:textId="77777777">
              <w:tc>
                <w:tcPr>
                  <w:tcW w:w="3960" w:type="dxa"/>
                </w:tcPr>
                <w:p w14:paraId="442C970B" w14:textId="77777777" w:rsidR="00EB5DB3" w:rsidRDefault="00000000">
                  <w:pPr>
                    <w:pStyle w:val="Compact"/>
                    <w:jc w:val="center"/>
                  </w:pPr>
                  <m:oMathPara>
                    <m:oMath>
                      <m:sSub>
                        <m:sSubPr>
                          <m:ctrlPr>
                            <w:rPr>
                              <w:rFonts w:ascii="Cambria Math" w:hAnsi="Cambria Math"/>
                            </w:rPr>
                          </m:ctrlPr>
                        </m:sSubPr>
                        <m:e>
                          <m:r>
                            <w:rPr>
                              <w:rFonts w:ascii="Cambria Math" w:hAnsi="Cambria Math"/>
                            </w:rPr>
                            <m:t>L</m:t>
                          </m:r>
                        </m:e>
                        <m:sub>
                          <m:r>
                            <w:rPr>
                              <w:rFonts w:ascii="Cambria Math" w:hAnsi="Cambria Math"/>
                            </w:rPr>
                            <m:t>i</m:t>
                          </m:r>
                        </m:sub>
                      </m:sSub>
                    </m:oMath>
                  </m:oMathPara>
                </w:p>
              </w:tc>
              <w:tc>
                <w:tcPr>
                  <w:tcW w:w="3960" w:type="dxa"/>
                </w:tcPr>
                <w:p w14:paraId="7DAB61BA" w14:textId="77777777" w:rsidR="00EB5DB3" w:rsidRDefault="00000000">
                  <w:pPr>
                    <w:pStyle w:val="Compact"/>
                    <w:jc w:val="center"/>
                  </w:pPr>
                  <w:r>
                    <w:t>list-centered Early LPP</w:t>
                  </w:r>
                </w:p>
              </w:tc>
            </w:tr>
            <w:tr w:rsidR="00EB5DB3" w14:paraId="6252F75B" w14:textId="77777777">
              <w:tc>
                <w:tcPr>
                  <w:tcW w:w="3960" w:type="dxa"/>
                </w:tcPr>
                <w:p w14:paraId="1866EAD7" w14:textId="77777777" w:rsidR="00EB5DB3" w:rsidRDefault="00000000">
                  <w:pPr>
                    <w:pStyle w:val="Compact"/>
                    <w:jc w:val="center"/>
                  </w:pPr>
                  <m:oMathPara>
                    <m:oMath>
                      <m:sSub>
                        <m:sSubPr>
                          <m:ctrlPr>
                            <w:rPr>
                              <w:rFonts w:ascii="Cambria Math" w:hAnsi="Cambria Math"/>
                            </w:rPr>
                          </m:ctrlPr>
                        </m:sSubPr>
                        <m:e>
                          <m:r>
                            <w:rPr>
                              <w:rFonts w:ascii="Cambria Math" w:hAnsi="Cambria Math"/>
                            </w:rPr>
                            <m:t>κ</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L</m:t>
                          </m:r>
                        </m:sub>
                      </m:sSub>
                    </m:oMath>
                  </m:oMathPara>
                </w:p>
              </w:tc>
              <w:tc>
                <w:tcPr>
                  <w:tcW w:w="3960" w:type="dxa"/>
                </w:tcPr>
                <w:p w14:paraId="3F4C046F" w14:textId="77777777" w:rsidR="00EB5DB3" w:rsidRDefault="00000000">
                  <w:pPr>
                    <w:pStyle w:val="Compact"/>
                    <w:jc w:val="center"/>
                  </w:pPr>
                  <w:r>
                    <w:t>LPP main-effect slope, offset</w:t>
                  </w:r>
                </w:p>
              </w:tc>
            </w:tr>
            <w:tr w:rsidR="00EB5DB3" w14:paraId="34A8CFE3" w14:textId="77777777">
              <w:tc>
                <w:tcPr>
                  <w:tcW w:w="3960" w:type="dxa"/>
                </w:tcPr>
                <w:p w14:paraId="23E84084" w14:textId="77777777" w:rsidR="00EB5DB3" w:rsidRDefault="00000000">
                  <w:pPr>
                    <w:pStyle w:val="Compact"/>
                    <w:jc w:val="center"/>
                  </w:pPr>
                  <m:oMathPara>
                    <m:oMath>
                      <m:sSub>
                        <m:sSubPr>
                          <m:ctrlPr>
                            <w:rPr>
                              <w:rFonts w:ascii="Cambria Math" w:hAnsi="Cambria Math"/>
                            </w:rPr>
                          </m:ctrlPr>
                        </m:sSubPr>
                        <m:e>
                          <m:r>
                            <w:rPr>
                              <w:rFonts w:ascii="Cambria Math" w:hAnsi="Cambria Math"/>
                            </w:rPr>
                            <m:t>κ</m:t>
                          </m:r>
                        </m:e>
                        <m:sub>
                          <m:r>
                            <w:rPr>
                              <w:rFonts w:ascii="Cambria Math" w:hAnsi="Cambria Math"/>
                            </w:rPr>
                            <m:t>EL</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EL</m:t>
                          </m:r>
                        </m:sub>
                      </m:sSub>
                    </m:oMath>
                  </m:oMathPara>
                </w:p>
              </w:tc>
              <w:tc>
                <w:tcPr>
                  <w:tcW w:w="3960" w:type="dxa"/>
                </w:tcPr>
                <w:p w14:paraId="1FFFD55B" w14:textId="77777777" w:rsidR="00EB5DB3" w:rsidRDefault="00000000">
                  <w:pPr>
                    <w:pStyle w:val="Compact"/>
                    <w:jc w:val="center"/>
                  </w:pPr>
                  <w:r>
                    <w:t>LPP-by-emotion slope, offset</w:t>
                  </w:r>
                </w:p>
              </w:tc>
            </w:tr>
            <w:bookmarkEnd w:id="1"/>
          </w:tbl>
          <w:p w14:paraId="4B3C0A69" w14:textId="77777777" w:rsidR="00EB5DB3" w:rsidRDefault="00EB5DB3"/>
        </w:tc>
      </w:tr>
    </w:tbl>
    <w:p w14:paraId="0EA8AB2E" w14:textId="77777777" w:rsidR="00EB5DB3" w:rsidRDefault="00000000">
      <w:pPr>
        <w:pStyle w:val="BodyText"/>
      </w:pPr>
      <w:r>
        <w:t>Pre-experimental memory is initialized as</w:t>
      </w:r>
    </w:p>
    <w:p w14:paraId="77BBAF77" w14:textId="77777777" w:rsidR="00EB5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M</m:t>
              </m:r>
            </m:e>
            <m:sub>
              <m:r>
                <w:rPr>
                  <w:rFonts w:ascii="Cambria Math" w:hAnsi="Cambria Math"/>
                </w:rPr>
                <m:t>pre</m:t>
              </m:r>
              <m:d>
                <m:dPr>
                  <m:ctrlPr>
                    <w:rPr>
                      <w:rFonts w:ascii="Cambria Math" w:hAnsi="Cambria Math"/>
                    </w:rPr>
                  </m:ctrlPr>
                </m:dPr>
                <m:e>
                  <m:r>
                    <w:rPr>
                      <w:rFonts w:ascii="Cambria Math" w:hAnsi="Cambria Math"/>
                    </w:rPr>
                    <m:t>ij</m:t>
                  </m:r>
                </m:e>
              </m:d>
            </m:sub>
            <m:sup>
              <m:r>
                <w:rPr>
                  <w:rFonts w:ascii="Cambria Math" w:hAnsi="Cambria Math"/>
                </w:rPr>
                <m:t>FC</m:t>
              </m:r>
            </m:sup>
          </m:sSubSup>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r>
                      <m:rPr>
                        <m:sty m:val="p"/>
                      </m:rPr>
                      <w:rPr>
                        <w:rFonts w:ascii="Cambria Math" w:hAnsi="Cambria Math"/>
                      </w:rPr>
                      <m:t>-</m:t>
                    </m:r>
                    <m:r>
                      <w:rPr>
                        <w:rFonts w:ascii="Cambria Math" w:hAnsi="Cambria Math"/>
                      </w:rPr>
                      <m:t>γ</m:t>
                    </m:r>
                  </m:e>
                  <m:e>
                    <m:r>
                      <m:rPr>
                        <m:nor/>
                      </m:rPr>
                      <m:t xml:space="preserve">if </m:t>
                    </m:r>
                    <m:r>
                      <w:rPr>
                        <w:rFonts w:ascii="Cambria Math" w:hAnsi="Cambria Math"/>
                      </w:rPr>
                      <m:t>i</m:t>
                    </m:r>
                    <m:r>
                      <m:rPr>
                        <m:sty m:val="p"/>
                      </m:rPr>
                      <w:rPr>
                        <w:rFonts w:ascii="Cambria Math" w:hAnsi="Cambria Math"/>
                      </w:rPr>
                      <m:t>=</m:t>
                    </m:r>
                    <m:r>
                      <w:rPr>
                        <w:rFonts w:ascii="Cambria Math" w:hAnsi="Cambria Math"/>
                      </w:rPr>
                      <m:t>j</m:t>
                    </m:r>
                  </m:e>
                </m:mr>
                <m:mr>
                  <m:e>
                    <m:r>
                      <w:rPr>
                        <w:rFonts w:ascii="Cambria Math" w:hAnsi="Cambria Math"/>
                      </w:rPr>
                      <m:t>0</m:t>
                    </m:r>
                  </m:e>
                  <m:e>
                    <m:r>
                      <m:rPr>
                        <m:nor/>
                      </m:rPr>
                      <m:t xml:space="preserve">if </m:t>
                    </m:r>
                    <m:r>
                      <w:rPr>
                        <w:rFonts w:ascii="Cambria Math" w:hAnsi="Cambria Math"/>
                      </w:rPr>
                      <m:t>i</m:t>
                    </m:r>
                    <m:r>
                      <m:rPr>
                        <m:sty m:val="p"/>
                      </m:rPr>
                      <w:rPr>
                        <w:rFonts w:ascii="Cambria Math" w:hAnsi="Cambria Math"/>
                      </w:rPr>
                      <m:t>≠</m:t>
                    </m:r>
                    <m:r>
                      <w:rPr>
                        <w:rFonts w:ascii="Cambria Math" w:hAnsi="Cambria Math"/>
                      </w:rPr>
                      <m:t>j</m:t>
                    </m:r>
                  </m:e>
                </m:mr>
              </m:m>
            </m:e>
          </m:d>
        </m:oMath>
      </m:oMathPara>
    </w:p>
    <w:p w14:paraId="76476B6D" w14:textId="77777777" w:rsidR="00EB5DB3"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M</m:t>
              </m:r>
            </m:e>
            <m:sub>
              <m:r>
                <w:rPr>
                  <w:rFonts w:ascii="Cambria Math" w:hAnsi="Cambria Math"/>
                </w:rPr>
                <m:t>pre</m:t>
              </m:r>
              <m:d>
                <m:dPr>
                  <m:ctrlPr>
                    <w:rPr>
                      <w:rFonts w:ascii="Cambria Math" w:hAnsi="Cambria Math"/>
                    </w:rPr>
                  </m:ctrlPr>
                </m:dPr>
                <m:e>
                  <m:r>
                    <w:rPr>
                      <w:rFonts w:ascii="Cambria Math" w:hAnsi="Cambria Math"/>
                    </w:rPr>
                    <m:t>ij</m:t>
                  </m:r>
                </m:e>
              </m:d>
            </m:sub>
            <m:sup>
              <m:r>
                <w:rPr>
                  <w:rFonts w:ascii="Cambria Math" w:hAnsi="Cambria Math"/>
                </w:rPr>
                <m:t>CF</m:t>
              </m:r>
            </m:sup>
          </m:sSubSup>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δ</m:t>
                    </m:r>
                  </m:e>
                  <m:e>
                    <m:r>
                      <m:rPr>
                        <m:nor/>
                      </m:rPr>
                      <m:t xml:space="preserve">if </m:t>
                    </m:r>
                    <m:r>
                      <w:rPr>
                        <w:rFonts w:ascii="Cambria Math" w:hAnsi="Cambria Math"/>
                      </w:rPr>
                      <m:t>i</m:t>
                    </m:r>
                    <m:r>
                      <m:rPr>
                        <m:sty m:val="p"/>
                      </m:rPr>
                      <w:rPr>
                        <w:rFonts w:ascii="Cambria Math" w:hAnsi="Cambria Math"/>
                      </w:rPr>
                      <m:t>=</m:t>
                    </m:r>
                    <m:r>
                      <w:rPr>
                        <w:rFonts w:ascii="Cambria Math" w:hAnsi="Cambria Math"/>
                      </w:rPr>
                      <m:t>j</m:t>
                    </m:r>
                  </m:e>
                </m:mr>
                <m:mr>
                  <m:e>
                    <m:r>
                      <w:rPr>
                        <w:rFonts w:ascii="Cambria Math" w:hAnsi="Cambria Math"/>
                      </w:rPr>
                      <m:t>α</m:t>
                    </m:r>
                  </m:e>
                  <m:e>
                    <m:r>
                      <m:rPr>
                        <m:nor/>
                      </m:rPr>
                      <m:t xml:space="preserve">if </m:t>
                    </m:r>
                    <m:r>
                      <w:rPr>
                        <w:rFonts w:ascii="Cambria Math" w:hAnsi="Cambria Math"/>
                      </w:rPr>
                      <m:t>i</m:t>
                    </m:r>
                    <m:r>
                      <m:rPr>
                        <m:sty m:val="p"/>
                      </m:rPr>
                      <w:rPr>
                        <w:rFonts w:ascii="Cambria Math" w:hAnsi="Cambria Math"/>
                      </w:rPr>
                      <m:t>≠</m:t>
                    </m:r>
                    <m:r>
                      <w:rPr>
                        <w:rFonts w:ascii="Cambria Math" w:hAnsi="Cambria Math"/>
                      </w:rPr>
                      <m:t>j</m:t>
                    </m:r>
                  </m:e>
                </m:mr>
              </m:m>
            </m:e>
          </m:d>
        </m:oMath>
      </m:oMathPara>
    </w:p>
    <w:p w14:paraId="2CF136E6" w14:textId="77777777" w:rsidR="00EB5DB3" w:rsidRDefault="00000000">
      <w:pPr>
        <w:pStyle w:val="FirstParagraph"/>
      </w:pPr>
      <w:r>
        <w:t xml:space="preserve">During encoding, temporal contextual input is retrieved as </w:t>
      </w:r>
      <m:oMath>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IN</m:t>
            </m:r>
          </m:sup>
        </m:sSubSup>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FC</m:t>
            </m:r>
          </m:sup>
        </m:sSup>
        <m:sSub>
          <m:sSubPr>
            <m:ctrlPr>
              <w:rPr>
                <w:rFonts w:ascii="Cambria Math" w:hAnsi="Cambria Math"/>
              </w:rPr>
            </m:ctrlPr>
          </m:sSubPr>
          <m:e>
            <m:r>
              <w:rPr>
                <w:rFonts w:ascii="Cambria Math" w:hAnsi="Cambria Math"/>
              </w:rPr>
              <m:t>f</m:t>
            </m:r>
          </m:e>
          <m:sub>
            <m:r>
              <w:rPr>
                <w:rFonts w:ascii="Cambria Math" w:hAnsi="Cambria Math"/>
              </w:rPr>
              <m:t>i</m:t>
            </m:r>
          </m:sub>
        </m:sSub>
      </m:oMath>
      <w:r>
        <w:t xml:space="preserve"> and normalized to unit length. Temporal context updates according to</w:t>
      </w:r>
    </w:p>
    <w:p w14:paraId="3CD3EA99" w14:textId="77777777" w:rsidR="00EB5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T</m:t>
              </m:r>
            </m:sup>
          </m:sSubSup>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m:t>
              </m:r>
            </m:sub>
          </m:sSub>
          <m:sSubSup>
            <m:sSubSupPr>
              <m:ctrlPr>
                <w:rPr>
                  <w:rFonts w:ascii="Cambria Math" w:hAnsi="Cambria Math"/>
                </w:rPr>
              </m:ctrlPr>
            </m:sSubSup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T</m:t>
              </m:r>
            </m:sup>
          </m:sSub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enc</m:t>
              </m:r>
            </m:sub>
          </m:sSub>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IN</m:t>
              </m:r>
            </m:sup>
          </m:sSubSup>
        </m:oMath>
      </m:oMathPara>
    </w:p>
    <w:p w14:paraId="28DBCFA4" w14:textId="77777777" w:rsidR="00EB5DB3" w:rsidRDefault="00000000">
      <w:pPr>
        <w:pStyle w:val="FirstParagraph"/>
      </w:pPr>
      <m:oMathPara>
        <m:oMathParaPr>
          <m:jc m:val="center"/>
        </m:oMathParaPr>
        <m:oMath>
          <m:sSub>
            <m:sSubPr>
              <m:ctrlPr>
                <w:rPr>
                  <w:rFonts w:ascii="Cambria Math" w:hAnsi="Cambria Math"/>
                </w:rPr>
              </m:ctrlPr>
            </m:sSubPr>
            <m:e>
              <m:r>
                <w:rPr>
                  <w:rFonts w:ascii="Cambria Math" w:hAnsi="Cambria Math"/>
                </w:rPr>
                <m:t>ρ</m:t>
              </m:r>
            </m:e>
            <m:sub>
              <m:r>
                <w:rPr>
                  <w:rFonts w:ascii="Cambria Math" w:hAnsi="Cambria Math"/>
                </w:rPr>
                <m:t>i</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β</m:t>
                  </m:r>
                </m:e>
                <m:sub>
                  <m:r>
                    <w:rPr>
                      <w:rFonts w:ascii="Cambria Math" w:hAnsi="Cambria Math"/>
                    </w:rPr>
                    <m:t>enc</m:t>
                  </m:r>
                </m:sub>
                <m:sup>
                  <m:r>
                    <w:rPr>
                      <w:rFonts w:ascii="Cambria Math" w:hAnsi="Cambria Math"/>
                    </w:rPr>
                    <m:t>2</m:t>
                  </m:r>
                </m:sup>
              </m:sSubSup>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T</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IN</m:t>
                              </m:r>
                            </m:sup>
                          </m:sSubSup>
                        </m:e>
                      </m:d>
                    </m:e>
                    <m:sup>
                      <m:r>
                        <w:rPr>
                          <w:rFonts w:ascii="Cambria Math" w:hAnsi="Cambria Math"/>
                        </w:rPr>
                        <m:t>2</m:t>
                      </m:r>
                    </m:sup>
                  </m:sSup>
                  <m:r>
                    <m:rPr>
                      <m:sty m:val="p"/>
                    </m:rPr>
                    <w:rPr>
                      <w:rFonts w:ascii="Cambria Math" w:hAnsi="Cambria Math"/>
                    </w:rPr>
                    <m:t>-</m:t>
                  </m:r>
                  <m:r>
                    <w:rPr>
                      <w:rFonts w:ascii="Cambria Math" w:hAnsi="Cambria Math"/>
                    </w:rPr>
                    <m:t>1</m:t>
                  </m:r>
                </m:e>
              </m:d>
            </m:e>
          </m:rad>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enc</m:t>
              </m:r>
            </m:sub>
          </m:sSub>
          <m:d>
            <m:dPr>
              <m:ctrlPr>
                <w:rPr>
                  <w:rFonts w:ascii="Cambria Math" w:hAnsi="Cambria Math"/>
                </w:rPr>
              </m:ctrlPr>
            </m:dPr>
            <m:e>
              <m:sSubSup>
                <m:sSubSupPr>
                  <m:ctrlPr>
                    <w:rPr>
                      <w:rFonts w:ascii="Cambria Math" w:hAnsi="Cambria Math"/>
                    </w:rPr>
                  </m:ctrlPr>
                </m:sSubSup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T</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IN</m:t>
                  </m:r>
                </m:sup>
              </m:sSubSup>
            </m:e>
          </m:d>
        </m:oMath>
      </m:oMathPara>
    </w:p>
    <w:p w14:paraId="13B99B2D" w14:textId="77777777" w:rsidR="00EB5DB3" w:rsidRDefault="00000000">
      <w:pPr>
        <w:pStyle w:val="FirstParagraph"/>
      </w:pPr>
      <w:r>
        <w:t>Feature-to-context learning proceeds via Hebbian updates as:</w:t>
      </w:r>
    </w:p>
    <w:p w14:paraId="5282C398" w14:textId="77777777" w:rsidR="00EB5DB3" w:rsidRDefault="00000000">
      <w:pPr>
        <w:pStyle w:val="BodyText"/>
      </w:pPr>
      <m:oMathPara>
        <m:oMathParaPr>
          <m:jc m:val="center"/>
        </m:oMathParaPr>
        <m:oMath>
          <m:r>
            <w:rPr>
              <w:rFonts w:ascii="Cambria Math" w:hAnsi="Cambria Math"/>
            </w:rPr>
            <m:t>Δ</m:t>
          </m:r>
          <m:sSubSup>
            <m:sSubSupPr>
              <m:ctrlPr>
                <w:rPr>
                  <w:rFonts w:ascii="Cambria Math" w:hAnsi="Cambria Math"/>
                </w:rPr>
              </m:ctrlPr>
            </m:sSubSupPr>
            <m:e>
              <m:r>
                <w:rPr>
                  <w:rFonts w:ascii="Cambria Math" w:hAnsi="Cambria Math"/>
                </w:rPr>
                <m:t>M</m:t>
              </m:r>
            </m:e>
            <m:sub>
              <m:r>
                <w:rPr>
                  <w:rFonts w:ascii="Cambria Math" w:hAnsi="Cambria Math"/>
                </w:rPr>
                <m:t>ij</m:t>
              </m:r>
            </m:sub>
            <m:sup>
              <m:r>
                <w:rPr>
                  <w:rFonts w:ascii="Cambria Math" w:hAnsi="Cambria Math"/>
                </w:rPr>
                <m:t>FC</m:t>
              </m:r>
            </m:sup>
          </m:sSubSup>
          <m:r>
            <m:rPr>
              <m:sty m:val="p"/>
            </m:rP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f</m:t>
              </m:r>
            </m:e>
            <m:sub>
              <m:r>
                <w:rPr>
                  <w:rFonts w:ascii="Cambria Math" w:hAnsi="Cambria Math"/>
                </w:rPr>
                <m:t>i</m:t>
              </m:r>
            </m:sub>
          </m:sSub>
          <m:sSubSup>
            <m:sSubSupPr>
              <m:ctrlPr>
                <w:rPr>
                  <w:rFonts w:ascii="Cambria Math" w:hAnsi="Cambria Math"/>
                </w:rPr>
              </m:ctrlPr>
            </m:sSubSupPr>
            <m:e>
              <m:r>
                <w:rPr>
                  <w:rFonts w:ascii="Cambria Math" w:hAnsi="Cambria Math"/>
                </w:rPr>
                <m:t>c</m:t>
              </m:r>
            </m:e>
            <m:sub>
              <m:r>
                <w:rPr>
                  <w:rFonts w:ascii="Cambria Math" w:hAnsi="Cambria Math"/>
                </w:rPr>
                <m:t>j</m:t>
              </m:r>
            </m:sub>
            <m:sup>
              <m:r>
                <w:rPr>
                  <w:rFonts w:ascii="Cambria Math" w:hAnsi="Cambria Math"/>
                </w:rPr>
                <m:t>T</m:t>
              </m:r>
            </m:sup>
          </m:sSubSup>
        </m:oMath>
      </m:oMathPara>
    </w:p>
    <w:p w14:paraId="7D968B89" w14:textId="77777777" w:rsidR="00EB5DB3" w:rsidRDefault="00000000">
      <w:pPr>
        <w:pStyle w:val="FirstParagraph"/>
      </w:pPr>
      <w:r>
        <w:t>The primacy-graded attention term is defined as:</w:t>
      </w:r>
    </w:p>
    <w:p w14:paraId="13740780" w14:textId="77777777" w:rsidR="00EB5DB3" w:rsidRDefault="00000000">
      <w:pPr>
        <w:pStyle w:val="BodyText"/>
      </w:pPr>
      <m:oMathPara>
        <m:oMathParaPr>
          <m:jc m:val="center"/>
        </m:oMathParaPr>
        <m:oMath>
          <m:sSub>
            <m:sSubPr>
              <m:ctrlPr>
                <w:rPr>
                  <w:rFonts w:ascii="Cambria Math" w:hAnsi="Cambria Math"/>
                </w:rPr>
              </m:ctrlPr>
            </m:sSubPr>
            <m:e>
              <m:r>
                <w:rPr>
                  <w:rFonts w:ascii="Cambria Math" w:hAnsi="Cambria Math"/>
                </w:rPr>
                <m:t>ϕ</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s</m:t>
              </m:r>
            </m:sub>
          </m:sSub>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d</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1</m:t>
                  </m:r>
                </m:e>
              </m:d>
            </m:sup>
          </m:sSup>
          <m:r>
            <m:rPr>
              <m:sty m:val="p"/>
            </m:rPr>
            <w:rPr>
              <w:rFonts w:ascii="Cambria Math" w:hAnsi="Cambria Math"/>
            </w:rPr>
            <m:t>+</m:t>
          </m:r>
          <m:r>
            <w:rPr>
              <w:rFonts w:ascii="Cambria Math" w:hAnsi="Cambria Math"/>
            </w:rPr>
            <m:t>1</m:t>
          </m:r>
        </m:oMath>
      </m:oMathPara>
    </w:p>
    <w:p w14:paraId="65506F39" w14:textId="77777777" w:rsidR="00EB5DB3" w:rsidRDefault="00000000">
      <w:pPr>
        <w:pStyle w:val="FirstParagraph"/>
      </w:pPr>
      <w:r>
        <w:t>The complete learning-strength term is defined differently in each model variant (see below). In the base case, it is:</w:t>
      </w:r>
    </w:p>
    <w:p w14:paraId="59C7C09C" w14:textId="77777777" w:rsidR="00EB5DB3"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emot</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i</m:t>
              </m:r>
            </m:sub>
          </m:sSub>
        </m:oMath>
      </m:oMathPara>
    </w:p>
    <w:p w14:paraId="5F3517E2" w14:textId="77777777" w:rsidR="00EB5DB3" w:rsidRDefault="00000000">
      <w:pPr>
        <w:pStyle w:val="FirstParagraph"/>
      </w:pPr>
      <w:r>
        <w:t>Altogether, context-to-feature associations are updated as:</w:t>
      </w:r>
    </w:p>
    <w:p w14:paraId="12E21292" w14:textId="77777777" w:rsidR="00EB5DB3" w:rsidRDefault="00000000">
      <w:pPr>
        <w:pStyle w:val="BodyText"/>
      </w:pPr>
      <m:oMathPara>
        <m:oMathParaPr>
          <m:jc m:val="center"/>
        </m:oMathParaPr>
        <m:oMath>
          <m:r>
            <w:rPr>
              <w:rFonts w:ascii="Cambria Math" w:hAnsi="Cambria Math"/>
            </w:rPr>
            <m:t>Δ</m:t>
          </m:r>
          <m:sSubSup>
            <m:sSubSupPr>
              <m:ctrlPr>
                <w:rPr>
                  <w:rFonts w:ascii="Cambria Math" w:hAnsi="Cambria Math"/>
                </w:rPr>
              </m:ctrlPr>
            </m:sSubSupPr>
            <m:e>
              <m:r>
                <w:rPr>
                  <w:rFonts w:ascii="Cambria Math" w:hAnsi="Cambria Math"/>
                </w:rPr>
                <m:t>M</m:t>
              </m:r>
            </m:e>
            <m:sub>
              <m:r>
                <w:rPr>
                  <w:rFonts w:ascii="Cambria Math" w:hAnsi="Cambria Math"/>
                </w:rPr>
                <m:t>ij</m:t>
              </m:r>
            </m:sub>
            <m:sup>
              <m:r>
                <w:rPr>
                  <w:rFonts w:ascii="Cambria Math" w:hAnsi="Cambria Math"/>
                </w:rPr>
                <m:t>CF</m:t>
              </m:r>
            </m:sup>
          </m:sSubSup>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sSubSup>
            <m:sSubSupPr>
              <m:ctrlPr>
                <w:rPr>
                  <w:rFonts w:ascii="Cambria Math" w:hAnsi="Cambria Math"/>
                </w:rPr>
              </m:ctrlPr>
            </m:sSubSupPr>
            <m:e>
              <m:r>
                <w:rPr>
                  <w:rFonts w:ascii="Cambria Math" w:hAnsi="Cambria Math"/>
                </w:rPr>
                <m:t>c</m:t>
              </m:r>
            </m:e>
            <m:sub>
              <m:r>
                <w:rPr>
                  <w:rFonts w:ascii="Cambria Math" w:hAnsi="Cambria Math"/>
                </w:rPr>
                <m:t>j</m:t>
              </m:r>
            </m:sub>
            <m:sup>
              <m:r>
                <w:rPr>
                  <w:rFonts w:ascii="Cambria Math" w:hAnsi="Cambria Math"/>
                </w:rPr>
                <m:t>T</m:t>
              </m:r>
            </m:sup>
          </m:sSubSup>
          <m:sSub>
            <m:sSubPr>
              <m:ctrlPr>
                <w:rPr>
                  <w:rFonts w:ascii="Cambria Math" w:hAnsi="Cambria Math"/>
                </w:rPr>
              </m:ctrlPr>
            </m:sSubPr>
            <m:e>
              <m:r>
                <w:rPr>
                  <w:rFonts w:ascii="Cambria Math" w:hAnsi="Cambria Math"/>
                </w:rPr>
                <m:t>f</m:t>
              </m:r>
            </m:e>
            <m:sub>
              <m:r>
                <w:rPr>
                  <w:rFonts w:ascii="Cambria Math" w:hAnsi="Cambria Math"/>
                </w:rPr>
                <m:t>i</m:t>
              </m:r>
            </m:sub>
          </m:sSub>
        </m:oMath>
      </m:oMathPara>
    </w:p>
    <w:p w14:paraId="05EF19E0" w14:textId="77777777" w:rsidR="00EB5DB3" w:rsidRDefault="00000000">
      <w:pPr>
        <w:pStyle w:val="FirstParagraph"/>
      </w:pPr>
      <w:r>
        <w:t>At recall onset, temporal context is shifted toward the pre-list state as</w:t>
      </w:r>
    </w:p>
    <w:p w14:paraId="40C047A5" w14:textId="77777777" w:rsidR="00EB5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c</m:t>
              </m:r>
            </m:e>
            <m:sub>
              <m:r>
                <w:rPr>
                  <w:rFonts w:ascii="Cambria Math" w:hAnsi="Cambria Math"/>
                </w:rPr>
                <m:t>start</m:t>
              </m:r>
            </m:sub>
            <m:sup>
              <m:r>
                <w:rPr>
                  <w:rFonts w:ascii="Cambria Math" w:hAnsi="Cambria Math"/>
                </w:rPr>
                <m:t>T</m:t>
              </m:r>
            </m:sup>
          </m:sSubSup>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N</m:t>
              </m:r>
              <m:r>
                <m:rPr>
                  <m:sty m:val="p"/>
                </m:rPr>
                <w:rPr>
                  <w:rFonts w:ascii="Cambria Math" w:hAnsi="Cambria Math"/>
                </w:rPr>
                <m:t>+</m:t>
              </m:r>
              <m:r>
                <w:rPr>
                  <w:rFonts w:ascii="Cambria Math" w:hAnsi="Cambria Math"/>
                </w:rPr>
                <m:t>1</m:t>
              </m:r>
            </m:sub>
          </m:sSub>
          <m:sSubSup>
            <m:sSubSupPr>
              <m:ctrlPr>
                <w:rPr>
                  <w:rFonts w:ascii="Cambria Math" w:hAnsi="Cambria Math"/>
                </w:rPr>
              </m:ctrlPr>
            </m:sSubSupPr>
            <m:e>
              <m:r>
                <w:rPr>
                  <w:rFonts w:ascii="Cambria Math" w:hAnsi="Cambria Math"/>
                </w:rPr>
                <m:t>c</m:t>
              </m:r>
            </m:e>
            <m:sub>
              <m:r>
                <w:rPr>
                  <w:rFonts w:ascii="Cambria Math" w:hAnsi="Cambria Math"/>
                </w:rPr>
                <m:t>N</m:t>
              </m:r>
            </m:sub>
            <m:sup>
              <m:r>
                <w:rPr>
                  <w:rFonts w:ascii="Cambria Math" w:hAnsi="Cambria Math"/>
                </w:rPr>
                <m:t>T</m:t>
              </m:r>
            </m:sup>
          </m:sSub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start</m:t>
              </m:r>
            </m:sub>
          </m:sSub>
          <m:sSubSup>
            <m:sSubSupPr>
              <m:ctrlPr>
                <w:rPr>
                  <w:rFonts w:ascii="Cambria Math" w:hAnsi="Cambria Math"/>
                </w:rPr>
              </m:ctrlPr>
            </m:sSubSupPr>
            <m:e>
              <m:r>
                <w:rPr>
                  <w:rFonts w:ascii="Cambria Math" w:hAnsi="Cambria Math"/>
                </w:rPr>
                <m:t>c</m:t>
              </m:r>
            </m:e>
            <m:sub>
              <m:r>
                <w:rPr>
                  <w:rFonts w:ascii="Cambria Math" w:hAnsi="Cambria Math"/>
                </w:rPr>
                <m:t>0</m:t>
              </m:r>
            </m:sub>
            <m:sup>
              <m:r>
                <w:rPr>
                  <w:rFonts w:ascii="Cambria Math" w:hAnsi="Cambria Math"/>
                </w:rPr>
                <m:t>T</m:t>
              </m:r>
            </m:sup>
          </m:sSubSup>
        </m:oMath>
      </m:oMathPara>
    </w:p>
    <w:p w14:paraId="2B89514B" w14:textId="77777777" w:rsidR="00EB5DB3" w:rsidRDefault="00000000">
      <w:pPr>
        <w:pStyle w:val="FirstParagraph"/>
      </w:pPr>
      <w:r>
        <w:t>At each recall step, temporal context cues item activations according to:</w:t>
      </w:r>
    </w:p>
    <w:p w14:paraId="4E00879B" w14:textId="77777777" w:rsidR="00EB5DB3" w:rsidRDefault="00000000">
      <w:pPr>
        <w:pStyle w:val="BodyText"/>
      </w:pPr>
      <m:oMathPara>
        <m:oMathParaPr>
          <m:jc m:val="center"/>
        </m:oMathParaPr>
        <m:oMath>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CF</m:t>
              </m:r>
            </m:sup>
          </m:sSup>
          <m:sSup>
            <m:sSupPr>
              <m:ctrlPr>
                <w:rPr>
                  <w:rFonts w:ascii="Cambria Math" w:hAnsi="Cambria Math"/>
                </w:rPr>
              </m:ctrlPr>
            </m:sSupPr>
            <m:e>
              <m:r>
                <w:rPr>
                  <w:rFonts w:ascii="Cambria Math" w:hAnsi="Cambria Math"/>
                </w:rPr>
                <m:t>c</m:t>
              </m:r>
            </m:e>
            <m:sup>
              <m:r>
                <w:rPr>
                  <w:rFonts w:ascii="Cambria Math" w:hAnsi="Cambria Math"/>
                </w:rPr>
                <m:t>T</m:t>
              </m:r>
            </m:sup>
          </m:sSup>
        </m:oMath>
      </m:oMathPara>
    </w:p>
    <w:p w14:paraId="055F2B97" w14:textId="77777777" w:rsidR="00EB5DB3" w:rsidRDefault="00000000">
      <w:pPr>
        <w:pStyle w:val="FirstParagraph"/>
      </w:pPr>
      <w:r>
        <w:t xml:space="preserve">Given this cue, at each recall step, the probability of recalling item </w:t>
      </w:r>
      <m:oMath>
        <m:r>
          <w:rPr>
            <w:rFonts w:ascii="Cambria Math" w:hAnsi="Cambria Math"/>
          </w:rPr>
          <m:t>i</m:t>
        </m:r>
      </m:oMath>
      <w:r>
        <w:t xml:space="preserve"> is</w:t>
      </w:r>
    </w:p>
    <w:p w14:paraId="2F17F103" w14:textId="77777777" w:rsidR="00EB5DB3" w:rsidRDefault="00000000">
      <w:pPr>
        <w:pStyle w:val="BodyText"/>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i</m:t>
              </m:r>
            </m:e>
          </m:d>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A</m:t>
                  </m:r>
                </m:e>
                <m:sub>
                  <m:r>
                    <w:rPr>
                      <w:rFonts w:ascii="Cambria Math" w:hAnsi="Cambria Math"/>
                    </w:rPr>
                    <m:t>i</m:t>
                  </m:r>
                </m:sub>
                <m:sup>
                  <m:sSub>
                    <m:sSubPr>
                      <m:ctrlPr>
                        <w:rPr>
                          <w:rFonts w:ascii="Cambria Math" w:hAnsi="Cambria Math"/>
                        </w:rPr>
                      </m:ctrlPr>
                    </m:sSubPr>
                    <m:e>
                      <m:r>
                        <w:rPr>
                          <w:rFonts w:ascii="Cambria Math" w:hAnsi="Cambria Math"/>
                        </w:rPr>
                        <m:t>τ</m:t>
                      </m:r>
                    </m:e>
                    <m:sub>
                      <m:r>
                        <w:rPr>
                          <w:rFonts w:ascii="Cambria Math" w:hAnsi="Cambria Math"/>
                        </w:rPr>
                        <m:t>c</m:t>
                      </m:r>
                    </m:sub>
                  </m:sSub>
                </m:sup>
              </m:sSubSup>
            </m:num>
            <m:den>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Sup>
                    <m:sSubSupPr>
                      <m:ctrlPr>
                        <w:rPr>
                          <w:rFonts w:ascii="Cambria Math" w:hAnsi="Cambria Math"/>
                        </w:rPr>
                      </m:ctrlPr>
                    </m:sSubSupPr>
                    <m:e>
                      <m:r>
                        <w:rPr>
                          <w:rFonts w:ascii="Cambria Math" w:hAnsi="Cambria Math"/>
                        </w:rPr>
                        <m:t>A</m:t>
                      </m:r>
                    </m:e>
                    <m:sub>
                      <m:r>
                        <w:rPr>
                          <w:rFonts w:ascii="Cambria Math" w:hAnsi="Cambria Math"/>
                        </w:rPr>
                        <m:t>k</m:t>
                      </m:r>
                    </m:sub>
                    <m:sup>
                      <m:sSub>
                        <m:sSubPr>
                          <m:ctrlPr>
                            <w:rPr>
                              <w:rFonts w:ascii="Cambria Math" w:hAnsi="Cambria Math"/>
                            </w:rPr>
                          </m:ctrlPr>
                        </m:sSubPr>
                        <m:e>
                          <m:r>
                            <w:rPr>
                              <w:rFonts w:ascii="Cambria Math" w:hAnsi="Cambria Math"/>
                            </w:rPr>
                            <m:t>τ</m:t>
                          </m:r>
                        </m:e>
                        <m:sub>
                          <m:r>
                            <w:rPr>
                              <w:rFonts w:ascii="Cambria Math" w:hAnsi="Cambria Math"/>
                            </w:rPr>
                            <m:t>c</m:t>
                          </m:r>
                        </m:sub>
                      </m:sSub>
                    </m:sup>
                  </m:sSubSup>
                </m:e>
              </m:nary>
            </m:den>
          </m:f>
        </m:oMath>
      </m:oMathPara>
    </w:p>
    <w:p w14:paraId="4485B98F" w14:textId="77777777" w:rsidR="00EB5DB3" w:rsidRDefault="00000000">
      <w:pPr>
        <w:pStyle w:val="FirstParagraph"/>
      </w:pPr>
      <w:r>
        <w:t xml:space="preserve">After recall, the retrieved item’s temporal context is reinstated via </w:t>
      </w:r>
      <m:oMath>
        <m:sSup>
          <m:sSupPr>
            <m:ctrlPr>
              <w:rPr>
                <w:rFonts w:ascii="Cambria Math" w:hAnsi="Cambria Math"/>
              </w:rPr>
            </m:ctrlPr>
          </m:sSupPr>
          <m:e>
            <m:r>
              <w:rPr>
                <w:rFonts w:ascii="Cambria Math" w:hAnsi="Cambria Math"/>
              </w:rPr>
              <m:t>M</m:t>
            </m:r>
          </m:e>
          <m:sup>
            <m:r>
              <w:rPr>
                <w:rFonts w:ascii="Cambria Math" w:hAnsi="Cambria Math"/>
              </w:rPr>
              <m:t>FC</m:t>
            </m:r>
          </m:sup>
        </m:sSup>
      </m:oMath>
      <w:r>
        <w:t xml:space="preserve"> and integrated with drift rate </w:t>
      </w:r>
      <m:oMath>
        <m:sSub>
          <m:sSubPr>
            <m:ctrlPr>
              <w:rPr>
                <w:rFonts w:ascii="Cambria Math" w:hAnsi="Cambria Math"/>
              </w:rPr>
            </m:ctrlPr>
          </m:sSubPr>
          <m:e>
            <m:r>
              <w:rPr>
                <w:rFonts w:ascii="Cambria Math" w:hAnsi="Cambria Math"/>
              </w:rPr>
              <m:t>β</m:t>
            </m:r>
          </m:e>
          <m:sub>
            <m:r>
              <w:rPr>
                <w:rFonts w:ascii="Cambria Math" w:hAnsi="Cambria Math"/>
              </w:rPr>
              <m:t>rec</m:t>
            </m:r>
          </m:sub>
        </m:sSub>
      </m:oMath>
      <w:r>
        <w:t>, and the process iterates. We omit an explicit termination mechanism; instead, we match each trial’s observed output length during simulation (see below).</w:t>
      </w:r>
    </w:p>
    <w:p w14:paraId="592C8900" w14:textId="77777777" w:rsidR="00EB5DB3" w:rsidRDefault="00000000">
      <w:pPr>
        <w:pStyle w:val="Heading2"/>
      </w:pPr>
      <w:bookmarkStart w:id="2" w:name="model-variants"/>
      <w:bookmarkEnd w:id="0"/>
      <w:r>
        <w:t>Model Variants</w:t>
      </w:r>
    </w:p>
    <w:p w14:paraId="1C90ADFA" w14:textId="77777777" w:rsidR="00EB5DB3" w:rsidRDefault="00000000">
      <w:pPr>
        <w:pStyle w:val="FirstParagraph"/>
      </w:pPr>
      <w:r>
        <w:t xml:space="preserve">We compare three variants that differ only in how emotion and Early LPP enter the learning-strength term </w:t>
      </w:r>
      <m:oMath>
        <m:sSub>
          <m:sSubPr>
            <m:ctrlPr>
              <w:rPr>
                <w:rFonts w:ascii="Cambria Math" w:hAnsi="Cambria Math"/>
              </w:rPr>
            </m:ctrlPr>
          </m:sSubPr>
          <m:e>
            <m:r>
              <w:rPr>
                <w:rFonts w:ascii="Cambria Math" w:hAnsi="Cambria Math"/>
              </w:rPr>
              <m:t>g</m:t>
            </m:r>
          </m:e>
          <m:sub>
            <m:r>
              <w:rPr>
                <w:rFonts w:ascii="Cambria Math" w:hAnsi="Cambria Math"/>
              </w:rPr>
              <m:t>i</m:t>
            </m:r>
          </m:sub>
        </m:sSub>
      </m:oMath>
      <w:r>
        <w:t xml:space="preserve"> in </w:t>
      </w:r>
      <m:oMath>
        <m:r>
          <w:rPr>
            <w:rFonts w:ascii="Cambria Math" w:hAnsi="Cambria Math"/>
          </w:rPr>
          <m:t>Δ</m:t>
        </m:r>
        <m:sSubSup>
          <m:sSubSupPr>
            <m:ctrlPr>
              <w:rPr>
                <w:rFonts w:ascii="Cambria Math" w:hAnsi="Cambria Math"/>
              </w:rPr>
            </m:ctrlPr>
          </m:sSubSupPr>
          <m:e>
            <m:r>
              <w:rPr>
                <w:rFonts w:ascii="Cambria Math" w:hAnsi="Cambria Math"/>
              </w:rPr>
              <m:t>M</m:t>
            </m:r>
          </m:e>
          <m:sub>
            <m:r>
              <w:rPr>
                <w:rFonts w:ascii="Cambria Math" w:hAnsi="Cambria Math"/>
              </w:rPr>
              <m:t>ij</m:t>
            </m:r>
          </m:sub>
          <m:sup>
            <m:r>
              <w:rPr>
                <w:rFonts w:ascii="Cambria Math" w:hAnsi="Cambria Math"/>
              </w:rPr>
              <m:t>CF</m:t>
            </m:r>
          </m:sup>
        </m:sSubSup>
      </m:oMath>
      <w:r>
        <w:t xml:space="preserve">. Let </w:t>
      </w:r>
      <m:oMath>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be an indicator that equals 1 for emotional items and 0 for neutral items.</w:t>
      </w:r>
    </w:p>
    <w:p w14:paraId="756F15A7" w14:textId="77777777" w:rsidR="00EB5DB3" w:rsidRDefault="00000000">
      <w:pPr>
        <w:pStyle w:val="BodyText"/>
      </w:pPr>
      <w:r>
        <w:lastRenderedPageBreak/>
        <w:t xml:space="preserve">We define the emotion term in the learning strength as </w:t>
      </w:r>
      <m:oMath>
        <m:sSub>
          <m:sSubPr>
            <m:ctrlPr>
              <w:rPr>
                <w:rFonts w:ascii="Cambria Math" w:hAnsi="Cambria Math"/>
              </w:rPr>
            </m:ctrlPr>
          </m:sSubPr>
          <m:e>
            <m:r>
              <w:rPr>
                <w:rFonts w:ascii="Cambria Math" w:hAnsi="Cambria Math"/>
              </w:rPr>
              <m:t>ϕ</m:t>
            </m:r>
          </m:e>
          <m:sub>
            <m:r>
              <w:rPr>
                <w:rFonts w:ascii="Cambria Math" w:hAnsi="Cambria Math"/>
              </w:rPr>
              <m:t>emot</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emot</m:t>
            </m:r>
          </m:sub>
        </m:sSub>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In the emotion-only model, LPP effects are removed by setting </w:t>
      </w:r>
      <m:oMath>
        <m:sSub>
          <m:sSubPr>
            <m:ctrlPr>
              <w:rPr>
                <w:rFonts w:ascii="Cambria Math" w:hAnsi="Cambria Math"/>
              </w:rPr>
            </m:ctrlPr>
          </m:sSubPr>
          <m:e>
            <m:r>
              <w:rPr>
                <w:rFonts w:ascii="Cambria Math" w:hAnsi="Cambria Math"/>
              </w:rPr>
              <m:t>κ</m:t>
            </m:r>
          </m:e>
          <m:sub>
            <m:r>
              <w:rPr>
                <w:rFonts w:ascii="Cambria Math" w:hAnsi="Cambria Math"/>
              </w:rPr>
              <m:t>L</m:t>
            </m:r>
          </m:sub>
        </m:sSub>
        <m:r>
          <m:rPr>
            <m:sty m:val="p"/>
          </m:rPr>
          <w:rPr>
            <w:rFonts w:ascii="Cambria Math" w:hAnsi="Cambria Math"/>
          </w:rPr>
          <m:t>=</m:t>
        </m:r>
        <m:r>
          <w:rPr>
            <w:rFonts w:ascii="Cambria Math" w:hAnsi="Cambria Math"/>
          </w:rPr>
          <m:t>0</m:t>
        </m:r>
      </m:oMath>
      <w:r>
        <w:t xml:space="preserve"> and </w:t>
      </w:r>
      <m:oMath>
        <m:sSub>
          <m:sSubPr>
            <m:ctrlPr>
              <w:rPr>
                <w:rFonts w:ascii="Cambria Math" w:hAnsi="Cambria Math"/>
              </w:rPr>
            </m:ctrlPr>
          </m:sSubPr>
          <m:e>
            <m:r>
              <w:rPr>
                <w:rFonts w:ascii="Cambria Math" w:hAnsi="Cambria Math"/>
              </w:rPr>
              <m:t>κ</m:t>
            </m:r>
          </m:e>
          <m:sub>
            <m:r>
              <w:rPr>
                <w:rFonts w:ascii="Cambria Math" w:hAnsi="Cambria Math"/>
              </w:rPr>
              <m:t>EL</m:t>
            </m:r>
          </m:sub>
        </m:sSub>
        <m:r>
          <m:rPr>
            <m:sty m:val="p"/>
          </m:rPr>
          <w:rPr>
            <w:rFonts w:ascii="Cambria Math" w:hAnsi="Cambria Math"/>
          </w:rPr>
          <m:t>=</m:t>
        </m:r>
        <m:r>
          <w:rPr>
            <w:rFonts w:ascii="Cambria Math" w:hAnsi="Cambria Math"/>
          </w:rPr>
          <m:t>0</m:t>
        </m:r>
      </m:oMath>
      <w:r>
        <w:t>, yielding</w:t>
      </w:r>
    </w:p>
    <w:p w14:paraId="419E8C99" w14:textId="77777777" w:rsidR="00EB5DB3"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emot</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i</m:t>
              </m:r>
            </m:sub>
          </m:sSub>
        </m:oMath>
      </m:oMathPara>
    </w:p>
    <w:p w14:paraId="7A8496D4" w14:textId="77777777" w:rsidR="00EB5DB3" w:rsidRDefault="00000000">
      <w:pPr>
        <w:pStyle w:val="FirstParagraph"/>
      </w:pPr>
      <w:r>
        <w:t xml:space="preserve">In the main-effect model, the interaction term is removed by setting </w:t>
      </w:r>
      <m:oMath>
        <m:sSub>
          <m:sSubPr>
            <m:ctrlPr>
              <w:rPr>
                <w:rFonts w:ascii="Cambria Math" w:hAnsi="Cambria Math"/>
              </w:rPr>
            </m:ctrlPr>
          </m:sSubPr>
          <m:e>
            <m:r>
              <w:rPr>
                <w:rFonts w:ascii="Cambria Math" w:hAnsi="Cambria Math"/>
              </w:rPr>
              <m:t>κ</m:t>
            </m:r>
          </m:e>
          <m:sub>
            <m:r>
              <w:rPr>
                <w:rFonts w:ascii="Cambria Math" w:hAnsi="Cambria Math"/>
              </w:rPr>
              <m:t>EL</m:t>
            </m:r>
          </m:sub>
        </m:sSub>
        <m:r>
          <m:rPr>
            <m:sty m:val="p"/>
          </m:rPr>
          <w:rPr>
            <w:rFonts w:ascii="Cambria Math" w:hAnsi="Cambria Math"/>
          </w:rPr>
          <m:t>=</m:t>
        </m:r>
        <m:r>
          <w:rPr>
            <w:rFonts w:ascii="Cambria Math" w:hAnsi="Cambria Math"/>
          </w:rPr>
          <m:t>0</m:t>
        </m:r>
      </m:oMath>
      <w:r>
        <w:t>, yielding</w:t>
      </w:r>
    </w:p>
    <w:p w14:paraId="4B9B4DA2" w14:textId="77777777" w:rsidR="00EB5DB3"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emot</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L</m:t>
              </m:r>
            </m:sub>
          </m:sSub>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L</m:t>
                  </m:r>
                </m:sub>
              </m:sSub>
            </m:e>
          </m:d>
        </m:oMath>
      </m:oMathPara>
    </w:p>
    <w:p w14:paraId="1FFE1B0B" w14:textId="77777777" w:rsidR="00EB5DB3" w:rsidRDefault="00000000">
      <w:pPr>
        <w:pStyle w:val="FirstParagraph"/>
      </w:pPr>
      <w:r>
        <w:t>In the separate-slope model, both LPP terms are allowed, yielding</w:t>
      </w:r>
    </w:p>
    <w:p w14:paraId="72602AA4" w14:textId="77777777" w:rsidR="00EB5DB3"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emot</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L</m:t>
              </m:r>
            </m:sub>
          </m:sSub>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L</m:t>
                  </m:r>
                </m:sub>
              </m:sSub>
            </m:e>
          </m:d>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EL</m:t>
              </m:r>
            </m:sub>
          </m:sSub>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EL</m:t>
                  </m:r>
                </m:sub>
              </m:sSub>
            </m:e>
          </m:d>
          <m:sSub>
            <m:sSubPr>
              <m:ctrlPr>
                <w:rPr>
                  <w:rFonts w:ascii="Cambria Math" w:hAnsi="Cambria Math"/>
                </w:rPr>
              </m:ctrlPr>
            </m:sSubPr>
            <m:e>
              <m:r>
                <w:rPr>
                  <w:rFonts w:ascii="Cambria Math" w:hAnsi="Cambria Math"/>
                </w:rPr>
                <m:t>e</m:t>
              </m:r>
            </m:e>
            <m:sub>
              <m:r>
                <w:rPr>
                  <w:rFonts w:ascii="Cambria Math" w:hAnsi="Cambria Math"/>
                </w:rPr>
                <m:t>i</m:t>
              </m:r>
            </m:sub>
          </m:sSub>
        </m:oMath>
      </m:oMathPara>
    </w:p>
    <w:p w14:paraId="6E50D7E0" w14:textId="77777777" w:rsidR="00EB5DB3" w:rsidRDefault="00000000">
      <w:pPr>
        <w:pStyle w:val="FirstParagraph"/>
      </w:pPr>
      <w:r>
        <w:t xml:space="preserve">In implementation, negative values of </w:t>
      </w:r>
      <m:oMath>
        <m:sSub>
          <m:sSubPr>
            <m:ctrlPr>
              <w:rPr>
                <w:rFonts w:ascii="Cambria Math" w:hAnsi="Cambria Math"/>
              </w:rPr>
            </m:ctrlPr>
          </m:sSubPr>
          <m:e>
            <m:r>
              <w:rPr>
                <w:rFonts w:ascii="Cambria Math" w:hAnsi="Cambria Math"/>
              </w:rPr>
              <m:t>g</m:t>
            </m:r>
          </m:e>
          <m:sub>
            <m:r>
              <w:rPr>
                <w:rFonts w:ascii="Cambria Math" w:hAnsi="Cambria Math"/>
              </w:rPr>
              <m:t>i</m:t>
            </m:r>
          </m:sub>
        </m:sSub>
      </m:oMath>
      <w:r>
        <w:t xml:space="preserve"> are clamped to 0 in all variants.</w:t>
      </w:r>
    </w:p>
    <w:p w14:paraId="2E76A7C9" w14:textId="77777777" w:rsidR="00EB5DB3" w:rsidRDefault="00000000">
      <w:pPr>
        <w:pStyle w:val="Heading2"/>
      </w:pPr>
      <w:bookmarkStart w:id="3" w:name="evaluation-approach"/>
      <w:bookmarkEnd w:id="2"/>
      <w:r>
        <w:t>Evaluation Approach</w:t>
      </w:r>
    </w:p>
    <w:p w14:paraId="190F83CB" w14:textId="77777777" w:rsidR="00EB5DB3" w:rsidRDefault="00000000">
      <w:pPr>
        <w:pStyle w:val="FirstParagraph"/>
      </w:pPr>
      <w:r>
        <w:t xml:space="preserve">We evaluated each model by how well it predicts the unordered set of recalled items on each list (not recall order), because our data is missing recall order information and because our primary behavioral outcomes and benchmarks target item selection rather than order-dependent dynamics. Let </w:t>
      </w:r>
      <m:oMath>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denote the set of items recalled on trial </w:t>
      </w:r>
      <m:oMath>
        <m:r>
          <w:rPr>
            <w:rFonts w:ascii="Cambria Math" w:hAnsi="Cambria Math"/>
          </w:rPr>
          <m:t>t</m:t>
        </m:r>
      </m:oMath>
      <w:r>
        <w:t xml:space="preserve">, and let </w:t>
      </w:r>
      <m:oMath>
        <m:r>
          <w:rPr>
            <w:rFonts w:ascii="Cambria Math" w:hAnsi="Cambria Math"/>
          </w:rPr>
          <m:t>r</m:t>
        </m:r>
      </m:oMath>
      <w:r>
        <w:t xml:space="preserve"> range over recall sequences that contain exactly the items in </w:t>
      </w:r>
      <m:oMath>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(in any order). We define the </w:t>
      </w:r>
      <w:r>
        <w:rPr>
          <w:i/>
          <w:iCs/>
        </w:rPr>
        <w:t>set likelihood</w:t>
      </w:r>
      <w:r>
        <w:t xml:space="preserve"> as</w:t>
      </w:r>
    </w:p>
    <w:p w14:paraId="033FB7F3" w14:textId="77777777" w:rsidR="00EB5DB3" w:rsidRDefault="00000000">
      <w:pPr>
        <w:pStyle w:val="BodyText"/>
      </w:pPr>
      <m:oMathPara>
        <m:oMathParaPr>
          <m:jc m:val="center"/>
        </m:oMathParaP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θ</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 r </m:t>
              </m:r>
              <m:r>
                <m:rPr>
                  <m:nor/>
                </m:rPr>
                <m:t>yields</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t</m:t>
                  </m:r>
                </m:sub>
              </m:sSub>
            </m:sub>
            <m:sup>
              <m:r>
                <w:rPr>
                  <w:rFonts w:ascii="Cambria Math" w:hAnsi="Cambria Math"/>
                </w:rPr>
                <m:t>​</m:t>
              </m:r>
            </m:sup>
            <m:e>
              <m:r>
                <w:rPr>
                  <w:rFonts w:ascii="Cambria Math" w:hAnsi="Cambria Math"/>
                </w:rPr>
                <m:t>P</m:t>
              </m:r>
            </m:e>
          </m:nary>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θ</m:t>
              </m:r>
            </m:e>
          </m:d>
          <m:r>
            <m:rPr>
              <m:sty m:val="p"/>
            </m:rPr>
            <w:rPr>
              <w:rFonts w:ascii="Cambria Math" w:hAnsi="Cambria Math"/>
            </w:rPr>
            <m:t>,</m:t>
          </m:r>
        </m:oMath>
      </m:oMathPara>
    </w:p>
    <w:p w14:paraId="3E809768" w14:textId="77777777" w:rsidR="00EB5DB3" w:rsidRDefault="00000000">
      <w:pPr>
        <w:pStyle w:val="FirstParagraph"/>
      </w:pPr>
      <w:r>
        <w:t xml:space="preserve">where </w:t>
      </w:r>
      <m:oMath>
        <m:r>
          <w:rPr>
            <w:rFonts w:ascii="Cambria Math" w:hAnsi="Cambria Math"/>
          </w:rPr>
          <m:t>θ</m:t>
        </m:r>
      </m:oMath>
      <w:r>
        <w:t xml:space="preserve"> are the model parameters.</w:t>
      </w:r>
    </w:p>
    <w:p w14:paraId="663D381D" w14:textId="77777777" w:rsidR="00EB5DB3" w:rsidRDefault="00000000">
      <w:pPr>
        <w:pStyle w:val="BodyText"/>
      </w:pPr>
      <w:r>
        <w:t xml:space="preserve">Evaluating this sum exactly is infeasible because the number of sequences that yield a given set grows rapidly with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e>
        </m:d>
      </m:oMath>
      <w:r>
        <w:t xml:space="preserve">. We therefore approximate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θ</m:t>
            </m:r>
          </m:e>
        </m:d>
      </m:oMath>
      <w:r>
        <w:t xml:space="preserve"> by Monte Carlo sampling: for each trial we draw </w:t>
      </w:r>
      <m:oMath>
        <m:r>
          <w:rPr>
            <w:rFonts w:ascii="Cambria Math" w:hAnsi="Cambria Math"/>
          </w:rPr>
          <m:t>K</m:t>
        </m:r>
      </m:oMath>
      <w:r>
        <w:t xml:space="preserve"> random permutations </w:t>
      </w:r>
      <m:oMath>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K</m:t>
            </m:r>
          </m:sub>
        </m:sSub>
      </m:oMath>
      <w:r>
        <w:t xml:space="preserve"> of </w:t>
      </w:r>
      <m:oMath>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compute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rPr>
              <m:t>∣</m:t>
            </m:r>
            <m:r>
              <w:rPr>
                <w:rFonts w:ascii="Cambria Math" w:hAnsi="Cambria Math"/>
              </w:rPr>
              <m:t>θ</m:t>
            </m:r>
          </m:e>
        </m:d>
      </m:oMath>
      <w:r>
        <w:t xml:space="preserve">, and estimate the sum as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e>
        </m:d>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1</m:t>
            </m:r>
          </m:num>
          <m:den>
            <m:r>
              <w:rPr>
                <w:rFonts w:ascii="Cambria Math" w:hAnsi="Cambria Math"/>
              </w:rPr>
              <m:t>K</m:t>
            </m:r>
          </m:den>
        </m:f>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r>
              <w:rPr>
                <w:rFonts w:ascii="Cambria Math" w:hAnsi="Cambria Math"/>
              </w:rPr>
              <m:t>P</m:t>
            </m:r>
          </m:e>
        </m:nary>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rPr>
              <m:t>∣</m:t>
            </m:r>
            <m:r>
              <w:rPr>
                <w:rFonts w:ascii="Cambria Math" w:hAnsi="Cambria Math"/>
              </w:rPr>
              <m:t>θ</m:t>
            </m:r>
          </m:e>
        </m:d>
      </m:oMath>
      <w:r>
        <w:t xml:space="preserve">. Because the factorial factor does not depend on </w:t>
      </w:r>
      <m:oMath>
        <m:r>
          <w:rPr>
            <w:rFonts w:ascii="Cambria Math" w:hAnsi="Cambria Math"/>
          </w:rPr>
          <m:t>θ</m:t>
        </m:r>
      </m:oMath>
      <w:r>
        <w:t xml:space="preserve">, we maximize the (unscaled) mean permutation likelihood </w:t>
      </w:r>
      <m:oMath>
        <m:f>
          <m:fPr>
            <m:ctrlPr>
              <w:rPr>
                <w:rFonts w:ascii="Cambria Math" w:hAnsi="Cambria Math"/>
              </w:rPr>
            </m:ctrlPr>
          </m:fPr>
          <m:num>
            <m:r>
              <w:rPr>
                <w:rFonts w:ascii="Cambria Math" w:hAnsi="Cambria Math"/>
              </w:rPr>
              <m:t>1</m:t>
            </m:r>
          </m:num>
          <m:den>
            <m:r>
              <w:rPr>
                <w:rFonts w:ascii="Cambria Math" w:hAnsi="Cambria Math"/>
              </w:rPr>
              <m:t>K</m:t>
            </m:r>
          </m:den>
        </m:f>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r>
              <w:rPr>
                <w:rFonts w:ascii="Cambria Math" w:hAnsi="Cambria Math"/>
              </w:rPr>
              <m:t>P</m:t>
            </m:r>
          </m:e>
        </m:nary>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rPr>
              <m:t>∣</m:t>
            </m:r>
            <m:r>
              <w:rPr>
                <w:rFonts w:ascii="Cambria Math" w:hAnsi="Cambria Math"/>
              </w:rPr>
              <m:t>θ</m:t>
            </m:r>
          </m:e>
        </m:d>
      </m:oMath>
      <w:r>
        <w:t xml:space="preserve">, which is proportional to the set likelihood and yields identical fits and </w:t>
      </w:r>
      <m:oMath>
        <m:r>
          <w:rPr>
            <w:rFonts w:ascii="Cambria Math" w:hAnsi="Cambria Math"/>
          </w:rPr>
          <m:t>Δ</m:t>
        </m:r>
      </m:oMath>
      <w:r>
        <w:t>AIC comparisons.</w:t>
      </w:r>
    </w:p>
    <w:p w14:paraId="559E9E61" w14:textId="77777777" w:rsidR="00EB5DB3" w:rsidRDefault="00000000">
      <w:pPr>
        <w:pStyle w:val="BodyText"/>
      </w:pPr>
      <w:r>
        <w:t>We maximize the objective with differential evolution (Storn and Price 1997). Because the optimizer is stochastic, we run three independent fits per participant and model variant and retain the best-performing fit. We compare variants using AIC computed from the approximate set log-likelihood. We then assess qualitative adequacy by simulating each fitted model on the study lists while matching each trial’s observed output length and plotting the benchmark summaries. This set-likelihood approach evaluates models on their ability to reproduce the full recalled sets, providing a stringent test of mechanistic hypotheses.</w:t>
      </w:r>
    </w:p>
    <w:p w14:paraId="412ED404" w14:textId="77777777" w:rsidR="00EB5DB3" w:rsidRDefault="00000000">
      <w:pPr>
        <w:pStyle w:val="Heading2"/>
      </w:pPr>
      <w:bookmarkStart w:id="4" w:name="comparison-results"/>
      <w:bookmarkEnd w:id="3"/>
      <w:r>
        <w:lastRenderedPageBreak/>
        <w:t>Comparison Results</w:t>
      </w:r>
    </w:p>
    <w:p w14:paraId="3C88830E" w14:textId="77777777" w:rsidR="00EB5DB3" w:rsidRDefault="00000000">
      <w:pPr>
        <w:pStyle w:val="FirstParagraph"/>
      </w:pPr>
      <w:r>
        <w:t xml:space="preserve">The Emotion + LPP (interaction) model provides the best fit by all comparison metrics. </w:t>
      </w:r>
      <w:hyperlink w:anchor="tbl-talmi-delta-aic">
        <w:r>
          <w:rPr>
            <w:rStyle w:val="Hyperlink"/>
          </w:rPr>
          <w:t>Table 2</w:t>
        </w:r>
      </w:hyperlink>
      <w:r>
        <w:t xml:space="preserve"> reports pairwise delta AIC values used in the comparisons above. Parameter estimates were similar across variants, so inference is driven primarily by relative fit and benchmark behavior.</w:t>
      </w:r>
    </w:p>
    <w:tbl>
      <w:tblPr>
        <w:tblStyle w:val="Table"/>
        <w:tblW w:w="5000" w:type="pct"/>
        <w:tblLayout w:type="fixed"/>
        <w:tblLook w:val="0000" w:firstRow="0" w:lastRow="0" w:firstColumn="0" w:lastColumn="0" w:noHBand="0" w:noVBand="0"/>
      </w:tblPr>
      <w:tblGrid>
        <w:gridCol w:w="9360"/>
      </w:tblGrid>
      <w:tr w:rsidR="00EB5DB3" w14:paraId="207D8346" w14:textId="77777777">
        <w:tc>
          <w:tcPr>
            <w:tcW w:w="7920" w:type="dxa"/>
          </w:tcPr>
          <w:p w14:paraId="5C18959D" w14:textId="77777777" w:rsidR="00EB5DB3" w:rsidRDefault="00000000">
            <w:pPr>
              <w:pStyle w:val="ImageCaption"/>
              <w:spacing w:before="200"/>
            </w:pPr>
            <w:bookmarkStart w:id="5" w:name="tbl-talmi-delta-aic"/>
            <w:r>
              <w:t>Table 2: Pairwise delta AIC (row minus column; mean [95% t-based CI]).</w:t>
            </w:r>
          </w:p>
          <w:tbl>
            <w:tblPr>
              <w:tblStyle w:val="Table"/>
              <w:tblW w:w="5000" w:type="pct"/>
              <w:tblLayout w:type="fixed"/>
              <w:tblLook w:val="0020" w:firstRow="1" w:lastRow="0" w:firstColumn="0" w:lastColumn="0" w:noHBand="0" w:noVBand="0"/>
            </w:tblPr>
            <w:tblGrid>
              <w:gridCol w:w="3108"/>
              <w:gridCol w:w="2012"/>
              <w:gridCol w:w="2012"/>
              <w:gridCol w:w="2012"/>
            </w:tblGrid>
            <w:tr w:rsidR="00EB5DB3" w14:paraId="2FC476D2" w14:textId="77777777" w:rsidTr="00EB5DB3">
              <w:trPr>
                <w:cnfStyle w:val="100000000000" w:firstRow="1" w:lastRow="0" w:firstColumn="0" w:lastColumn="0" w:oddVBand="0" w:evenVBand="0" w:oddHBand="0" w:evenHBand="0" w:firstRowFirstColumn="0" w:firstRowLastColumn="0" w:lastRowFirstColumn="0" w:lastRowLastColumn="0"/>
                <w:tblHeader/>
              </w:trPr>
              <w:tc>
                <w:tcPr>
                  <w:tcW w:w="2692" w:type="dxa"/>
                </w:tcPr>
                <w:p w14:paraId="36308698" w14:textId="77777777" w:rsidR="00EB5DB3" w:rsidRDefault="00EB5DB3">
                  <w:pPr>
                    <w:pStyle w:val="Compact"/>
                  </w:pPr>
                </w:p>
              </w:tc>
              <w:tc>
                <w:tcPr>
                  <w:tcW w:w="1742" w:type="dxa"/>
                </w:tcPr>
                <w:p w14:paraId="7EA857E5" w14:textId="77777777" w:rsidR="00EB5DB3" w:rsidRDefault="00000000">
                  <w:pPr>
                    <w:pStyle w:val="Compact"/>
                    <w:jc w:val="center"/>
                  </w:pPr>
                  <w:r>
                    <w:t>Emotion + LPP (main effects)</w:t>
                  </w:r>
                </w:p>
              </w:tc>
              <w:tc>
                <w:tcPr>
                  <w:tcW w:w="1742" w:type="dxa"/>
                </w:tcPr>
                <w:p w14:paraId="1B40F4DD" w14:textId="77777777" w:rsidR="00EB5DB3" w:rsidRDefault="00000000">
                  <w:pPr>
                    <w:pStyle w:val="Compact"/>
                    <w:jc w:val="center"/>
                  </w:pPr>
                  <w:r>
                    <w:t>Emotion + LPP (interaction)</w:t>
                  </w:r>
                </w:p>
              </w:tc>
              <w:tc>
                <w:tcPr>
                  <w:tcW w:w="1742" w:type="dxa"/>
                </w:tcPr>
                <w:p w14:paraId="25FE81C0" w14:textId="77777777" w:rsidR="00EB5DB3" w:rsidRDefault="00000000">
                  <w:pPr>
                    <w:pStyle w:val="Compact"/>
                    <w:jc w:val="center"/>
                  </w:pPr>
                  <w:r>
                    <w:t>Emotion-only</w:t>
                  </w:r>
                </w:p>
              </w:tc>
            </w:tr>
            <w:tr w:rsidR="00EB5DB3" w14:paraId="20A21101" w14:textId="77777777">
              <w:tc>
                <w:tcPr>
                  <w:tcW w:w="2692" w:type="dxa"/>
                </w:tcPr>
                <w:p w14:paraId="1F0F287D" w14:textId="77777777" w:rsidR="00EB5DB3" w:rsidRDefault="00000000">
                  <w:pPr>
                    <w:pStyle w:val="Compact"/>
                    <w:jc w:val="center"/>
                  </w:pPr>
                  <w:r>
                    <w:t>Emotion + LPP (main effects)</w:t>
                  </w:r>
                </w:p>
              </w:tc>
              <w:tc>
                <w:tcPr>
                  <w:tcW w:w="1742" w:type="dxa"/>
                </w:tcPr>
                <w:p w14:paraId="239100DA" w14:textId="77777777" w:rsidR="00EB5DB3" w:rsidRDefault="00000000">
                  <w:pPr>
                    <w:pStyle w:val="Compact"/>
                    <w:jc w:val="center"/>
                  </w:pPr>
                  <w:r>
                    <w:t>NA</w:t>
                  </w:r>
                </w:p>
              </w:tc>
              <w:tc>
                <w:tcPr>
                  <w:tcW w:w="1742" w:type="dxa"/>
                </w:tcPr>
                <w:p w14:paraId="0CDA82F1" w14:textId="77777777" w:rsidR="00EB5DB3" w:rsidRDefault="00000000">
                  <w:pPr>
                    <w:pStyle w:val="Compact"/>
                    <w:jc w:val="center"/>
                  </w:pPr>
                  <w:r>
                    <w:t>1.12 [0.13, 2.11]</w:t>
                  </w:r>
                </w:p>
              </w:tc>
              <w:tc>
                <w:tcPr>
                  <w:tcW w:w="1742" w:type="dxa"/>
                </w:tcPr>
                <w:p w14:paraId="35DDFF90" w14:textId="77777777" w:rsidR="00EB5DB3" w:rsidRDefault="00000000">
                  <w:pPr>
                    <w:pStyle w:val="Compact"/>
                    <w:jc w:val="center"/>
                  </w:pPr>
                  <w:r>
                    <w:t>-2.86 [-4.14, -1.57]</w:t>
                  </w:r>
                </w:p>
              </w:tc>
            </w:tr>
            <w:tr w:rsidR="00EB5DB3" w14:paraId="16B3F44D" w14:textId="77777777">
              <w:tc>
                <w:tcPr>
                  <w:tcW w:w="2692" w:type="dxa"/>
                </w:tcPr>
                <w:p w14:paraId="0473171A" w14:textId="77777777" w:rsidR="00EB5DB3" w:rsidRDefault="00000000">
                  <w:pPr>
                    <w:pStyle w:val="Compact"/>
                    <w:jc w:val="center"/>
                  </w:pPr>
                  <w:r>
                    <w:t>Emotion + LPP (interaction)</w:t>
                  </w:r>
                </w:p>
              </w:tc>
              <w:tc>
                <w:tcPr>
                  <w:tcW w:w="1742" w:type="dxa"/>
                </w:tcPr>
                <w:p w14:paraId="4E49FBB7" w14:textId="77777777" w:rsidR="00EB5DB3" w:rsidRDefault="00000000">
                  <w:pPr>
                    <w:pStyle w:val="Compact"/>
                    <w:jc w:val="center"/>
                  </w:pPr>
                  <w:r>
                    <w:t>-1.12 [-2.11, -0.13]</w:t>
                  </w:r>
                </w:p>
              </w:tc>
              <w:tc>
                <w:tcPr>
                  <w:tcW w:w="1742" w:type="dxa"/>
                </w:tcPr>
                <w:p w14:paraId="074A68F6" w14:textId="77777777" w:rsidR="00EB5DB3" w:rsidRDefault="00000000">
                  <w:pPr>
                    <w:pStyle w:val="Compact"/>
                    <w:jc w:val="center"/>
                  </w:pPr>
                  <w:r>
                    <w:t>NA</w:t>
                  </w:r>
                </w:p>
              </w:tc>
              <w:tc>
                <w:tcPr>
                  <w:tcW w:w="1742" w:type="dxa"/>
                </w:tcPr>
                <w:p w14:paraId="4CA951CD" w14:textId="77777777" w:rsidR="00EB5DB3" w:rsidRDefault="00000000">
                  <w:pPr>
                    <w:pStyle w:val="Compact"/>
                    <w:jc w:val="center"/>
                  </w:pPr>
                  <w:r>
                    <w:t>-3.98 [-5.71, -2.25]</w:t>
                  </w:r>
                </w:p>
              </w:tc>
            </w:tr>
            <w:tr w:rsidR="00EB5DB3" w14:paraId="5725A6D2" w14:textId="77777777">
              <w:tc>
                <w:tcPr>
                  <w:tcW w:w="2692" w:type="dxa"/>
                </w:tcPr>
                <w:p w14:paraId="10AFE4C0" w14:textId="77777777" w:rsidR="00EB5DB3" w:rsidRDefault="00000000">
                  <w:pPr>
                    <w:pStyle w:val="Compact"/>
                    <w:jc w:val="center"/>
                  </w:pPr>
                  <w:r>
                    <w:t>Emotion-only</w:t>
                  </w:r>
                </w:p>
              </w:tc>
              <w:tc>
                <w:tcPr>
                  <w:tcW w:w="1742" w:type="dxa"/>
                </w:tcPr>
                <w:p w14:paraId="46E744C2" w14:textId="77777777" w:rsidR="00EB5DB3" w:rsidRDefault="00000000">
                  <w:pPr>
                    <w:pStyle w:val="Compact"/>
                    <w:jc w:val="center"/>
                  </w:pPr>
                  <w:r>
                    <w:t>2.86 [1.57, 4.14]</w:t>
                  </w:r>
                </w:p>
              </w:tc>
              <w:tc>
                <w:tcPr>
                  <w:tcW w:w="1742" w:type="dxa"/>
                </w:tcPr>
                <w:p w14:paraId="3145AA5B" w14:textId="77777777" w:rsidR="00EB5DB3" w:rsidRDefault="00000000">
                  <w:pPr>
                    <w:pStyle w:val="Compact"/>
                    <w:jc w:val="center"/>
                  </w:pPr>
                  <w:r>
                    <w:t>3.98 [2.25, 5.71]</w:t>
                  </w:r>
                </w:p>
              </w:tc>
              <w:tc>
                <w:tcPr>
                  <w:tcW w:w="1742" w:type="dxa"/>
                </w:tcPr>
                <w:p w14:paraId="58A543C4" w14:textId="77777777" w:rsidR="00EB5DB3" w:rsidRDefault="00000000">
                  <w:pPr>
                    <w:pStyle w:val="Compact"/>
                    <w:jc w:val="center"/>
                  </w:pPr>
                  <w:r>
                    <w:t>NA</w:t>
                  </w:r>
                </w:p>
              </w:tc>
            </w:tr>
            <w:bookmarkEnd w:id="5"/>
          </w:tbl>
          <w:p w14:paraId="5A7DA05A" w14:textId="77777777" w:rsidR="00EB5DB3" w:rsidRDefault="00EB5DB3"/>
        </w:tc>
      </w:tr>
    </w:tbl>
    <w:p w14:paraId="0A21E176" w14:textId="77777777" w:rsidR="00EB5DB3" w:rsidRDefault="00000000">
      <w:pPr>
        <w:pStyle w:val="BodyText"/>
      </w:pPr>
      <w:hyperlink w:anchor="fig-eeg_benchmark_fits">
        <w:r>
          <w:rPr>
            <w:rStyle w:val="Hyperlink"/>
          </w:rPr>
          <w:t>Figure 1</w:t>
        </w:r>
      </w:hyperlink>
      <w:r>
        <w:t xml:space="preserve"> summarizes empirical benchmarks and their simulations for all fitted variants. In the Emotion-only simulations, the model captures much of the emotional enhancement of memory in the Category-SPC but shows little separation between recalled and unrecalled negative items in Early LPP. This pattern indicates that emotion labels alone can reproduce the overall category advantage without explaining LPP-linked recall differences. In the Emotion + LPP (main effects) simulations, the model fits both summary statistics but assigns a larger recalled–unrecalled difference for neutral items and a smaller difference for negative items. This pattern suggests that a single LPP slope captures the overall association while misallocating the emotion-specific separation. In the Emotion + LPP (interaction) simulations, the Category-SPC preserves emotional enhancement of memory and the Early LPP panel shows a clearer emotion-dependent separation between recalled and unrecalled items. Together these benchmarks indicate that combining emotion and LPP with an interaction provides the most faithful account of both the category-level advantage and the emotion-specific LPP–recall pattern.</w:t>
      </w:r>
    </w:p>
    <w:tbl>
      <w:tblPr>
        <w:tblStyle w:val="Table"/>
        <w:tblW w:w="4900" w:type="pct"/>
        <w:tblLayout w:type="fixed"/>
        <w:tblLook w:val="0000" w:firstRow="0" w:lastRow="0" w:firstColumn="0" w:lastColumn="0" w:noHBand="0" w:noVBand="0"/>
      </w:tblPr>
      <w:tblGrid>
        <w:gridCol w:w="4586"/>
        <w:gridCol w:w="4587"/>
      </w:tblGrid>
      <w:tr w:rsidR="00EB5DB3" w14:paraId="75E23846" w14:textId="77777777">
        <w:tc>
          <w:tcPr>
            <w:tcW w:w="3880" w:type="dxa"/>
          </w:tcPr>
          <w:p w14:paraId="50D314DA" w14:textId="77777777" w:rsidR="00EB5DB3" w:rsidRDefault="00000000">
            <w:pPr>
              <w:jc w:val="center"/>
            </w:pPr>
            <w:bookmarkStart w:id="6" w:name="fig-eeg_benchmark_fits"/>
            <w:r>
              <w:rPr>
                <w:noProof/>
              </w:rPr>
              <w:lastRenderedPageBreak/>
              <w:drawing>
                <wp:inline distT="0" distB="0" distL="0" distR="0" wp14:anchorId="4A13AE70" wp14:editId="7017E3C3">
                  <wp:extent cx="2971800" cy="2306686"/>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results/figures/fitting/TalmiEEG_EEGEmotionOnly_50_set_likelihood_fixed_term_best_of_3_cat_spc.png"/>
                          <pic:cNvPicPr>
                            <a:picLocks noChangeAspect="1" noChangeArrowheads="1"/>
                          </pic:cNvPicPr>
                        </pic:nvPicPr>
                        <pic:blipFill>
                          <a:blip r:embed="rId5"/>
                          <a:stretch>
                            <a:fillRect/>
                          </a:stretch>
                        </pic:blipFill>
                        <pic:spPr bwMode="auto">
                          <a:xfrm>
                            <a:off x="0" y="0"/>
                            <a:ext cx="2971800" cy="2306686"/>
                          </a:xfrm>
                          <a:prstGeom prst="rect">
                            <a:avLst/>
                          </a:prstGeom>
                          <a:noFill/>
                          <a:ln w="9525">
                            <a:noFill/>
                            <a:headEnd/>
                            <a:tailEnd/>
                          </a:ln>
                        </pic:spPr>
                      </pic:pic>
                    </a:graphicData>
                  </a:graphic>
                </wp:inline>
              </w:drawing>
            </w:r>
          </w:p>
        </w:tc>
        <w:tc>
          <w:tcPr>
            <w:tcW w:w="3880" w:type="dxa"/>
          </w:tcPr>
          <w:p w14:paraId="4CD3D6BF" w14:textId="77777777" w:rsidR="00EB5DB3" w:rsidRDefault="00000000">
            <w:pPr>
              <w:jc w:val="center"/>
            </w:pPr>
            <w:r>
              <w:rPr>
                <w:noProof/>
              </w:rPr>
              <w:drawing>
                <wp:inline distT="0" distB="0" distL="0" distR="0" wp14:anchorId="5F89B150" wp14:editId="40644578">
                  <wp:extent cx="2971800" cy="2207387"/>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results/figures/fitting/TalmiEEG_EEGEmotionOnly_50_set_likelihood_fixed_term_best_of_3_cat_lpp_by_recall.png"/>
                          <pic:cNvPicPr>
                            <a:picLocks noChangeAspect="1" noChangeArrowheads="1"/>
                          </pic:cNvPicPr>
                        </pic:nvPicPr>
                        <pic:blipFill>
                          <a:blip r:embed="rId6"/>
                          <a:stretch>
                            <a:fillRect/>
                          </a:stretch>
                        </pic:blipFill>
                        <pic:spPr bwMode="auto">
                          <a:xfrm>
                            <a:off x="0" y="0"/>
                            <a:ext cx="2971800" cy="2207387"/>
                          </a:xfrm>
                          <a:prstGeom prst="rect">
                            <a:avLst/>
                          </a:prstGeom>
                          <a:noFill/>
                          <a:ln w="9525">
                            <a:noFill/>
                            <a:headEnd/>
                            <a:tailEnd/>
                          </a:ln>
                        </pic:spPr>
                      </pic:pic>
                    </a:graphicData>
                  </a:graphic>
                </wp:inline>
              </w:drawing>
            </w:r>
          </w:p>
        </w:tc>
      </w:tr>
    </w:tbl>
    <w:p w14:paraId="0295BBF0" w14:textId="77777777" w:rsidR="00EB5DB3" w:rsidRDefault="00EB5DB3">
      <w:pPr>
        <w:framePr w:h="0" w:wrap="auto" w:hAnchor="margin" w:xAlign="right" w:yAlign="top"/>
      </w:pPr>
    </w:p>
    <w:tbl>
      <w:tblPr>
        <w:tblStyle w:val="Table"/>
        <w:tblW w:w="4900" w:type="pct"/>
        <w:tblLayout w:type="fixed"/>
        <w:tblLook w:val="0000" w:firstRow="0" w:lastRow="0" w:firstColumn="0" w:lastColumn="0" w:noHBand="0" w:noVBand="0"/>
      </w:tblPr>
      <w:tblGrid>
        <w:gridCol w:w="4586"/>
        <w:gridCol w:w="4587"/>
      </w:tblGrid>
      <w:tr w:rsidR="00EB5DB3" w14:paraId="33479938" w14:textId="77777777">
        <w:tc>
          <w:tcPr>
            <w:tcW w:w="3880" w:type="dxa"/>
          </w:tcPr>
          <w:p w14:paraId="455785E2" w14:textId="77777777" w:rsidR="00EB5DB3" w:rsidRDefault="00000000">
            <w:pPr>
              <w:jc w:val="center"/>
            </w:pPr>
            <w:r>
              <w:rPr>
                <w:noProof/>
              </w:rPr>
              <w:drawing>
                <wp:inline distT="0" distB="0" distL="0" distR="0" wp14:anchorId="61C9ECA6" wp14:editId="1A889744">
                  <wp:extent cx="2971800" cy="2306686"/>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results/figures/fitting/TalmiEEG_EEGMainEffects_50_set_likelihood_fixed_term_best_of_3_cat_spc.png"/>
                          <pic:cNvPicPr>
                            <a:picLocks noChangeAspect="1" noChangeArrowheads="1"/>
                          </pic:cNvPicPr>
                        </pic:nvPicPr>
                        <pic:blipFill>
                          <a:blip r:embed="rId7"/>
                          <a:stretch>
                            <a:fillRect/>
                          </a:stretch>
                        </pic:blipFill>
                        <pic:spPr bwMode="auto">
                          <a:xfrm>
                            <a:off x="0" y="0"/>
                            <a:ext cx="2971800" cy="2306686"/>
                          </a:xfrm>
                          <a:prstGeom prst="rect">
                            <a:avLst/>
                          </a:prstGeom>
                          <a:noFill/>
                          <a:ln w="9525">
                            <a:noFill/>
                            <a:headEnd/>
                            <a:tailEnd/>
                          </a:ln>
                        </pic:spPr>
                      </pic:pic>
                    </a:graphicData>
                  </a:graphic>
                </wp:inline>
              </w:drawing>
            </w:r>
          </w:p>
        </w:tc>
        <w:tc>
          <w:tcPr>
            <w:tcW w:w="3880" w:type="dxa"/>
          </w:tcPr>
          <w:p w14:paraId="49B80293" w14:textId="77777777" w:rsidR="00EB5DB3" w:rsidRDefault="00000000">
            <w:pPr>
              <w:jc w:val="center"/>
            </w:pPr>
            <w:r>
              <w:rPr>
                <w:noProof/>
              </w:rPr>
              <w:drawing>
                <wp:inline distT="0" distB="0" distL="0" distR="0" wp14:anchorId="051FC1F5" wp14:editId="2E607499">
                  <wp:extent cx="2971800" cy="2207387"/>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results/figures/fitting/TalmiEEG_EEGMainEffects_50_set_likelihood_fixed_term_best_of_3_cat_lpp_by_recall.png"/>
                          <pic:cNvPicPr>
                            <a:picLocks noChangeAspect="1" noChangeArrowheads="1"/>
                          </pic:cNvPicPr>
                        </pic:nvPicPr>
                        <pic:blipFill>
                          <a:blip r:embed="rId8"/>
                          <a:stretch>
                            <a:fillRect/>
                          </a:stretch>
                        </pic:blipFill>
                        <pic:spPr bwMode="auto">
                          <a:xfrm>
                            <a:off x="0" y="0"/>
                            <a:ext cx="2971800" cy="2207387"/>
                          </a:xfrm>
                          <a:prstGeom prst="rect">
                            <a:avLst/>
                          </a:prstGeom>
                          <a:noFill/>
                          <a:ln w="9525">
                            <a:noFill/>
                            <a:headEnd/>
                            <a:tailEnd/>
                          </a:ln>
                        </pic:spPr>
                      </pic:pic>
                    </a:graphicData>
                  </a:graphic>
                </wp:inline>
              </w:drawing>
            </w:r>
          </w:p>
        </w:tc>
      </w:tr>
    </w:tbl>
    <w:p w14:paraId="5CCDCEB0" w14:textId="77777777" w:rsidR="00EB5DB3" w:rsidRDefault="00EB5DB3">
      <w:pPr>
        <w:framePr w:h="0" w:wrap="auto" w:hAnchor="margin" w:xAlign="right" w:yAlign="top"/>
      </w:pPr>
    </w:p>
    <w:tbl>
      <w:tblPr>
        <w:tblStyle w:val="Table"/>
        <w:tblW w:w="4900" w:type="pct"/>
        <w:tblLayout w:type="fixed"/>
        <w:tblLook w:val="0000" w:firstRow="0" w:lastRow="0" w:firstColumn="0" w:lastColumn="0" w:noHBand="0" w:noVBand="0"/>
      </w:tblPr>
      <w:tblGrid>
        <w:gridCol w:w="4586"/>
        <w:gridCol w:w="4587"/>
      </w:tblGrid>
      <w:tr w:rsidR="00EB5DB3" w14:paraId="71094759" w14:textId="77777777">
        <w:tc>
          <w:tcPr>
            <w:tcW w:w="3880" w:type="dxa"/>
          </w:tcPr>
          <w:p w14:paraId="5E7F0B81" w14:textId="77777777" w:rsidR="00EB5DB3" w:rsidRDefault="00000000">
            <w:pPr>
              <w:jc w:val="center"/>
            </w:pPr>
            <w:r>
              <w:rPr>
                <w:noProof/>
              </w:rPr>
              <w:drawing>
                <wp:inline distT="0" distB="0" distL="0" distR="0" wp14:anchorId="4565EBF2" wp14:editId="72197F00">
                  <wp:extent cx="2971800" cy="2306686"/>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results/figures/fitting/TalmiEEG_EEGMainEffectsPlusInteraction_50_set_likelihood_fixed_term_best_of_3_cat_spc.png"/>
                          <pic:cNvPicPr>
                            <a:picLocks noChangeAspect="1" noChangeArrowheads="1"/>
                          </pic:cNvPicPr>
                        </pic:nvPicPr>
                        <pic:blipFill>
                          <a:blip r:embed="rId9"/>
                          <a:stretch>
                            <a:fillRect/>
                          </a:stretch>
                        </pic:blipFill>
                        <pic:spPr bwMode="auto">
                          <a:xfrm>
                            <a:off x="0" y="0"/>
                            <a:ext cx="2971800" cy="2306686"/>
                          </a:xfrm>
                          <a:prstGeom prst="rect">
                            <a:avLst/>
                          </a:prstGeom>
                          <a:noFill/>
                          <a:ln w="9525">
                            <a:noFill/>
                            <a:headEnd/>
                            <a:tailEnd/>
                          </a:ln>
                        </pic:spPr>
                      </pic:pic>
                    </a:graphicData>
                  </a:graphic>
                </wp:inline>
              </w:drawing>
            </w:r>
          </w:p>
        </w:tc>
        <w:tc>
          <w:tcPr>
            <w:tcW w:w="3880" w:type="dxa"/>
          </w:tcPr>
          <w:p w14:paraId="4AE93E56" w14:textId="77777777" w:rsidR="00EB5DB3" w:rsidRDefault="00000000">
            <w:pPr>
              <w:jc w:val="center"/>
            </w:pPr>
            <w:r>
              <w:rPr>
                <w:noProof/>
              </w:rPr>
              <w:drawing>
                <wp:inline distT="0" distB="0" distL="0" distR="0" wp14:anchorId="572A05E7" wp14:editId="02316622">
                  <wp:extent cx="2971800" cy="2207387"/>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results/figures/fitting/TalmiEEG_EEGMainEffectsPlusInteraction_50_set_likelihood_fixed_term_best_of_3_cat_lpp_by_recall.png"/>
                          <pic:cNvPicPr>
                            <a:picLocks noChangeAspect="1" noChangeArrowheads="1"/>
                          </pic:cNvPicPr>
                        </pic:nvPicPr>
                        <pic:blipFill>
                          <a:blip r:embed="rId10"/>
                          <a:stretch>
                            <a:fillRect/>
                          </a:stretch>
                        </pic:blipFill>
                        <pic:spPr bwMode="auto">
                          <a:xfrm>
                            <a:off x="0" y="0"/>
                            <a:ext cx="2971800" cy="2207387"/>
                          </a:xfrm>
                          <a:prstGeom prst="rect">
                            <a:avLst/>
                          </a:prstGeom>
                          <a:noFill/>
                          <a:ln w="9525">
                            <a:noFill/>
                            <a:headEnd/>
                            <a:tailEnd/>
                          </a:ln>
                        </pic:spPr>
                      </pic:pic>
                    </a:graphicData>
                  </a:graphic>
                </wp:inline>
              </w:drawing>
            </w:r>
          </w:p>
        </w:tc>
      </w:tr>
    </w:tbl>
    <w:p w14:paraId="0C0326EF" w14:textId="77777777" w:rsidR="00EB5DB3" w:rsidRDefault="00000000">
      <w:pPr>
        <w:pStyle w:val="ImageCaption"/>
        <w:spacing w:before="200"/>
      </w:pPr>
      <w:r>
        <w:t>Figure 1: Benchmark simulations for all model variants compared to empirical data. The top row corresponds to the empirical benchmarks. Proceeding rows correspond to Emotion-only, Emotion + LPP (main effects), and Emotion + LPP (interaction), respectively. Columns show Category-SPC (left) and the LPP-by-recall diagnostic (right).</w:t>
      </w:r>
    </w:p>
    <w:p w14:paraId="6FF94D34" w14:textId="77777777" w:rsidR="00EB5DB3" w:rsidRDefault="00000000">
      <w:pPr>
        <w:pStyle w:val="Bibliography"/>
      </w:pPr>
      <w:bookmarkStart w:id="7" w:name="ref-storn1997differential"/>
      <w:bookmarkStart w:id="8" w:name="refs"/>
      <w:bookmarkEnd w:id="6"/>
      <w:r>
        <w:lastRenderedPageBreak/>
        <w:t xml:space="preserve">Storn, Rainer, and Kenneth Price. 1997. “Differential Evolution–a Simple and Efficient Heuristic for Global Optimization over Continuous Spaces.” </w:t>
      </w:r>
      <w:r>
        <w:rPr>
          <w:i/>
          <w:iCs/>
        </w:rPr>
        <w:t>Journal of Global Optimization</w:t>
      </w:r>
      <w:r>
        <w:t xml:space="preserve"> 11 (4): 341–59.</w:t>
      </w:r>
      <w:bookmarkEnd w:id="4"/>
      <w:bookmarkEnd w:id="7"/>
      <w:bookmarkEnd w:id="8"/>
    </w:p>
    <w:sectPr w:rsidR="00EB5DB3">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1E814C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593513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DB3"/>
    <w:rsid w:val="000966CE"/>
    <w:rsid w:val="0077172B"/>
    <w:rsid w:val="00EB5D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D30407"/>
  <w15:docId w15:val="{C0591BF6-940C-9849-8515-C4DE8EFB2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Normal"/>
    <w:next w:val="BodyText"/>
    <w:link w:val="SubtitleCh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1285</Words>
  <Characters>6906</Characters>
  <Application>Microsoft Office Word</Application>
  <DocSecurity>0</DocSecurity>
  <Lines>125</Lines>
  <Paragraphs>25</Paragraphs>
  <ScaleCrop>false</ScaleCrop>
  <Company/>
  <LinksUpToDate>false</LinksUpToDate>
  <CharactersWithSpaces>8166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Jordan Gunn</dc:creator>
  <cp:keywords/>
  <cp:lastModifiedBy>Jordan Gunn</cp:lastModifiedBy>
  <cp:revision>2</cp:revision>
  <dcterms:created xsi:type="dcterms:W3CDTF">2026-01-21T09:48:00Z</dcterms:created>
  <dcterms:modified xsi:type="dcterms:W3CDTF">2026-01-21T09:48:00Z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