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figure-1"/>
    <w:p>
      <w:pPr>
        <w:pStyle w:val="Heading1"/>
      </w:pPr>
      <w:r>
        <w:t xml:space="preserve">Figure 1</w:t>
      </w:r>
    </w:p>
    <w:bookmarkStart w:id="20" w:name="caption"/>
    <w:p>
      <w:pPr>
        <w:pStyle w:val="Heading2"/>
      </w:pPr>
      <w:r>
        <w:t xml:space="preserve">Caption</w:t>
      </w:r>
    </w:p>
    <w:p>
      <w:pPr>
        <w:pStyle w:val="FirstParagraph"/>
      </w:pPr>
      <w:r>
        <w:t xml:space="preserve">Summary statistic fits of the baseline CMR model to PEERS data.</w:t>
      </w:r>
      <w:r>
        <w:t xml:space="preserve"> </w:t>
      </w:r>
      <w:r>
        <w:rPr>
          <w:b/>
          <w:bCs/>
        </w:rPr>
        <w:t xml:space="preserve">Left</w:t>
      </w:r>
      <w:r>
        <w:t xml:space="preserve">: probability of recall initiation by serial position.</w:t>
      </w:r>
      <w:r>
        <w:t xml:space="preserve"> </w:t>
      </w:r>
      <w:r>
        <w:rPr>
          <w:b/>
          <w:bCs/>
        </w:rPr>
        <w:t xml:space="preserve">Middle</w:t>
      </w:r>
      <w:r>
        <w:t xml:space="preserve">: conditional response probability as a function of lag.</w:t>
      </w:r>
      <w:r>
        <w:t xml:space="preserve"> </w:t>
      </w:r>
      <w:r>
        <w:rPr>
          <w:b/>
          <w:bCs/>
        </w:rPr>
        <w:t xml:space="preserve">Right</w:t>
      </w:r>
      <w:r>
        <w:t xml:space="preserve">: recall probability by serial position.</w:t>
      </w:r>
    </w:p>
    <w:bookmarkEnd w:id="20"/>
    <w:bookmarkStart w:id="21" w:name="alt-text"/>
    <w:p>
      <w:pPr>
        <w:pStyle w:val="Heading2"/>
      </w:pPr>
      <w:r>
        <w:t xml:space="preserve">Alt Text</w:t>
      </w:r>
    </w:p>
    <w:p>
      <w:pPr>
        <w:pStyle w:val="FirstParagraph"/>
      </w:pPr>
      <w:r>
        <w:t xml:space="preserve">Three side-by-side plots comparing human free-recall data to the CMR model. Left: Recall-initiation probabilities by study position show a strong recency peak (last item) and a smaller primacy peak (first item); model follows the same U-shape. Middle: Lag-CRP curve is forward-skewed, with the highest transition at +1; model tracks this asymmetry. Right: Overall recall accuracy by study position forms a shallow U across the 16 positions; model slightly underestimates primacy and final-item recall but captures the general trend.</w:t>
      </w:r>
    </w:p>
    <w:bookmarkEnd w:id="21"/>
    <w:bookmarkEnd w:id="22"/>
    <w:bookmarkStart w:id="25" w:name="figure-2"/>
    <w:p>
      <w:pPr>
        <w:pStyle w:val="Heading1"/>
      </w:pPr>
      <w:r>
        <w:t xml:space="preserve">Figure 2</w:t>
      </w:r>
    </w:p>
    <w:bookmarkStart w:id="23" w:name="caption-1"/>
    <w:p>
      <w:pPr>
        <w:pStyle w:val="Heading2"/>
      </w:pPr>
      <w:r>
        <w:t xml:space="preserve">Caption</w:t>
      </w:r>
    </w:p>
    <w:p>
      <w:pPr>
        <w:pStyle w:val="FirstParagraph"/>
      </w:pPr>
      <w:r>
        <w:t xml:space="preserve">Summary statistic fits of baseline CRU (</w:t>
      </w:r>
      <w:r>
        <w:rPr>
          <w:b/>
          <w:bCs/>
        </w:rPr>
        <w:t xml:space="preserve">Top</w:t>
      </w:r>
      <w:r>
        <w:t xml:space="preserve">), CRU with free start context integration rate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start</m:t>
            </m:r>
          </m:sub>
        </m:sSub>
      </m:oMath>
      <w:r>
        <w:t xml:space="preserve"> </w:t>
      </w:r>
      <w:r>
        <w:t xml:space="preserve">(</w:t>
      </w:r>
      <w:r>
        <w:rPr>
          <w:b/>
          <w:bCs/>
        </w:rPr>
        <w:t xml:space="preserve">Middle</w:t>
      </w:r>
      <w:r>
        <w:t xml:space="preserve">), and CRU freeing both start context integration rate (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start</m:t>
            </m:r>
          </m:sub>
        </m:sSub>
      </m:oMath>
      <w:r>
        <w:t xml:space="preserve">) and primacy gradient (</w:t>
      </w:r>
      <m:oMath>
        <m:sSub>
          <m:e>
            <m:r>
              <m:t>ϕ</m:t>
            </m:r>
          </m:e>
          <m:sub>
            <m:r>
              <m:rPr>
                <m:nor/>
                <m:sty m:val="p"/>
              </m:rP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rPr>
                <m:nor/>
                <m:sty m:val="p"/>
              </m:rPr>
              <m:t>d</m:t>
            </m:r>
          </m:sub>
        </m:sSub>
      </m:oMath>
      <w:r>
        <w:t xml:space="preserve">) parameters (</w:t>
      </w:r>
      <w:r>
        <w:rPr>
          <w:b/>
          <w:bCs/>
        </w:rPr>
        <w:t xml:space="preserve">Bottom</w:t>
      </w:r>
      <w:r>
        <w:t xml:space="preserve">) to PEERS free recall data.</w:t>
      </w:r>
      <w:r>
        <w:t xml:space="preserve"> </w:t>
      </w:r>
      <w:r>
        <w:rPr>
          <w:b/>
          <w:bCs/>
        </w:rPr>
        <w:t xml:space="preserve">Left</w:t>
      </w:r>
      <w:r>
        <w:t xml:space="preserve">: probability of recall initiation by serial position.</w:t>
      </w:r>
      <w:r>
        <w:t xml:space="preserve"> </w:t>
      </w:r>
      <w:r>
        <w:rPr>
          <w:b/>
          <w:bCs/>
        </w:rPr>
        <w:t xml:space="preserve">Middle</w:t>
      </w:r>
      <w:r>
        <w:t xml:space="preserve">: conditional response probability as a function of lag.</w:t>
      </w:r>
      <w:r>
        <w:t xml:space="preserve"> </w:t>
      </w:r>
      <w:r>
        <w:rPr>
          <w:b/>
          <w:bCs/>
        </w:rPr>
        <w:t xml:space="preserve">Right</w:t>
      </w:r>
      <w:r>
        <w:t xml:space="preserve">: recall probability by serial position.</w:t>
      </w:r>
    </w:p>
    <w:bookmarkEnd w:id="23"/>
    <w:bookmarkStart w:id="24" w:name="alt-text-1"/>
    <w:p>
      <w:pPr>
        <w:pStyle w:val="Heading2"/>
      </w:pPr>
      <w:r>
        <w:t xml:space="preserve">Alt Text</w:t>
      </w:r>
    </w:p>
    <w:p>
      <w:pPr>
        <w:pStyle w:val="FirstParagraph"/>
      </w:pPr>
      <w:r>
        <w:t xml:space="preserve">A comparison of three CRU variants against empirical free-recall patterns. Rows index by model variants: Top: baseline CRU; middle: CRU with a free start-context integration rate (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start</m:t>
            </m:r>
          </m:sub>
        </m:sSub>
      </m:oMath>
      <w:r>
        <w:t xml:space="preserve">); bottom: CRU with both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start</m:t>
            </m:r>
          </m:sub>
        </m:sSub>
      </m:oMath>
      <w:r>
        <w:t xml:space="preserve"> </w:t>
      </w:r>
      <w:r>
        <w:t xml:space="preserve">and an associative primacy gradient (</w:t>
      </w:r>
      <m:oMath>
        <m:sSub>
          <m:e>
            <m:r>
              <m:t>ϕ</m:t>
            </m:r>
          </m:e>
          <m:sub>
            <m:r>
              <m:rPr>
                <m:nor/>
                <m:sty m:val="p"/>
              </m:rP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rPr>
                <m:nor/>
                <m:sty m:val="p"/>
              </m:rPr>
              <m:t>d</m:t>
            </m:r>
          </m:sub>
        </m:sSub>
      </m:oMath>
      <w:r>
        <w:t xml:space="preserve">). Columns index summary measures. First-recall curve (left column): probability that recall begins with each serial position. A steep rise at the end marks the recency effect (late items recalled first); a smaller peak at the start marks the primacy effect (early items sometimes recalled first). Lag-CRP (center column): probability of transitioning between recalled items separated by a given study lag. Tall bars at +1 show the forward short-lag preference; smaller bars at –1 show a smaller preference for backward short-lag transitions. Serial-position curve (right column): overall recall probability for each position—high at the start (primacy) and end (recency). Take-away: Freeing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start</m:t>
            </m:r>
          </m:sub>
        </m:sSub>
      </m:oMath>
      <w:r>
        <w:t xml:space="preserve"> </w:t>
      </w:r>
      <w:r>
        <w:t xml:space="preserve">lets the model capture the strong recency start, while adding the primacy gradient boosts early-item recall and heightens ±1 lag peaks, bringing all three panels much closer to the data.</w:t>
      </w:r>
    </w:p>
    <w:bookmarkEnd w:id="24"/>
    <w:bookmarkEnd w:id="25"/>
    <w:bookmarkStart w:id="28" w:name="figure-3"/>
    <w:p>
      <w:pPr>
        <w:pStyle w:val="Heading1"/>
      </w:pPr>
      <w:r>
        <w:t xml:space="preserve">Figure 3</w:t>
      </w:r>
    </w:p>
    <w:bookmarkStart w:id="26" w:name="caption-2"/>
    <w:p>
      <w:pPr>
        <w:pStyle w:val="Heading2"/>
      </w:pPr>
      <w:r>
        <w:t xml:space="preserve">Caption</w:t>
      </w:r>
    </w:p>
    <w:p>
      <w:pPr>
        <w:pStyle w:val="FirstParagraph"/>
      </w:pPr>
      <w:r>
        <w:t xml:space="preserve">Simulation of the impact of shifting the start context integration rate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start</m:t>
            </m:r>
          </m:sub>
        </m:sSub>
      </m:oMath>
      <w:r>
        <w:t xml:space="preserve"> </w:t>
      </w:r>
      <w:r>
        <w:t xml:space="preserve">on the probability of starting recall by serial position (</w:t>
      </w:r>
      <w:r>
        <w:rPr>
          <w:b/>
          <w:bCs/>
        </w:rPr>
        <w:t xml:space="preserve">Left</w:t>
      </w:r>
      <w:r>
        <w:t xml:space="preserve">) and the recall probability by serial position (</w:t>
      </w:r>
      <w:r>
        <w:rPr>
          <w:b/>
          <w:bCs/>
        </w:rPr>
        <w:t xml:space="preserve">Right</w:t>
      </w:r>
      <w:r>
        <w:t xml:space="preserve">) for CMR.</w:t>
      </w:r>
      <w:r>
        <w:t xml:space="preserve"> </w:t>
      </w:r>
      <w:r>
        <w:t xml:space="preserve">Using parameters fit to PEERS free recall data,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start</m:t>
            </m:r>
          </m:sub>
        </m:sSub>
      </m:oMath>
      <w:r>
        <w:t xml:space="preserve"> </w:t>
      </w:r>
      <w:r>
        <w:t xml:space="preserve">is shifted from 0 to 1 in increments of 0.1, with the color of the lines indicating the value of the parameter.</w:t>
      </w:r>
    </w:p>
    <w:bookmarkEnd w:id="26"/>
    <w:bookmarkStart w:id="27" w:name="alt-text-2"/>
    <w:p>
      <w:pPr>
        <w:pStyle w:val="Heading2"/>
      </w:pPr>
      <w:r>
        <w:t xml:space="preserve">Alt Text</w:t>
      </w:r>
    </w:p>
    <w:p>
      <w:pPr>
        <w:pStyle w:val="FirstParagraph"/>
      </w:pPr>
      <w:r>
        <w:t xml:space="preserve">Two side-by-side line charts (using a shared color legend with values 0.0 – 0.9) illustrate how gradually increasing the start-of-list context-integration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start</m:t>
            </m:r>
          </m:sub>
        </m:sSub>
      </m:oMath>
      <w:r>
        <w:t xml:space="preserve"> </w:t>
      </w:r>
      <w:r>
        <w:t xml:space="preserve">reshapes simulated recall behavior in CMR. Left panel –</w:t>
      </w:r>
      <w:r>
        <w:t xml:space="preserve"> </w:t>
      </w:r>
      <w:r>
        <w:t xml:space="preserve">“</w:t>
      </w:r>
      <w:r>
        <w:t xml:space="preserve">Probability of N-th Recall</w:t>
      </w:r>
      <w:r>
        <w:t xml:space="preserve">”</w:t>
      </w:r>
      <w:r>
        <w:t xml:space="preserve">: For 16 study positions on the x-axis, each colored line shows the chance that the first item recalled (i.e., recall initiation) comes from that position. Lower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start</m:t>
            </m:r>
          </m:sub>
        </m:sSub>
      </m:oMath>
      <w:r>
        <w:t xml:space="preserve"> </w:t>
      </w:r>
      <w:r>
        <w:t xml:space="preserve">values (light gray) yield a steep recency peak at the final position, whereas higher values (dark gray/black) progressively shift initiation toward the first item, producing a strong primacy peak. Right panel –</w:t>
      </w:r>
      <w:r>
        <w:t xml:space="preserve"> </w:t>
      </w:r>
      <w:r>
        <w:t xml:space="preserve">“</w:t>
      </w:r>
      <w:r>
        <w:t xml:space="preserve">Recall Rate</w:t>
      </w:r>
      <w:r>
        <w:t xml:space="preserve">”</w:t>
      </w:r>
      <w:r>
        <w:t xml:space="preserve">: The same color-coded lines plot overall recall probability for every serial position. As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start</m:t>
            </m:r>
          </m:sub>
        </m:sSub>
      </m:oMath>
      <w:r>
        <w:t xml:space="preserve"> </w:t>
      </w:r>
      <w:r>
        <w:t xml:space="preserve">increases, the recency advantage at the end of the list diminishes while recall of early positions improves, creating the classic U-shaped primacy–recency curve. Together the panels show that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start</m:t>
            </m:r>
          </m:sub>
        </m:sSub>
      </m:oMath>
      <w:r>
        <w:t xml:space="preserve"> </w:t>
      </w:r>
      <w:r>
        <w:t xml:space="preserve">governs how strongly the end-of-list context is blended back toward the start: small values favor recency-driven cueing, large values favor primacy-driven cueing, and intermediate values balance the two.</w:t>
      </w:r>
    </w:p>
    <w:bookmarkEnd w:id="27"/>
    <w:bookmarkEnd w:id="28"/>
    <w:bookmarkStart w:id="31" w:name="figure-4"/>
    <w:p>
      <w:pPr>
        <w:pStyle w:val="Heading1"/>
      </w:pPr>
      <w:r>
        <w:t xml:space="preserve">Figure 4</w:t>
      </w:r>
    </w:p>
    <w:bookmarkStart w:id="29" w:name="caption-3"/>
    <w:p>
      <w:pPr>
        <w:pStyle w:val="Heading2"/>
      </w:pPr>
      <w:r>
        <w:t xml:space="preserve">Caption</w:t>
      </w:r>
    </w:p>
    <w:p>
      <w:pPr>
        <w:pStyle w:val="FirstParagraph"/>
      </w:pPr>
      <w:r>
        <w:t xml:space="preserve">Summary statistic fits of models to the PEERS free recall dataset</w:t>
      </w:r>
      <w:r>
        <w:t xml:space="preserve"> </w:t>
      </w:r>
      <w:r>
        <w:t xml:space="preserve">[@healey2014memory]</w:t>
      </w:r>
      <w:r>
        <w:t xml:space="preserve">.</w:t>
      </w:r>
      <w:r>
        <w:t xml:space="preserve"> </w:t>
      </w:r>
      <w:r>
        <w:rPr>
          <w:b/>
          <w:bCs/>
        </w:rPr>
        <w:t xml:space="preserve">Top</w:t>
      </w:r>
      <w:r>
        <w:t xml:space="preserve">: CRU with free pre-experimental context-to-feature memory (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δ</m:t>
        </m:r>
      </m:oMath>
      <w:r>
        <w:t xml:space="preserve">), primacy gradient (</w:t>
      </w:r>
      <m:oMath>
        <m:sSub>
          <m:e>
            <m:r>
              <m:t>ϕ</m:t>
            </m:r>
          </m:e>
          <m:sub>
            <m:r>
              <m:rPr>
                <m:nor/>
                <m:sty m:val="p"/>
              </m:rPr>
              <m:t>s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ϕ</m:t>
            </m:r>
          </m:e>
          <m:sub>
            <m:r>
              <m:rPr>
                <m:nor/>
                <m:sty m:val="p"/>
              </m:rPr>
              <m:t>d</m:t>
            </m:r>
          </m:sub>
        </m:sSub>
      </m:oMath>
      <w:r>
        <w:t xml:space="preserve">), and start context integration rate (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start</m:t>
            </m:r>
          </m:sub>
        </m:sSub>
      </m:oMath>
      <w:r>
        <w:t xml:space="preserve">) parameters.</w:t>
      </w:r>
      <w:r>
        <w:t xml:space="preserve"> </w:t>
      </w:r>
      <w:r>
        <w:rPr>
          <w:b/>
          <w:bCs/>
        </w:rPr>
        <w:t xml:space="preserve">Middle</w:t>
      </w:r>
      <w:r>
        <w:t xml:space="preserve">: CRU with free item-to-context learning rate (</w:t>
      </w:r>
      <m:oMath>
        <m:r>
          <m:t>γ</m:t>
        </m:r>
      </m:oMath>
      <w:r>
        <w:t xml:space="preserve">), primacy gradient (</w:t>
      </w:r>
      <m:oMath>
        <m:sSub>
          <m:e>
            <m:r>
              <m:t>ϕ</m:t>
            </m:r>
          </m:e>
          <m:sub>
            <m:r>
              <m:rPr>
                <m:nor/>
                <m:sty m:val="p"/>
              </m:rPr>
              <m:t>s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ϕ</m:t>
            </m:r>
          </m:e>
          <m:sub>
            <m:r>
              <m:rPr>
                <m:nor/>
                <m:sty m:val="p"/>
              </m:rPr>
              <m:t>d</m:t>
            </m:r>
          </m:sub>
        </m:sSub>
      </m:oMath>
      <w:r>
        <w:t xml:space="preserve">), and start context integration rate (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start</m:t>
            </m:r>
          </m:sub>
        </m:sSub>
      </m:oMath>
      <w:r>
        <w:t xml:space="preserve">) parameters.</w:t>
      </w:r>
      <w:r>
        <w:t xml:space="preserve"> </w:t>
      </w:r>
      <w:r>
        <w:rPr>
          <w:b/>
          <w:bCs/>
        </w:rPr>
        <w:t xml:space="preserve">Bottom</w:t>
      </w:r>
      <w:r>
        <w:t xml:space="preserve">: CRU with free item-to-context learning rate (</w:t>
      </w:r>
      <m:oMath>
        <m:r>
          <m:t>γ</m:t>
        </m:r>
      </m:oMath>
      <w:r>
        <w:t xml:space="preserve">), pre-experimental context-to-feature memory (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δ</m:t>
        </m:r>
      </m:oMath>
      <w:r>
        <w:t xml:space="preserve">), primacy gradient (</w:t>
      </w:r>
      <m:oMath>
        <m:sSub>
          <m:e>
            <m:r>
              <m:t>ϕ</m:t>
            </m:r>
          </m:e>
          <m:sub>
            <m:r>
              <m:rPr>
                <m:nor/>
                <m:sty m:val="p"/>
              </m:rPr>
              <m:t>s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ϕ</m:t>
            </m:r>
          </m:e>
          <m:sub>
            <m:r>
              <m:rPr>
                <m:nor/>
                <m:sty m:val="p"/>
              </m:rPr>
              <m:t>d</m:t>
            </m:r>
          </m:sub>
        </m:sSub>
      </m:oMath>
      <w:r>
        <w:t xml:space="preserve">), and start context integration rate (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start</m:t>
            </m:r>
          </m:sub>
        </m:sSub>
      </m:oMath>
      <w:r>
        <w:t xml:space="preserve">) parameters – equivalent to CMR.</w:t>
      </w:r>
      <w:r>
        <w:t xml:space="preserve"> </w:t>
      </w:r>
      <w:r>
        <w:rPr>
          <w:b/>
          <w:bCs/>
        </w:rPr>
        <w:t xml:space="preserve">Left</w:t>
      </w:r>
      <w:r>
        <w:t xml:space="preserve">: Probability of starting recall by serial position.</w:t>
      </w:r>
      <w:r>
        <w:t xml:space="preserve"> </w:t>
      </w:r>
      <w:r>
        <w:rPr>
          <w:b/>
          <w:bCs/>
        </w:rPr>
        <w:t xml:space="preserve">Left</w:t>
      </w:r>
      <w:r>
        <w:t xml:space="preserve">: Probability of starting recall by serial position.</w:t>
      </w:r>
      <w:r>
        <w:t xml:space="preserve"> </w:t>
      </w:r>
      <w:r>
        <w:rPr>
          <w:b/>
          <w:bCs/>
        </w:rPr>
        <w:t xml:space="preserve">Middle</w:t>
      </w:r>
      <w:r>
        <w:t xml:space="preserve">: Conditional response probability as a function of lag.</w:t>
      </w:r>
      <w:r>
        <w:t xml:space="preserve"> </w:t>
      </w:r>
      <w:r>
        <w:rPr>
          <w:b/>
          <w:bCs/>
        </w:rPr>
        <w:t xml:space="preserve">Right</w:t>
      </w:r>
      <w:r>
        <w:t xml:space="preserve">: Recall probability by serial position.</w:t>
      </w:r>
    </w:p>
    <w:bookmarkEnd w:id="29"/>
    <w:bookmarkStart w:id="30" w:name="alt-text-3"/>
    <w:p>
      <w:pPr>
        <w:pStyle w:val="Heading2"/>
      </w:pPr>
      <w:r>
        <w:t xml:space="preserve">Alt Text</w:t>
      </w:r>
    </w:p>
    <w:p>
      <w:pPr>
        <w:pStyle w:val="FirstParagraph"/>
      </w:pPr>
      <w:r>
        <w:t xml:space="preserve">Nine mini-plots arranged in a 3 × 3 grid compare</w:t>
      </w:r>
      <w:r>
        <w:t xml:space="preserve"> </w:t>
      </w:r>
      <w:r>
        <w:rPr>
          <w:i/>
          <w:iCs/>
        </w:rPr>
        <w:t xml:space="preserve">model</w:t>
      </w:r>
      <w:r>
        <w:t xml:space="preserve"> </w:t>
      </w:r>
      <w:r>
        <w:t xml:space="preserve">(black) to</w:t>
      </w:r>
      <w:r>
        <w:t xml:space="preserve"> </w:t>
      </w:r>
      <w:r>
        <w:rPr>
          <w:i/>
          <w:iCs/>
        </w:rPr>
        <w:t xml:space="preserve">human data</w:t>
      </w:r>
      <w:r>
        <w:t xml:space="preserve"> </w:t>
      </w:r>
      <w:r>
        <w:t xml:space="preserve">(gray) for three increasingly complex CRU/CMR variants. Rows (top -&gt; bottom) show, respectively: (1) CRU + pre-experimental support + primacy gradient, (2) CRU + feature-to-context learning + primacy gradient, (3) Full CMR (all mechanisms enabled). Columns (left -&gt; right) display three benchmark statistics for 16-word free-recall lists. Left column: Recall-initiation curve. Y: probability the first recall comes from each study position. High right-end values illustrate the recency effect (participants often start with the last-studied word), whereas smaller left-end bumps reflect primacy (some start with the first word). Middle column: Lag-conditional response probability (lag-CRP). X: positional lag between successive recalls; Y: conditional probability. The sharp forward spike at +1 and the gentler backward spike at -1 indicate a short-lag contiguity bias; people tend to move to temporally adjacent items, more so forward than backward. Right column: Serial-position curve (SPC). Y: overall recall rate for each study position. The U-shape reprises primacy (higher accuracy for early items) and recency (late-item advantage after a dip in the middle). Error bars show ±1 SE. Progressing down the rows shows that adding each CMR mechanism successively narrows the gap between model curves and gray data points: the forward and backward peaks in the lag-CRP grow taller, and the SPC’s early-item accuracy rises, demonstrating better fits to primacy, recency, and short-lag phenomena.</w:t>
      </w:r>
    </w:p>
    <w:bookmarkEnd w:id="30"/>
    <w:bookmarkEnd w:id="31"/>
    <w:bookmarkStart w:id="34" w:name="figure-5"/>
    <w:p>
      <w:pPr>
        <w:pStyle w:val="Heading1"/>
      </w:pPr>
      <w:r>
        <w:t xml:space="preserve">Figure 5</w:t>
      </w:r>
    </w:p>
    <w:bookmarkStart w:id="32" w:name="caption-4"/>
    <w:p>
      <w:pPr>
        <w:pStyle w:val="Heading2"/>
      </w:pPr>
      <w:r>
        <w:t xml:space="preserve">Caption</w:t>
      </w:r>
    </w:p>
    <w:p>
      <w:pPr>
        <w:pStyle w:val="FirstParagraph"/>
      </w:pPr>
      <w:r>
        <w:t xml:space="preserve">Simulation of the impact of shifting CMR’s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(</w:t>
      </w:r>
      <w:r>
        <w:rPr>
          <w:b/>
          <w:bCs/>
        </w:rPr>
        <w:t xml:space="preserve">Left</w:t>
      </w:r>
      <w:r>
        <w:t xml:space="preserve">) and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</w:t>
      </w:r>
      <w:r>
        <w:rPr>
          <w:b/>
          <w:bCs/>
        </w:rPr>
        <w:t xml:space="preserve">Right</w:t>
      </w:r>
      <w:r>
        <w:t xml:space="preserve">) parameters on the conditional response probability as a function of lag for CMR.</w:t>
      </w:r>
      <w:r>
        <w:t xml:space="preserve"> </w:t>
      </w:r>
      <w:r>
        <w:t xml:space="preserve">Using parameters fit to</w:t>
      </w:r>
      <w:r>
        <w:t xml:space="preserve"> </w:t>
      </w:r>
      <w:r>
        <w:t xml:space="preserve">@healey2014memory</w:t>
      </w:r>
      <w:r>
        <w:t xml:space="preserve">, the learning rate parameter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shifted from 0 to 1 in increments of 0.1, and the item support parameter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is shifted from 0 to 10 in increments of 1, with the color of the lines indicating the value of the parameter.</w:t>
      </w:r>
    </w:p>
    <w:bookmarkEnd w:id="32"/>
    <w:bookmarkStart w:id="33" w:name="alt-text-4"/>
    <w:p>
      <w:pPr>
        <w:pStyle w:val="Heading2"/>
      </w:pPr>
      <w:r>
        <w:t xml:space="preserve">Alt Text</w:t>
      </w:r>
    </w:p>
    <w:p>
      <w:pPr>
        <w:pStyle w:val="FirstParagraph"/>
      </w:pPr>
      <w:r>
        <w:t xml:space="preserve">Two side-by-side line plots show how changing two CMR parameters alters the lag-conditional response probability (lag-CRP). The left plot varies the learning-rate parameter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from 0.0 (light gray) to 0.9 (dark gray / black) in 0.1 steps: larger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sharply boosts the probability of a +1 backward transition (lag –1) while slightly reducing the –3 to –5 lags. The right plot varies the self-support parameter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from 0.0 (light gray) to 8.9 (dark gray / black) in unit steps: higher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steepens both the forward +1 and backward –1 peaks while depressing longer-lag transitions. Each coloured line therefore traces how strengthening either parameter concentrates recall transitions around neighbouring items, with the legend listing the parameter values.</w:t>
      </w:r>
    </w:p>
    <w:bookmarkEnd w:id="33"/>
    <w:bookmarkEnd w:id="34"/>
    <w:bookmarkStart w:id="37" w:name="figure-6"/>
    <w:p>
      <w:pPr>
        <w:pStyle w:val="Heading1"/>
      </w:pPr>
      <w:r>
        <w:t xml:space="preserve">Figure 6</w:t>
      </w:r>
    </w:p>
    <w:bookmarkStart w:id="35" w:name="caption-5"/>
    <w:p>
      <w:pPr>
        <w:pStyle w:val="Heading2"/>
      </w:pPr>
      <w:r>
        <w:t xml:space="preserve">Caption</w:t>
      </w:r>
    </w:p>
    <w:p>
      <w:pPr>
        <w:pStyle w:val="FirstParagraph"/>
      </w:pPr>
      <w:r>
        <w:t xml:space="preserve">Summary statistic fits of CMR with CRU’s context-based recall termination mechanism to</w:t>
      </w:r>
      <w:r>
        <w:t xml:space="preserve"> </w:t>
      </w:r>
      <w:r>
        <w:t xml:space="preserve">@healey2014memory</w:t>
      </w:r>
      <w:r>
        <w:t xml:space="preserve">.</w:t>
      </w:r>
      <w:r>
        <w:t xml:space="preserve"> </w:t>
      </w:r>
      <w:r>
        <w:rPr>
          <w:b/>
          <w:bCs/>
        </w:rPr>
        <w:t xml:space="preserve">Left</w:t>
      </w:r>
      <w:r>
        <w:t xml:space="preserve">: probability of starting recall by serial position.</w:t>
      </w:r>
      <w:r>
        <w:t xml:space="preserve"> </w:t>
      </w:r>
      <w:r>
        <w:rPr>
          <w:b/>
          <w:bCs/>
        </w:rPr>
        <w:t xml:space="preserve">Middle</w:t>
      </w:r>
      <w:r>
        <w:t xml:space="preserve">: conditional response probability as a function of lag.</w:t>
      </w:r>
      <w:r>
        <w:t xml:space="preserve"> </w:t>
      </w:r>
      <w:r>
        <w:rPr>
          <w:b/>
          <w:bCs/>
        </w:rPr>
        <w:t xml:space="preserve">Right</w:t>
      </w:r>
      <w:r>
        <w:t xml:space="preserve">: recall probability by serial position.</w:t>
      </w:r>
    </w:p>
    <w:bookmarkEnd w:id="35"/>
    <w:bookmarkStart w:id="36" w:name="alt-text-5"/>
    <w:p>
      <w:pPr>
        <w:pStyle w:val="Heading2"/>
      </w:pPr>
      <w:r>
        <w:t xml:space="preserve">Alt Text</w:t>
      </w:r>
    </w:p>
    <w:p>
      <w:pPr>
        <w:pStyle w:val="FirstParagraph"/>
      </w:pPr>
      <w:r>
        <w:t xml:space="preserve">Three side-by-side line plots compare a CMR model that uses CRU’s context-based stopping rule (black) with empirical free-recall data from</w:t>
      </w:r>
      <w:r>
        <w:t xml:space="preserve"> </w:t>
      </w:r>
      <w:r>
        <w:t xml:space="preserve">@healey2014memory</w:t>
      </w:r>
      <w:r>
        <w:t xml:space="preserve"> </w:t>
      </w:r>
      <w:r>
        <w:t xml:space="preserve">(gray). Left panel: probability that each study position is produced as the N-th recall; both model and data rise steeply at the end of the list, though the model sits slightly higher at the final positions. Middle panel: lag-conditional response probability, showing a forward-skewed peak at +1; the model captures the overall shape but undershoots the sharpness of the +1 jump. Right panel: overall recall rate by study position; both traces form a shallow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, but the model overestimates mid-list recall and underestimates the depth of the primacy dip.</w:t>
      </w:r>
    </w:p>
    <w:bookmarkEnd w:id="36"/>
    <w:bookmarkEnd w:id="37"/>
    <w:bookmarkStart w:id="40" w:name="figure-7"/>
    <w:p>
      <w:pPr>
        <w:pStyle w:val="Heading1"/>
      </w:pPr>
      <w:r>
        <w:t xml:space="preserve">Figure 7</w:t>
      </w:r>
    </w:p>
    <w:bookmarkStart w:id="38" w:name="caption-6"/>
    <w:p>
      <w:pPr>
        <w:pStyle w:val="Heading2"/>
      </w:pPr>
      <w:r>
        <w:t xml:space="preserve">Caption</w:t>
      </w:r>
    </w:p>
    <w:p>
      <w:pPr>
        <w:pStyle w:val="FirstParagraph"/>
      </w:pPr>
      <w:r>
        <w:t xml:space="preserve">Serial recall accuracy (SRAC) fits to</w:t>
      </w:r>
      <w:r>
        <w:t xml:space="preserve"> </w:t>
      </w:r>
      <w:r>
        <w:t xml:space="preserve">@logan2021serial</w:t>
      </w:r>
      <w:r>
        <w:t xml:space="preserve"> </w:t>
      </w:r>
      <w:r>
        <w:t xml:space="preserve">serial recall data for list lengths of 5 (</w:t>
      </w:r>
      <w:r>
        <w:rPr>
          <w:b/>
          <w:bCs/>
        </w:rPr>
        <w:t xml:space="preserve">Left Column</w:t>
      </w:r>
      <w:r>
        <w:t xml:space="preserve">), 6 (</w:t>
      </w:r>
      <w:r>
        <w:rPr>
          <w:b/>
          <w:bCs/>
        </w:rPr>
        <w:t xml:space="preserve">Middle Column</w:t>
      </w:r>
      <w:r>
        <w:t xml:space="preserve">), 7 (</w:t>
      </w:r>
      <w:r>
        <w:rPr>
          <w:b/>
          <w:bCs/>
        </w:rPr>
        <w:t xml:space="preserve">Right Column</w:t>
      </w:r>
      <w:r>
        <w:t xml:space="preserve">) of baseline CRU (</w:t>
      </w:r>
      <w:r>
        <w:rPr>
          <w:b/>
          <w:bCs/>
        </w:rPr>
        <w:t xml:space="preserve">Top</w:t>
      </w:r>
      <w:r>
        <w:t xml:space="preserve">), the best performing CRU variant with free pre-experimental context-to-feature memory (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δ</m:t>
        </m:r>
      </m:oMath>
      <w:r>
        <w:t xml:space="preserve">) and CMR-specific primacy gradient (</w:t>
      </w:r>
      <m:oMath>
        <m:sSub>
          <m:e>
            <m:r>
              <m:t>ϕ</m:t>
            </m:r>
          </m:e>
          <m:sub>
            <m:r>
              <m:rPr>
                <m:nor/>
                <m:sty m:val="p"/>
              </m:rPr>
              <m:t>s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ϕ</m:t>
            </m:r>
          </m:e>
          <m:sub>
            <m:r>
              <m:rPr>
                <m:nor/>
                <m:sty m:val="p"/>
              </m:rPr>
              <m:t>d</m:t>
            </m:r>
          </m:sub>
        </m:sSub>
      </m:oMath>
      <w:r>
        <w:t xml:space="preserve">) parameters (</w:t>
      </w:r>
      <w:r>
        <w:rPr>
          <w:b/>
          <w:bCs/>
        </w:rPr>
        <w:t xml:space="preserve">Middle</w:t>
      </w:r>
      <w:r>
        <w:t xml:space="preserve">), and CMR with its default position-based recall termination mechanism and CRU’s item identification confusability mechanism (</w:t>
      </w:r>
      <w:r>
        <w:rPr>
          <w:b/>
          <w:bCs/>
        </w:rPr>
        <w:t xml:space="preserve">Bottom</w:t>
      </w:r>
      <w:r>
        <w:t xml:space="preserve">).</w:t>
      </w:r>
    </w:p>
    <w:bookmarkEnd w:id="38"/>
    <w:bookmarkStart w:id="39" w:name="alt-text-6"/>
    <w:p>
      <w:pPr>
        <w:pStyle w:val="Heading2"/>
      </w:pPr>
      <w:r>
        <w:t xml:space="preserve">Alt Text</w:t>
      </w:r>
    </w:p>
    <w:p>
      <w:pPr>
        <w:pStyle w:val="FirstParagraph"/>
      </w:pPr>
      <w:r>
        <w:t xml:space="preserve">Nine‐panel line chart comparing observed versus model-predicted</w:t>
      </w:r>
      <w:r>
        <w:t xml:space="preserve"> </w:t>
      </w:r>
      <w:r>
        <w:rPr>
          <w:i/>
          <w:iCs/>
        </w:rPr>
        <w:t xml:space="preserve">serial recall accuracy</w:t>
      </w:r>
      <w:r>
        <w:t xml:space="preserve"> </w:t>
      </w:r>
      <w:r>
        <w:t xml:space="preserve">(SRAC). Columns correspond to list lengths 5 (left), 6 (middle), and 7 (right). Rows show, top to bottom: (1) baseline CRU; (2) best-performing CRU variant that adds CMR’s associative primacy gradient plus pre-experimental context–feature support; (3) CMR with its native position-based stop rule but augmented with CRU’s item-confusability mechanism. In every panel, study position (x-axis) runs from first to last list item; SRAC (y-axis) runs from 0.3–1.0. Greay lines with error bars plot human data; black lines plot model fits. All models capture the overall primacy gradient (higher accuracy for early study positions) but diverge in later positions: baseline CRU underestimates late-list accuracy, the hybrid CRU variant closes that gap, and the CMR-based model slightly overestimates mid-list accuracy for longer lists.</w:t>
      </w:r>
    </w:p>
    <w:bookmarkEnd w:id="39"/>
    <w:bookmarkEnd w:id="40"/>
    <w:bookmarkStart w:id="43" w:name="figure-8"/>
    <w:p>
      <w:pPr>
        <w:pStyle w:val="Heading1"/>
      </w:pPr>
      <w:r>
        <w:t xml:space="preserve">Figure 8</w:t>
      </w:r>
    </w:p>
    <w:bookmarkStart w:id="41" w:name="caption-7"/>
    <w:p>
      <w:pPr>
        <w:pStyle w:val="Heading2"/>
      </w:pPr>
      <w:r>
        <w:t xml:space="preserve">Caption</w:t>
      </w:r>
    </w:p>
    <w:p>
      <w:pPr>
        <w:pStyle w:val="FirstParagraph"/>
      </w:pPr>
      <w:r>
        <w:t xml:space="preserve">Intrusion, order, and omission error rates (top, middle, and bottom rows respectively) by serial position for list lengths 5, 6, and 7 (left, center, and right columns), in</w:t>
      </w:r>
      <w:r>
        <w:t xml:space="preserve"> </w:t>
      </w:r>
      <w:r>
        <w:t xml:space="preserve">@logan2021serial</w:t>
      </w:r>
      <w:r>
        <w:t xml:space="preserve"> </w:t>
      </w:r>
      <w:r>
        <w:t xml:space="preserve">serial recall data.</w:t>
      </w:r>
      <w:r>
        <w:t xml:space="preserve"> </w:t>
      </w:r>
      <w:r>
        <w:t xml:space="preserve">Lines compare observed error rates with predicted error rates from best performing CRU variant with free pre-experimental context-to-feature memory (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δ</m:t>
        </m:r>
      </m:oMath>
      <w:r>
        <w:t xml:space="preserve">) and CMR-specific primacy gradient (</w:t>
      </w:r>
      <m:oMath>
        <m:sSub>
          <m:e>
            <m:r>
              <m:t>ϕ</m:t>
            </m:r>
          </m:e>
          <m:sub>
            <m:r>
              <m:rPr>
                <m:nor/>
                <m:sty m:val="p"/>
              </m:rPr>
              <m:t>s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ϕ</m:t>
            </m:r>
          </m:e>
          <m:sub>
            <m:r>
              <m:rPr>
                <m:nor/>
                <m:sty m:val="p"/>
              </m:rPr>
              <m:t>d</m:t>
            </m:r>
          </m:sub>
        </m:sSub>
      </m:oMath>
      <w:r>
        <w:t xml:space="preserve">) parameters.</w:t>
      </w:r>
    </w:p>
    <w:bookmarkEnd w:id="41"/>
    <w:bookmarkStart w:id="42" w:name="alt-text-7"/>
    <w:p>
      <w:pPr>
        <w:pStyle w:val="Heading2"/>
      </w:pPr>
      <w:r>
        <w:t xml:space="preserve">Alt Text</w:t>
      </w:r>
    </w:p>
    <w:p>
      <w:pPr>
        <w:pStyle w:val="FirstParagraph"/>
      </w:pPr>
      <w:r>
        <w:t xml:space="preserve">Nine mini-plots arranged in a 3 by 3 grid. Rows represent error type during serial recall of letters. Top row – Intrusion errors: recalling a letter that was not on the study list. Middle row – Order errors: recalling a studied letter but in the wrong serial position. Bottom row – Omission errors: failing to supply any letter for a position. Columns represent list length: 5-item lists (left), 6-item lists (centre), 7-item lists (right). Within each panel, grey points/lines plot observed error rates by study position; black points/lines plot predicted rates from the best-fitting CRU + CMR hybrid model (which adds pre-experimental context-to-item associations and a primacy gradient). Error bars show ±1 SE. The model tracks the upward error trend across later positions and captures the different magnitudes for intrusion, order and omission errors across list lengths.</w:t>
      </w:r>
    </w:p>
    <w:bookmarkEnd w:id="42"/>
    <w:bookmarkEnd w:id="43"/>
    <w:bookmarkStart w:id="46" w:name="figure-9"/>
    <w:p>
      <w:pPr>
        <w:pStyle w:val="Heading1"/>
      </w:pPr>
      <w:r>
        <w:t xml:space="preserve">Figure 9</w:t>
      </w:r>
    </w:p>
    <w:bookmarkStart w:id="44" w:name="caption-8"/>
    <w:p>
      <w:pPr>
        <w:pStyle w:val="Heading2"/>
      </w:pPr>
      <w:r>
        <w:t xml:space="preserve">Caption</w:t>
      </w:r>
    </w:p>
    <w:p>
      <w:pPr>
        <w:pStyle w:val="FirstParagraph"/>
      </w:pPr>
      <w:r>
        <w:t xml:space="preserve">Lag-conditional response probability (lag-CRP) fits of baseline CRU (</w:t>
      </w:r>
      <w:r>
        <w:rPr>
          <w:b/>
          <w:bCs/>
        </w:rPr>
        <w:t xml:space="preserve">Top</w:t>
      </w:r>
      <w:r>
        <w:t xml:space="preserve">); best performing CRU variant with free pre-experimental context-to-feature memory (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δ</m:t>
        </m:r>
      </m:oMath>
      <w:r>
        <w:t xml:space="preserve">) and CMR-specific primacy gradient (</w:t>
      </w:r>
      <m:oMath>
        <m:sSub>
          <m:e>
            <m:r>
              <m:t>ϕ</m:t>
            </m:r>
          </m:e>
          <m:sub>
            <m:r>
              <m:rPr>
                <m:nor/>
                <m:sty m:val="p"/>
              </m:rPr>
              <m:t>s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ϕ</m:t>
            </m:r>
          </m:e>
          <m:sub>
            <m:r>
              <m:rPr>
                <m:nor/>
                <m:sty m:val="p"/>
              </m:rPr>
              <m:t>d</m:t>
            </m:r>
          </m:sub>
        </m:sSub>
      </m:oMath>
      <w:r>
        <w:t xml:space="preserve">) parameters (</w:t>
      </w:r>
      <w:r>
        <w:rPr>
          <w:b/>
          <w:bCs/>
        </w:rPr>
        <w:t xml:space="preserve">Middle</w:t>
      </w:r>
      <w:r>
        <w:t xml:space="preserve">); and CMR with its default position-based recall termination mechanism and CRU’s item identification confusability mechanism (</w:t>
      </w:r>
      <w:r>
        <w:rPr>
          <w:b/>
          <w:bCs/>
        </w:rPr>
        <w:t xml:space="preserve">Bottom</w:t>
      </w:r>
      <w:r>
        <w:t xml:space="preserve">) to</w:t>
      </w:r>
      <w:r>
        <w:t xml:space="preserve"> </w:t>
      </w:r>
      <w:r>
        <w:t xml:space="preserve">@logan2021serial</w:t>
      </w:r>
      <w:r>
        <w:t xml:space="preserve"> </w:t>
      </w:r>
      <w:r>
        <w:t xml:space="preserve">serial recall data.</w:t>
      </w:r>
      <w:r>
        <w:t xml:space="preserve"> </w:t>
      </w:r>
      <w:r>
        <w:t xml:space="preserve">Lines compare observed lag-CRP with predicted lag-CRP for the applicable model variant.</w:t>
      </w:r>
    </w:p>
    <w:bookmarkEnd w:id="44"/>
    <w:bookmarkStart w:id="45" w:name="alt-text-8"/>
    <w:p>
      <w:pPr>
        <w:pStyle w:val="Heading2"/>
      </w:pPr>
      <w:r>
        <w:t xml:space="preserve">Alt Text</w:t>
      </w:r>
    </w:p>
    <w:p>
      <w:pPr>
        <w:pStyle w:val="FirstParagraph"/>
      </w:pPr>
      <w:r>
        <w:t xml:space="preserve">Lag-conditional response probability (lag-CRP) curves for serial-recall lists of length 5, 6, and 7 (columns). Within each column, three rows show: (1) baseline CRU; (2) the hybrid CRU that adds primacy and pre-experimental support; (3) CMR with position-based stopping. Observed data (grey lines ± SE) and model predictions (black lines) are plotted for lags −4 to +5. All variants fit the dominant +1 forward transition, but only the hybrid CRU (row 2) closely tracks the small yet reliable −1</w:t>
      </w:r>
      <w:r>
        <w:t xml:space="preserve"> </w:t>
      </w:r>
      <w:r>
        <w:t xml:space="preserve">“</w:t>
      </w:r>
      <w:r>
        <w:t xml:space="preserve">fill-in</w:t>
      </w:r>
      <w:r>
        <w:t xml:space="preserve">”</w:t>
      </w:r>
      <w:r>
        <w:t xml:space="preserve"> </w:t>
      </w:r>
      <w:r>
        <w:t xml:space="preserve">backward transition, while baseline CRU underestimates and CMR overestimates backward-lag probabilities beyond −1.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2025-06-22T23:39:30Z</dcterms:created>
  <dcterms:modified xsi:type="dcterms:W3CDTF">2025-06-22T23:39:30Z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