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5C287" w14:textId="77777777" w:rsidR="00463FBD" w:rsidRDefault="00000000" w:rsidP="00FC6242">
      <w:pPr>
        <w:pStyle w:val="FirstParagraph"/>
        <w:spacing w:before="0" w:after="0" w:line="480" w:lineRule="auto"/>
        <w:ind w:firstLine="720"/>
      </w:pPr>
      <w:r>
        <w:t>Martin Luther King Jr.’s “Letter from a Birmingham Jail” is a forceful defense of non‑violent direct action written to eight white Alabama clergymen who, in a public statement, labeled the spring 1963 demonstrations in Birmingham “unwise and untimely.” King replies that direct action is morally required, theologically grounded, and tactically necessary. He explains why he has come to Birmingham, how the movement decides when to act, why certain laws must be broken, and why calls for patience from moderates and church leaders amount to complicity in injustice. Throughout, he aims to persuade a religious, educated audience by linking Christian ethics, natural‑law reasoning, and recent local history, building a coherent case for immediate, principled action.</w:t>
      </w:r>
    </w:p>
    <w:p w14:paraId="27E495ED" w14:textId="77777777" w:rsidR="00463FBD" w:rsidRDefault="00000000" w:rsidP="00FC6242">
      <w:pPr>
        <w:pStyle w:val="BodyText"/>
        <w:spacing w:before="0" w:after="0" w:line="480" w:lineRule="auto"/>
        <w:ind w:firstLine="720"/>
      </w:pPr>
      <w:r>
        <w:t>King starts by answering the charge that he is an outside agitator. As president of the Southern Christian Leadership Conference, he was invited by local affiliates, yet he quickly shifts to a wider claim: because “injustice anywhere is a threat to justice everywhere,” no citizen can wash his hands of wrongdoing simply because it occurs in another city. The image of a nation “caught in an inescapable network of mutuality” turns geographic distance into moral proximity. Strategic necessity enters as well: a movement restricted to local actors would fragment, whereas coordinated intervention magnifies pressure on resistant power structures. Thus, what looks like a jurisdictional rejoinder introduces King’s broader claim that Christians are obliged, by faith and effectiveness alike, to meet injustice wherever it manifests.</w:t>
      </w:r>
    </w:p>
    <w:p w14:paraId="0758799F" w14:textId="77777777" w:rsidR="00463FBD" w:rsidRDefault="00000000" w:rsidP="00FC6242">
      <w:pPr>
        <w:pStyle w:val="BodyText"/>
        <w:spacing w:before="0" w:after="0" w:line="480" w:lineRule="auto"/>
        <w:ind w:firstLine="720"/>
      </w:pPr>
      <w:r>
        <w:t xml:space="preserve">He then outlines the movement’s four‑step decision rule: collect facts, negotiate, undergo self‑purification, and initiate direct action. This structure undercuts portrayals of the protests as impulsive. King recounts negotiations with city merchants who promised, </w:t>
      </w:r>
      <w:r>
        <w:lastRenderedPageBreak/>
        <w:t>then failed, to remove racist store signs. He describes workshops where volunteers were asked whether they could endure jail without retaliation. When promises broke down, Easter season was chosen for its economic impact. The rigor of workshops in non-violence, where volunteers test their willingness to endure jail and assault, reinforces the moral obligation: only those who have purified their motives may lawfully disturb public order for a higher good. Each detail shows a careful process that uses disruption only after conventional tactics stall, vindicating the timeliness and necessity of direct action.</w:t>
      </w:r>
    </w:p>
    <w:p w14:paraId="683E780A" w14:textId="77777777" w:rsidR="00463FBD" w:rsidRDefault="00000000" w:rsidP="00FC6242">
      <w:pPr>
        <w:pStyle w:val="BodyText"/>
        <w:spacing w:before="0" w:after="0" w:line="480" w:lineRule="auto"/>
        <w:ind w:firstLine="720"/>
      </w:pPr>
      <w:r>
        <w:t>Having justified the timing, King tackles the core legal objection that breaking laws undermines the rule of law. Drawing on Augustine and Aquinas, he declares that a just law uplifts personality and aligns with divine order, whereas an unjust law degrades and lacks the assent of the governed. Because segregation statutes meet every criterion of injustice – they enforce moral asymmetry and were enacted without Black suffrage – civil disobedience toward them is not optional but morally commanded. He also sets a practical standard: the protester must break the unjust rule openly, accept punishment, and thereby draw public attention to the wrong. That posture preserves respect for the broader legal order even while challenging specific statutes.</w:t>
      </w:r>
    </w:p>
    <w:p w14:paraId="3F900913" w14:textId="77777777" w:rsidR="00463FBD" w:rsidRDefault="00000000" w:rsidP="00FC6242">
      <w:pPr>
        <w:pStyle w:val="BodyText"/>
        <w:spacing w:before="0" w:after="0" w:line="480" w:lineRule="auto"/>
        <w:ind w:firstLine="720"/>
      </w:pPr>
      <w:r>
        <w:t xml:space="preserve">With the normative foundation laid, King indicts the white moderate and the cautious church—groups that, by preferring “order” over justice, render direct action all the more obligatory and urgent. Their counsel to “wait” rests on a “mythical concept of time” that, left unchallenged, would stretch oppression indefinitely. Because these moderates occupy pulpits, newsrooms, and city councils, their inertia is strategically decisive: without a catalytic disturbance, they will sustain the status quo. King therefore </w:t>
      </w:r>
      <w:r>
        <w:lastRenderedPageBreak/>
        <w:t>reframes non violent tension as a therapeutic exposure of hidden social wounds, analogous to lancing a boil so that healing can begin. The argued reluctance of respectable allies intensifies both the moral duty to act (because no one else will) and the strategic imperative (because only visible crisis can dislodge their complacency).</w:t>
      </w:r>
    </w:p>
    <w:p w14:paraId="13B8F7E5" w14:textId="77777777" w:rsidR="00463FBD" w:rsidRDefault="00000000" w:rsidP="00FC6242">
      <w:pPr>
        <w:pStyle w:val="BodyText"/>
        <w:spacing w:before="0" w:after="0" w:line="480" w:lineRule="auto"/>
        <w:ind w:firstLine="720"/>
      </w:pPr>
      <w:r>
        <w:t>Some critics had branded King an extremist. Rather than reject the label outright, he reframes it. If being an extremist means showing uncompromising devotion to a principle, then the question becomes: extremist for what? Citing Jesus, Amos, Lincoln, and Jefferson, he argues that progress has always required figures willing to press hard when moderation fails. This move strips the word of its scare value and ties non‑violent protest to a long line of respected moral stands. It also answers concerns about violence: extremism, in King’s usage, refers to the intensity of commitment, not to destructive methods.</w:t>
      </w:r>
    </w:p>
    <w:p w14:paraId="3A0AC570" w14:textId="77777777" w:rsidR="00463FBD" w:rsidRDefault="00000000" w:rsidP="00FC6242">
      <w:pPr>
        <w:pStyle w:val="BodyText"/>
        <w:spacing w:before="0" w:after="0" w:line="480" w:lineRule="auto"/>
        <w:ind w:firstLine="720"/>
      </w:pPr>
      <w:r>
        <w:t>Taken together, the letter builds a layered case. The obligation to act grows from shared human responsibility; the method relies on disciplined escalation; the legal and theological foundation separates legitimate authority from oppressive rule; the biggest obstacle is not open hatred but complacent respectability; and the tone of urgency is warranted by the real harm of delay. King’s reasoning is methodical, his evidence concrete, and his appeals to faith and nation carefully matched to his audience’s values. Because each section supports the next, the argument moves smoothly from presence, to process, to law, to allies and opponents, to final justification.</w:t>
      </w:r>
    </w:p>
    <w:p w14:paraId="4A452AD6" w14:textId="77777777" w:rsidR="00463FBD" w:rsidRDefault="00000000" w:rsidP="00FC6242">
      <w:pPr>
        <w:pStyle w:val="BodyText"/>
        <w:spacing w:before="0" w:after="0" w:line="480" w:lineRule="auto"/>
        <w:ind w:firstLine="720"/>
      </w:pPr>
      <w:r>
        <w:t xml:space="preserve">Stylistically, King writes in measured but direct prose, punctuated by scriptural and philosophical references suited to clergy readers. The letter’s persuasive power rests less </w:t>
      </w:r>
      <w:r>
        <w:lastRenderedPageBreak/>
        <w:t>on rhetorical flourish than on structural clarity: every objection raised by the clergymen is met with a tangible answer backed by fact, doctrine, or historical example. Even when the language rises (e.g., “justice too long delayed is justice denied”), it does so to crystallize an argument already established. That balance of reason and controlled moral passion gives the letter its lasting authority.</w:t>
      </w:r>
    </w:p>
    <w:p w14:paraId="5A8922B7" w14:textId="77777777" w:rsidR="00463FBD" w:rsidRDefault="00000000" w:rsidP="00FC6242">
      <w:pPr>
        <w:pStyle w:val="BodyText"/>
        <w:spacing w:before="0" w:after="0" w:line="480" w:lineRule="auto"/>
        <w:ind w:firstLine="720"/>
      </w:pPr>
      <w:r>
        <w:t>In sum, “Letter from a Birmingham Jail” argues that non‑violent direct action in Birmingham is morally required, theologically sound, and strategically indispensable. King shows that distance cannot excuse indifference, patient negotiation has run its course, civil disobedience can honor law, and complacent allies pose the greatest threat to progress. By the end, the original charge of impatience is reversed: it is the critics who have misread the urgency of the moment, while the movement’s tactics emerge as both logical and necessary. The letter remains a concise manual for how principled protest can confront systemic wrongs when polite appeals fail.</w:t>
      </w:r>
    </w:p>
    <w:sectPr w:rsidR="00463FB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D14771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020353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463FBD"/>
    <w:rsid w:val="00463FBD"/>
    <w:rsid w:val="00910801"/>
    <w:rsid w:val="00FC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0D1A1B"/>
  <w15:docId w15:val="{E8EF6684-86C3-3B48-B1C5-B6B93690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986</Words>
  <Characters>5623</Characters>
  <Application>Microsoft Office Word</Application>
  <DocSecurity>0</DocSecurity>
  <Lines>46</Lines>
  <Paragraphs>13</Paragraphs>
  <ScaleCrop>false</ScaleCrop>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Jordan Gunn</cp:lastModifiedBy>
  <cp:revision>2</cp:revision>
  <dcterms:created xsi:type="dcterms:W3CDTF">2025-06-30T23:54:00Z</dcterms:created>
  <dcterms:modified xsi:type="dcterms:W3CDTF">2025-06-30T23:56:00Z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