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Contribution of the Late Positive Potential to Emotional Memory: A Joint Neuro-Cognitive Approach to Memory Prediction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Robin Hellerstedt</w:t>
      </w:r>
      <w:r>
        <w:rPr>
          <w:vertAlign w:val="superscript"/>
        </w:rPr>
        <w:t xml:space="preserve">1</w:t>
      </w:r>
      <w:r>
        <w:t xml:space="preserve">, Jordan Gunn</w:t>
      </w:r>
      <w:r>
        <w:rPr>
          <w:vertAlign w:val="superscript"/>
        </w:rPr>
        <w:t xml:space="preserve">2</w:t>
      </w:r>
      <w:r>
        <w:t xml:space="preserve">, and Deborah Talmi</w:t>
      </w:r>
      <w:r>
        <w:rPr>
          <w:vertAlign w:val="superscript"/>
        </w:rPr>
        <w:t xml:space="preserve">2</w:t>
      </w:r>
    </w:p>
    <w:p>
      <w:pPr>
        <w:pStyle w:val="Author"/>
      </w:pPr>
      <w:r>
        <w:rPr>
          <w:vertAlign w:val="superscript"/>
        </w:rPr>
        <w:t xml:space="preserve">1</w:t>
      </w:r>
      <w:r>
        <w:t xml:space="preserve">University</w:t>
      </w:r>
    </w:p>
    <w:p>
      <w:pPr>
        <w:pStyle w:val="Author"/>
      </w:pPr>
      <w:r>
        <w:rPr>
          <w:vertAlign w:val="superscript"/>
        </w:rPr>
        <w:t xml:space="preserve">2</w:t>
      </w:r>
      <w:r>
        <w:t xml:space="preserve">University of Cambridge</w:t>
      </w:r>
    </w:p>
    <w:bookmarkEnd w:id="20"/>
    <w:bookmarkStart w:id="21" w:name="author-note"/>
    <w:p>
      <w:pPr>
        <w:pStyle w:val="Heading1"/>
      </w:pPr>
      <w:r>
        <w:t xml:space="preserve">Author Note</w:t>
      </w:r>
    </w:p>
    <w:p>
      <w:r>
        <w:br w:type="page"/>
      </w:r>
    </w:p>
    <w:bookmarkEnd w:id="21"/>
    <w:bookmarkStart w:id="37" w:name="firstheader"/>
    <w:p>
      <w:pPr>
        <w:pStyle w:val="Heading1"/>
      </w:pPr>
      <w:r>
        <w:t xml:space="preserve">Contribution of the Late Positive Potential to Emotional Memory: A Joint Neuro-Cognitive Approach to Memory Prediction</w:t>
      </w:r>
    </w:p>
    <w:bookmarkStart w:id="28" w:name="X918e403399ebc9d47e340e23c22d36a5b154270"/>
    <w:p>
      <w:pPr>
        <w:pStyle w:val="Heading2"/>
      </w:pPr>
      <w:r>
        <w:t xml:space="preserve">Computational modeling of the Early-LPP contribution to emotional recall</w:t>
      </w:r>
    </w:p>
    <w:p>
      <w:pPr>
        <w:pStyle w:val="FirstParagraph"/>
      </w:pPr>
      <w:r>
        <w:t xml:space="preserve">The behavioral and EEG analyses identified two forms of variation in recall.</w:t>
      </w:r>
      <w:r>
        <w:t xml:space="preserve"> </w:t>
      </w:r>
      <w:r>
        <w:t xml:space="preserve">At the category level, negative items were recalled more often than neutral items.</w:t>
      </w:r>
      <w:r>
        <w:t xml:space="preserve"> </w:t>
      </w:r>
      <w:r>
        <w:t xml:space="preserve">At the item level, Early LPP was more strongly associated with subsequent recall for negative than neutral items.</w:t>
      </w:r>
      <w:r>
        <w:t xml:space="preserve"> </w:t>
      </w:r>
      <w:r>
        <w:t xml:space="preserve">The empirical analyses distinguish these patterns statistically, but they do not determine how trial-level Early LPP should be mapped onto the encoding mechanism proposed to produce emotional memory enhancement.</w:t>
      </w:r>
      <w:r>
        <w:t xml:space="preserve"> </w:t>
      </w:r>
      <w:r>
        <w:t xml:space="preserve">We therefore tested whether using item-level Early LPP to scale learning strength could replace a category-wide increase in learning strength, or whether the two forms of modulation explained complementary variation in which items were recalled.</w:t>
      </w:r>
    </w:p>
    <w:p>
      <w:pPr>
        <w:pStyle w:val="BodyText"/>
      </w:pPr>
      <w:r>
        <w:t xml:space="preserve">We organized this comparison around three focused questions.</w:t>
      </w:r>
      <w:r>
        <w:t xml:space="preserve"> </w:t>
      </w:r>
      <w:r>
        <w:t xml:space="preserve">We tested (1) whether preferential learning of negative items improved prediction of which items were recalled; (2) whether scaling learning with item-level Early LPP could replace that category-wide advantage or improve prediction after the advantage was included; and (3) whether Early-LPP scaling was better applied to both negative and neutral items or only to negative items.</w:t>
      </w:r>
      <w:r>
        <w:t xml:space="preserve"> </w:t>
      </w:r>
      <w:r>
        <w:t xml:space="preserve">We therefore crossed the presence or absence of preferential emotional learning with three LPP specifications: no LPP-based learning modulation, one relationship shared across negative and neutral items, or one relationship limited to negative items.</w:t>
      </w:r>
      <w:r>
        <w:t xml:space="preserve"> </w:t>
      </w:r>
      <w:r>
        <w:t xml:space="preserve">This crossing produced six models.</w:t>
      </w:r>
      <w:r>
        <w:t xml:space="preserve"> </w:t>
      </w:r>
      <w:r>
        <w:t xml:space="preserve">All six models used the same memory architecture.</w:t>
      </w:r>
      <w:r>
        <w:t xml:space="preserve"> </w:t>
      </w:r>
      <w:r>
        <w:t xml:space="preserve">We first describe that shared architecture and show where preferential emotional learning and Early LPP altered learning strength.</w:t>
      </w:r>
      <w:r>
        <w:t xml:space="preserve"> </w:t>
      </w:r>
      <w:r>
        <w:t xml:space="preserve">We then describe model fitting, compare the six models, and use simulations to determine which observed patterns the fitted models reproduced.</w:t>
      </w:r>
    </w:p>
    <w:bookmarkStart w:id="22" w:name="ecmr-model-specification"/>
    <w:p>
      <w:pPr>
        <w:pStyle w:val="Heading3"/>
      </w:pPr>
      <w:r>
        <w:t xml:space="preserve">eCMR Model Specification</w:t>
      </w:r>
    </w:p>
    <w:p>
      <w:pPr>
        <w:pStyle w:val="FirstParagraph"/>
      </w:pPr>
      <w:r>
        <w:t xml:space="preserve">We modeled recall with an adaptation of emotional Context Maintenance and Retrieval (eCMR)</w:t>
      </w:r>
      <w:r>
        <w:t xml:space="preserve"> </w:t>
      </w:r>
      <w:r>
        <w:t xml:space="preserve">(</w:t>
      </w:r>
      <w:hyperlink w:anchor="ref-talmi2019retrieved">
        <w:r>
          <w:rPr>
            <w:rStyle w:val="Hyperlink"/>
          </w:rPr>
          <w:t xml:space="preserve">Talmi et al., 2019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Like other retrieved-context models</w:t>
      </w:r>
      <w:r>
        <w:t xml:space="preserve"> </w:t>
      </w:r>
      <w:r>
        <w:t xml:space="preserve">(</w:t>
      </w:r>
      <w:hyperlink w:anchor="ref-howard2002distributed">
        <w:r>
          <w:rPr>
            <w:rStyle w:val="Hyperlink"/>
          </w:rPr>
          <w:t xml:space="preserve">Howard &amp; Kahana, 2002</w:t>
        </w:r>
      </w:hyperlink>
      <w:r>
        <w:t xml:space="preserve">;</w:t>
      </w:r>
      <w:r>
        <w:t xml:space="preserve"> </w:t>
      </w:r>
      <w:hyperlink w:anchor="ref-polyn2009context">
        <w:r>
          <w:rPr>
            <w:rStyle w:val="Hyperlink"/>
          </w:rPr>
          <w:t xml:space="preserve">Polyn et al., 2009</w:t>
        </w:r>
      </w:hyperlink>
      <w:r>
        <w:t xml:space="preserve">)</w:t>
      </w:r>
      <w:r>
        <w:t xml:space="preserve">, eCMR represents context as an evolving internal state shaped by recently processed events.</w:t>
      </w:r>
      <w:r>
        <w:t xml:space="preserve"> </w:t>
      </w:r>
      <w:r>
        <w:t xml:space="preserve">A studied item changes this state and forms associations in both directions: the item can later reinstate its study context, and the current context can later support retrieval of the item.</w:t>
      </w:r>
      <w:r>
        <w:t xml:space="preserve"> </w:t>
      </w:r>
      <w:r>
        <w:t xml:space="preserve">Because a recalled item reinstates context before the next recall, stronger context-to-item learning can change which items enter the recalled set.</w:t>
      </w:r>
    </w:p>
    <w:p>
      <w:pPr>
        <w:pStyle w:val="BodyText"/>
      </w:pPr>
      <w:r>
        <w:t xml:space="preserve">The context representation contained temporal and source components,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rPr>
                            <m:sty m:val="b"/>
                          </m:rP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T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rPr>
                            <m:sty m:val="b"/>
                          </m:rP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S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Temporal context represented the evolving sequence of events, whereas source context represented whether an item was negative or neutral.</w:t>
      </w:r>
      <w:r>
        <w:t xml:space="preserve"> </w:t>
      </w:r>
      <w:r>
        <w:t xml:space="preserve">These were components of one context representation rather than separate memory systems.</w:t>
      </w:r>
      <w:r>
        <w:t xml:space="preserve"> </w:t>
      </w:r>
      <w:r>
        <w:t xml:space="preserve">All six models represented both source categories; models without preferential emotional learning therefore still distinguished negative from neutral items.</w:t>
      </w:r>
    </w:p>
    <w:p>
      <w:pPr>
        <w:pStyle w:val="BodyText"/>
      </w:pPr>
      <w:r>
        <w:t xml:space="preserve">Within each list, a feature vector</w:t>
      </w:r>
      <w:r>
        <w:t xml:space="preserve"> </w:t>
      </w:r>
      <m:oMath>
        <m:sSub>
          <m:e>
            <m:r>
              <m:rPr>
                <m:sty m:val="b"/>
              </m:rP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uniquely identified each studied item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Two associative mappings connected item features and context.</w:t>
      </w:r>
      <w:r>
        <w:t xml:space="preserve"> </w:t>
      </w:r>
      <w:r>
        <w:t xml:space="preserve">The feature-to-context mapping</w:t>
      </w:r>
      <w:r>
        <w:t xml:space="preserve"> </w:t>
      </w:r>
      <m:oMath>
        <m:sSup>
          <m:e>
            <m:r>
              <m:t>M</m:t>
            </m:r>
          </m:e>
          <m:sup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allowed an item to reinstate context, whereas the context-to-feature mapping</w:t>
      </w:r>
      <w:r>
        <w:t xml:space="preserve"> </w:t>
      </w:r>
      <m:oMath>
        <m:sSup>
          <m:e>
            <m:r>
              <m:t>M</m:t>
            </m:r>
          </m:e>
          <m:sup>
            <m:r>
              <m:t>C</m:t>
            </m:r>
            <m:r>
              <m:t>F</m:t>
            </m:r>
          </m:sup>
        </m:sSup>
      </m:oMath>
      <w:r>
        <w:t xml:space="preserve"> </w:t>
      </w:r>
      <w:r>
        <w:t xml:space="preserve">allowed context to support candidate items.</w:t>
      </w:r>
      <w:r>
        <w:t xml:space="preserve"> </w:t>
      </w:r>
      <w:r>
        <w:t xml:space="preserve">On each study trial, the item first generated temporal and source contextual inputs.</w:t>
      </w:r>
      <w:r>
        <w:t xml:space="preserve"> </w:t>
      </w:r>
      <w:r>
        <w:t xml:space="preserve">For either component,</w:t>
      </w:r>
      <w:r>
        <w:t xml:space="preserve"> </w:t>
      </w:r>
      <m:oMath>
        <m:sSubSup>
          <m:e>
            <m:r>
              <m:rPr>
                <m:sty m:val="b"/>
              </m:rPr>
              <m:t>c</m:t>
            </m:r>
          </m:e>
          <m:sub>
            <m:r>
              <m:t>i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denotes the input generated by item</w:t>
      </w:r>
      <w:r>
        <w:t xml:space="preserve"> </w:t>
      </w:r>
      <m:oMath>
        <m:r>
          <m:t>i</m:t>
        </m:r>
      </m:oMath>
      <w:r>
        <w:t xml:space="preserve">, and context updated as follows: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b"/>
                </m:rPr>
                <m:t>c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β</m:t>
          </m:r>
          <m:sSubSup>
            <m:e>
              <m:r>
                <m:rPr>
                  <m:sty m:val="b"/>
                </m:rPr>
                <m:t>c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controlled how strongly the current item changed context, and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kept context at unit length.</w:t>
      </w:r>
      <w:r>
        <w:t xml:space="preserve"> </w:t>
      </w:r>
      <w:r>
        <w:t xml:space="preserve">Temporal and source context used separate encoding-drift parameters.</w:t>
      </w:r>
      <w:r>
        <w:t xml:space="preserve"> </w:t>
      </w:r>
      <w:r>
        <w:t xml:space="preserve">Only after both components had been updated did the model learn the item’s associations, binding the item to a context state it had already helped create.</w:t>
      </w:r>
    </w:p>
    <w:p>
      <w:pPr>
        <w:pStyle w:val="BodyText"/>
      </w:pPr>
      <w:r>
        <w:t xml:space="preserve">Feature-to-context learning stored the updated context that the item could later reinstate.</w:t>
      </w:r>
      <w:r>
        <w:t xml:space="preserve"> </w:t>
      </w:r>
      <w:r>
        <w:t xml:space="preserve">Context-to-feature learning determined how strongly that context would later support the item.</w:t>
      </w:r>
      <w:r>
        <w:t xml:space="preserve"> </w:t>
      </w:r>
      <w:r>
        <w:t xml:space="preserve">The temporal and source blocks of</w:t>
      </w:r>
      <w:r>
        <w:t xml:space="preserve"> </w:t>
      </w:r>
      <m:oMath>
        <m:sSup>
          <m:e>
            <m:r>
              <m:t>M</m:t>
            </m:r>
          </m:e>
          <m:sup>
            <m:r>
              <m:t>C</m:t>
            </m:r>
            <m:r>
              <m:t>F</m:t>
            </m:r>
          </m:sup>
        </m:sSup>
      </m:oMath>
      <w:r>
        <w:t xml:space="preserve">,</w:t>
      </w:r>
      <w:r>
        <w:t xml:space="preserve"> </w:t>
      </w:r>
      <m:oMath>
        <m:sSubSup>
          <m:e>
            <m:r>
              <m:t>M</m:t>
            </m:r>
          </m:e>
          <m:sub>
            <m:r>
              <m:t>T</m:t>
            </m:r>
          </m:sub>
          <m:sup>
            <m:r>
              <m:t>C</m:t>
            </m:r>
            <m:r>
              <m:t>F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M</m:t>
            </m:r>
          </m:e>
          <m:sub>
            <m:r>
              <m:t>S</m:t>
            </m:r>
          </m:sub>
          <m:sup>
            <m:r>
              <m:t>C</m:t>
            </m:r>
            <m:r>
              <m:t>F</m:t>
            </m:r>
          </m:sup>
        </m:sSubSup>
      </m:oMath>
      <w:r>
        <w:t xml:space="preserve">, were updated as follows: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Sup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C</m:t>
              </m:r>
              <m:r>
                <m:t>F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ϕ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b"/>
                </m:rPr>
                <m:t>f</m:t>
              </m:r>
            </m:e>
            <m:sub>
              <m:r>
                <m:t>i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T</m:t>
                      </m:r>
                    </m:sup>
                  </m:sSubSup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Δ</m:t>
          </m:r>
          <m:sSubSup>
            <m:e>
              <m: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C</m:t>
              </m:r>
              <m:r>
                <m:t>F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S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S</m:t>
              </m:r>
            </m:sup>
          </m:sSubSup>
          <m:sSub>
            <m:e>
              <m:r>
                <m:rPr>
                  <m:sty m:val="b"/>
                </m:rPr>
                <m:t>f</m:t>
              </m:r>
            </m:e>
            <m:sub>
              <m:r>
                <m:t>i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S</m:t>
                      </m:r>
                    </m:sup>
                  </m:sSubSup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primacy gradient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ϕ</m:t>
            </m:r>
          </m:e>
          <m:sub>
            <m:r>
              <m:t>s</m:t>
            </m:r>
          </m:sub>
        </m:sSub>
        <m:r>
          <m:rPr>
            <m:sty m:val="p"/>
          </m:rPr>
          <m:t>exp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d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</m:oMath>
      <w:r>
        <w:t xml:space="preserve"> </w:t>
      </w:r>
      <w:r>
        <w:t xml:space="preserve">temporarily strengthened learning for early list positions.</w:t>
      </w:r>
      <w:r>
        <w:t xml:space="preserve"> </w:t>
      </w:r>
      <w:r>
        <w:t xml:space="preserve">The focal emotional-learning and Early-LPP multipliers entered only the source learning strength</w:t>
      </w:r>
      <w:r>
        <w:t xml:space="preserve"> </w:t>
      </w:r>
      <m:oMath>
        <m:sSubSup>
          <m:e>
            <m:r>
              <m:t>S</m:t>
            </m:r>
          </m:e>
          <m:sub>
            <m:r>
              <m:t>i</m:t>
            </m:r>
            <m:r>
              <m:t>j</m:t>
            </m:r>
          </m:sub>
          <m:sup>
            <m:r>
              <m:t>S</m:t>
            </m:r>
          </m:sup>
        </m:sSubSup>
      </m:oMath>
      <w:r>
        <w:t xml:space="preserve">, allowing them to be compared through the same pathway while temporal learning remained unchanged.</w:t>
      </w:r>
    </w:p>
    <w:p>
      <w:pPr>
        <w:pStyle w:val="BodyText"/>
      </w:pPr>
      <w:r>
        <w:t xml:space="preserve">At recall onset, both context components shifted toward their start-of-list states.</w:t>
      </w:r>
      <w:r>
        <w:t xml:space="preserve"> </w:t>
      </w:r>
      <w:r>
        <w:t xml:space="preserve">Temporal and source context then provided additive support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 candidate item: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M</m:t>
                      </m:r>
                    </m:e>
                    <m:sup>
                      <m:r>
                        <m:t>C</m:t>
                      </m:r>
                      <m:r>
                        <m:t>F</m:t>
                      </m:r>
                    </m:sup>
                  </m:sSup>
                  <m:r>
                    <m:rPr>
                      <m:sty m:val="b"/>
                    </m:rPr>
                    <m:t>c</m:t>
                  </m:r>
                </m:e>
              </m:d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C</m:t>
                      </m:r>
                      <m:r>
                        <m:t>F</m:t>
                      </m:r>
                    </m:sup>
                  </m:sSubSup>
                  <m:sSup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M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C</m:t>
                      </m:r>
                      <m:r>
                        <m:t>F</m:t>
                      </m:r>
                    </m:sup>
                  </m:sSubSup>
                  <m:sSup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Among the studied items not yet recalled, choice sensitivity</w:t>
      </w:r>
      <w:r>
        <w:t xml:space="preserve"> </w:t>
      </w:r>
      <m:oMath>
        <m:sSub>
          <m:e>
            <m:r>
              <m:t>τ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converted this support into the probability of selecting item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next: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a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τ</m:t>
                      </m:r>
                    </m:e>
                    <m:sub>
                      <m:r>
                        <m:t>c</m:t>
                      </m:r>
                    </m:sub>
                  </m:sSub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ty m:val="p"/>
                          <m:scr m:val="script"/>
                        </m:rP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  <m:sup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ty m:val="p"/>
                  <m:scr m:val="script"/>
                </m:rP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the items still available at recall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After each selection, the item was removed from this set and reinstated its temporal and source context, changing the cue for the next recall.</w:t>
      </w:r>
      <w:r>
        <w:t xml:space="preserve"> </w:t>
      </w:r>
      <w:r>
        <w:t xml:space="preserve">This cycle links source learning strength to an item’s probability of entering the recalled set.</w:t>
      </w:r>
    </w:p>
    <w:p>
      <w:pPr>
        <w:pStyle w:val="BodyText"/>
      </w:pPr>
      <w:r>
        <w:t xml:space="preserve">The fitted model omitted item-specific semantic similarities and the source-switch disruption used in published eCMR; recall order was unavailable to diagnose the contributions of semantic similarity and source switching to retrieval dynamics.</w:t>
      </w:r>
      <w:r>
        <w:t xml:space="preserve"> </w:t>
      </w:r>
      <w:r>
        <w:t xml:space="preserve">It also fixed source reinstatement at its maximum and replaced the published accumulator and stopping process with normalized selection among unrecalled items.</w:t>
      </w:r>
      <w:r>
        <w:t xml:space="preserve"> </w:t>
      </w:r>
      <w:r>
        <w:t xml:space="preserve">The likelihood consequently conditioned on each list’s observed recall count rather than predicting when recall stopped.</w:t>
      </w:r>
      <w:r>
        <w:t xml:space="preserve"> </w:t>
      </w:r>
      <w:r>
        <w:t xml:space="preserve">These fixed departures were shared across all six models, which differed only in their scaling of source learning strength.</w:t>
      </w:r>
    </w:p>
    <w:bookmarkEnd w:id="22"/>
    <w:bookmarkStart w:id="23" w:name="encoding-strength-hypotheses"/>
    <w:p>
      <w:pPr>
        <w:pStyle w:val="Heading3"/>
      </w:pPr>
      <w:r>
        <w:t xml:space="preserve">Encoding-strength hypotheses</w:t>
      </w:r>
    </w:p>
    <w:p>
      <w:pPr>
        <w:pStyle w:val="FirstParagraph"/>
      </w:pPr>
      <w:r>
        <w:t xml:space="preserve">Every model estimated a source-learning baseline</w:t>
      </w:r>
      <w:r>
        <w:t xml:space="preserve"> </w:t>
      </w:r>
      <m:oMath>
        <m:r>
          <m:t>ω</m:t>
        </m:r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, where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scaled source relative to temporal learning and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supplied the primacy gradient.</w:t>
      </w:r>
      <w:r>
        <w:t xml:space="preserve"> </w:t>
      </w:r>
      <w:r>
        <w:t xml:space="preserve">Preferential emotional learning multiplied this baseline by</w:t>
      </w:r>
      <w:r>
        <w:t xml:space="preserve"> </w:t>
      </w:r>
      <m:oMath>
        <m:sSubSup>
          <m:e>
            <m:r>
              <m:t>ϕ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  <m:sup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sup>
        </m:sSubSup>
      </m:oMath>
      <w:r>
        <w:t xml:space="preserve">, where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negative items and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neutral items.</w:t>
      </w:r>
      <w:r>
        <w:t xml:space="preserve"> </w:t>
      </w:r>
      <w:r>
        <w:t xml:space="preserve">Models without this modulation fixed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; the remaining models estimated it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]</m:t>
        </m:r>
      </m:oMath>
      <w:r>
        <w:t xml:space="preserve">, allowing either enhancement or attenuation of negative-item learning.</w:t>
      </w:r>
      <w:r>
        <w:t xml:space="preserve"> </w:t>
      </w:r>
      <w:r>
        <w:t xml:space="preserve">Because this category-wide multiplier cannot distinguish among negative items, Early LPP supplied the item-level variation.</w:t>
      </w:r>
    </w:p>
    <w:p>
      <w:pPr>
        <w:pStyle w:val="BodyText"/>
      </w:pPr>
      <w:r>
        <w:t xml:space="preserve">Because our modeling target was which items entered each list’s recalled set, conditional on the observed recall count, we represented Early LPP as a within-list deviation: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P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P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Thus,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indicates whether item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elicited a larger or smaller Early LPP than its listmates.</w:t>
      </w:r>
      <w:r>
        <w:t xml:space="preserve"> </w:t>
      </w:r>
      <w:r>
        <w:t xml:space="preserve">The Early-LPP coefficients test whether this relative difference predicts entry into the recalled set.</w:t>
      </w:r>
      <w:r>
        <w:t xml:space="preserve"> </w:t>
      </w:r>
      <w:r>
        <w:t xml:space="preserve">This centered predictor deliberately excludes between-list mean Early LPP; testing whether lists with larger mean Early LPP produce more recalls would require retaining the list mean as a separate predictor and modeling recall count.</w:t>
      </w:r>
      <w:r>
        <w:t xml:space="preserve"> </w:t>
      </w:r>
      <w:r>
        <w:t xml:space="preserve">Because the preceding empirical regression did not separate within- and between-list variation, its Early-LPP coefficients are not numerical counterparts of the computational Early-LPP coefficients.</w:t>
      </w:r>
    </w:p>
    <w:p>
      <w:pPr>
        <w:pStyle w:val="BodyText"/>
      </w:pPr>
      <w:r>
        <w:t xml:space="preserve">Source learning strength was the product of the ordinary source-learning baseline, the category-wide emotional-learning multiplier, and an item-level Early-LPP multiplier: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r>
            <m:t>ω</m:t>
          </m:r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×</m:t>
          </m:r>
          <m:sSubSup>
            <m:e>
              <m:r>
                <m:t>ϕ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  <m:sup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sup>
          </m:sSubSup>
          <m:r>
            <m:rPr>
              <m:sty m:val="p"/>
            </m:rPr>
            <m:t>×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κ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the Early-LPP multiplier,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scaled source learning for both negative and neutral items, whereas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added negative-item-specific scaling.</w:t>
      </w:r>
      <w:r>
        <w:t xml:space="preserve"> </w:t>
      </w:r>
      <w:r>
        <w:t xml:space="preserve">The exponential link kept learning strength positive and made Early-LPP effects proportional; when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Early-LPP multiplier equaled 1 and recovered the category-level baseline.</w:t>
      </w:r>
      <w:r>
        <w:t xml:space="preserve"> </w:t>
      </w:r>
      <w:r>
        <w:t xml:space="preserve">No-LPP models fixed both coefficients at zero.</w:t>
      </w:r>
      <w:r>
        <w:t xml:space="preserve"> </w:t>
      </w:r>
      <w:r>
        <w:t xml:space="preserve">General-LPP models estimated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alone, whereas equal-complexity Emotion-dependent-LPP models estimated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alone.</w:t>
      </w:r>
      <w:r>
        <w:t xml:space="preserve"> </w:t>
      </w:r>
      <w:r>
        <w:t xml:space="preserve">The empirical Emotion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Early-LPP interaction motivated the General-versus-Emotion-dependent comparison, which determined whether the single Early-LPP coefficient better predicted recalled sets when applied to both categories or only to negative items.</w:t>
      </w:r>
    </w:p>
    <w:bookmarkEnd w:id="23"/>
    <w:bookmarkStart w:id="26" w:name="model-comparison-design"/>
    <w:p>
      <w:pPr>
        <w:pStyle w:val="Heading3"/>
      </w:pPr>
      <w:r>
        <w:t xml:space="preserve">Model-comparison design</w:t>
      </w:r>
    </w:p>
    <w:p>
      <w:pPr>
        <w:pStyle w:val="FirstParagraph"/>
      </w:pPr>
      <w:r>
        <w:t xml:space="preserve">Crossing a fixed or freely estimated emotional-learning multiplier with the three Early-LPP mappings produced the six models in</w:t>
      </w:r>
      <w:r>
        <w:t xml:space="preserve"> </w:t>
      </w:r>
      <w:hyperlink w:anchor="tbl-primary-ecmr-comparison">
        <w:r>
          <w:rPr>
            <w:rStyle w:val="Hyperlink"/>
          </w:rPr>
          <w:t xml:space="preserve">Table 1</w:t>
        </w:r>
      </w:hyperlink>
      <w:r>
        <w:t xml:space="preserve">.</w:t>
      </w:r>
    </w:p>
    <w:bookmarkStart w:id="24" w:name="tbl-primary-ecmr-comparison"/>
    <w:p>
      <w:pPr>
        <w:pStyle w:val="FigureTitle"/>
      </w:pPr>
      <w:r>
        <w:t xml:space="preserve">Table 1</w:t>
      </w:r>
    </w:p>
    <w:p>
      <w:pPr>
        <w:pStyle w:val="Caption"/>
      </w:pPr>
      <w:r>
        <w:t xml:space="preserve">Six models formed by crossing Early-LPP modulation with a fixed or estimated emotional-learning multiplier. All models contained temporal and negative/neutral source-context components; parenthetical values are numbers of free parameters. Estimating the multiplier tested the directional hypothesis of preferential emotional learning while also permitting attenuation.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Early-LPP modulation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Emotional-learning multiplier fixed at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Emotional-learning multiplier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Source-context baseline (11)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Preferential-learning model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General-LPP model (12)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 learning + General-LPP model (13)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Emotion-dependent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Emotion-dependent-LPP model (12)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 learning + Emotion-dependent-LPP model (13)</w:t>
            </w:r>
          </w:p>
        </w:tc>
      </w:tr>
    </w:tbl>
    <w:bookmarkEnd w:id="24"/>
    <w:p>
      <w:pPr>
        <w:pStyle w:val="AfterWithoutNote"/>
      </w:pPr>
      <w:r>
        <w:t xml:space="preserve">Within each row, the two columns test preferential emotional learning while holding the Early-LPP mapping fixed.</w:t>
      </w:r>
      <w:r>
        <w:t xml:space="preserve"> </w:t>
      </w:r>
      <w:r>
        <w:t xml:space="preserve">Within each column, the LPP models test whether the neural measure adds information beyond the corresponding No-LPP model.</w:t>
      </w:r>
      <w:r>
        <w:t xml:space="preserve"> </w:t>
      </w:r>
      <w:r>
        <w:t xml:space="preserve">The General and Emotion-dependent rows compare two equal-complexity placements of one Early-LPP coefficient.</w:t>
      </w:r>
      <w:r>
        <w:t xml:space="preserve"> </w:t>
      </w:r>
      <w:r>
        <w:t xml:space="preserve">The 12-parameter General-LPP and Emotion-dependent-LPP models can also be compared directly with the 12-parameter Preferential-learning model, testing whether LPP-derived scaling can replace a free category-wide multiplier.</w:t>
      </w:r>
    </w:p>
    <w:p>
      <w:pPr>
        <w:pStyle w:val="BodyText"/>
      </w:pPr>
      <w:hyperlink w:anchor="tbl-model-parameter-spec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parameters and the constraints that created the six cells.</w:t>
      </w:r>
      <w:r>
        <w:t xml:space="preserve"> </w:t>
      </w:r>
      <w:r>
        <w:t xml:space="preserve">Eleven common parameters governed context updating, associative learning, primacy, and recall choice; each optional learning multiplier added one parameter.</w:t>
      </w:r>
    </w:p>
    <w:bookmarkStart w:id="25" w:name="tbl-model-parameter-spec"/>
    <w:p>
      <w:pPr>
        <w:pStyle w:val="FigureTitle"/>
      </w:pPr>
      <w:r>
        <w:t xml:space="preserve">Table 2</w:t>
      </w:r>
    </w:p>
    <w:p>
      <w:pPr>
        <w:pStyle w:val="Caption"/>
      </w:pPr>
      <w:r>
        <w:t xml:space="preserve">Parameters in the six-model specification.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range or fixed value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Temporal-context drift during study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Source-context drift during study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Drift toward start-of-list context before recall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Temporal-context reinstatement after recall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Source-context reinstatement after recall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t xml:space="preserve"> </w:t>
            </w:r>
            <w:r>
              <w:t xml:space="preserve">(fixed)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Shared pre-experimental context-to-item support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Item-specific pre-experimental context-to-item support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Feature-to-context learning rate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Primacy scale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ϕ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Primacy decay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Recall-choice sensitivity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Source learning relative to temporal learning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Emotional-learning multiplier for negative items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t xml:space="preserve"> </w:t>
            </w:r>
            <w:r>
              <w:t xml:space="preserve">(fixed) 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General Early-LPP slope on log learning strength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(fixed) or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0.2145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Negative-item Early-LPP slope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(fixed) or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0.2145</m:t>
                  </m:r>
                </m:e>
              </m:d>
            </m:oMath>
          </w:p>
        </w:tc>
      </w:tr>
    </w:tbl>
    <w:bookmarkEnd w:id="25"/>
    <w:p>
      <w:pPr>
        <w:pStyle w:val="AfterWithoutNote"/>
      </w:pPr>
      <w:r>
        <w:t xml:space="preserve">The grid estimates one Early-LPP coefficient at a time and therefore does not test for a residual General slope after an Emotion-dependent slope is included.</w:t>
      </w:r>
      <w:r>
        <w:t xml:space="preserve"> </w:t>
      </w:r>
      <w:r>
        <w:t xml:space="preserve">It also holds the source-context pathway fixed and cannot establish that the predictive Early-LPP relationship is specific to source rather than temporal learning.</w:t>
      </w:r>
      <w:r>
        <w:t xml:space="preserve"> </w:t>
      </w:r>
      <w:r>
        <w:t xml:space="preserve">Having defined the alternatives, we next describe the common evidence used to compare them.</w:t>
      </w:r>
    </w:p>
    <w:bookmarkEnd w:id="26"/>
    <w:bookmarkStart w:id="27" w:name="pooled-estimation-and-evaluation"/>
    <w:p>
      <w:pPr>
        <w:pStyle w:val="Heading3"/>
      </w:pPr>
      <w:r>
        <w:t xml:space="preserve">Pooled estimation and evaluation</w:t>
      </w:r>
    </w:p>
    <w:p>
      <w:pPr>
        <w:pStyle w:val="FirstParagraph"/>
      </w:pPr>
      <w:r>
        <w:t xml:space="preserve">The modeling dataset matched all 6,840 study events to recall outcomes and the Early-LPP values described in the preceding EEG methods.</w:t>
      </w:r>
      <w:r>
        <w:t xml:space="preserve"> </w:t>
      </w:r>
      <w:r>
        <w:t xml:space="preserve">Values missing for 371 events (5.4%) were imputed without using recall status: first from the same item category on the participant’s list, then from the complete list, and finally from the dataset-wide category mean.</w:t>
      </w:r>
      <w:r>
        <w:t xml:space="preserve"> </w:t>
      </w:r>
      <w:r>
        <w:t xml:space="preserve">Each model used one parameter vector shared across all 342 lists from 38 participants; the analysis therefore estimates a pooled pattern rather than participant-specific mechanisms.</w:t>
      </w:r>
      <w:r>
        <w:t xml:space="preserve"> </w:t>
      </w:r>
      <w:r>
        <w:t xml:space="preserve">Each participant contributed only nine lists, too few independent list histories to support stable estimation of 11 to 13 parameters.</w:t>
      </w:r>
    </w:p>
    <w:p>
      <w:pPr>
        <w:pStyle w:val="BodyText"/>
      </w:pPr>
      <w:r>
        <w:t xml:space="preserve">The records identified each list’s recalled items but not their output order.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S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be the number of items in recalled set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S</m:t>
            </m:r>
          </m:e>
          <m:sub>
            <m:r>
              <m:t>j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be its</w:t>
      </w:r>
      <w:r>
        <w:t xml:space="preserve"> </w:t>
      </w:r>
      <m:oMath>
        <m:r>
          <m:t>k</m:t>
        </m:r>
      </m:oMath>
      <w:r>
        <w:t xml:space="preserve">th sampled order, and let</w:t>
      </w:r>
      <w:r>
        <w:t xml:space="preserve"> </w:t>
      </w:r>
      <m:oMath>
        <m:r>
          <m:rPr>
            <m:sty m:val="b"/>
          </m:rPr>
          <m:t>θ</m:t>
        </m:r>
      </m:oMath>
      <w:r>
        <w:t xml:space="preserve"> </w:t>
      </w:r>
      <w:r>
        <w:t xml:space="preserve">be the model parameters.</w:t>
      </w:r>
      <w:r>
        <w:t xml:space="preserve"> </w:t>
      </w:r>
      <w:r>
        <w:t xml:space="preserve">Because reinstatement makes eCMR sequence-dependent, we approximated the evidence for each set by averaging the probabilities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fixed sampled orders: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P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θ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t>P</m:t>
                  </m:r>
                </m:e>
              </m:nary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j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π</m:t>
                  </m:r>
                </m:e>
                <m:sub>
                  <m:r>
                    <m:t>j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θ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is one possible recall sequence and the outer average combines the sampled sequences.</w:t>
      </w:r>
      <w:r>
        <w:t xml:space="preserve"> </w:t>
      </w:r>
      <w:r>
        <w:t xml:space="preserve">The omitted factor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depends only on the observed set size, so it adds the same constant to every negative log-likelihood (NLL) and does not change parameter estimates or model rankings.</w:t>
      </w:r>
      <w:r>
        <w:t xml:space="preserve"> </w:t>
      </w:r>
      <w:r>
        <w:t xml:space="preserve">Every model used the same sampled orders and random seed.</w:t>
      </w:r>
      <w:r>
        <w:t xml:space="preserve"> </w:t>
      </w:r>
      <w:r>
        <w:t xml:space="preserve">Because the likelihood also excluded termination, it predicts recalled-item identity conditional on the observed number of recalls rather than explaining how many items were recalled.</w:t>
      </w:r>
    </w:p>
    <w:p>
      <w:pPr>
        <w:pStyle w:val="BodyText"/>
      </w:pPr>
      <w:r>
        <w:t xml:space="preserve">We minimized summed NLL with differential evolution</w:t>
      </w:r>
      <w:r>
        <w:t xml:space="preserve"> </w:t>
      </w:r>
      <w:r>
        <w:t xml:space="preserve">(</w:t>
      </w:r>
      <w:hyperlink w:anchor="ref-storn1997differential">
        <w:r>
          <w:rPr>
            <w:rStyle w:val="Hyperlink"/>
          </w:rPr>
          <w:t xml:space="preserve">Storn &amp; Price, 1997</w:t>
        </w:r>
      </w:hyperlink>
      <w:r>
        <w:t xml:space="preserve">)</w:t>
      </w:r>
      <w:r>
        <w:t xml:space="preserve">, using 15 candidate vectors per free parameter for at most 1,000 generations.</w:t>
      </w:r>
      <w:r>
        <w:t xml:space="preserve"> </w:t>
      </w:r>
      <w:r>
        <w:t xml:space="preserve">Three independent starts were run for each model, and the lowest NLL was retained.</w:t>
      </w:r>
      <w:r>
        <w:t xml:space="preserve"> </w:t>
      </w:r>
      <w:r>
        <w:t xml:space="preserve">Early-LPP coefficients were constrained to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0.2145</m:t>
            </m:r>
          </m:e>
        </m:d>
      </m:oMath>
      <w:r>
        <w:t xml:space="preserve"> </w:t>
      </w:r>
      <w:r>
        <w:t xml:space="preserve">in accordance with the directional hypothesis; the upper bound permitted a tenfold multiplier at the largest observed centered Early LPP.</w:t>
      </w:r>
      <w:r>
        <w:t xml:space="preserve"> </w:t>
      </w:r>
      <w:r>
        <w:t xml:space="preserve">We compared best-found solutions using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t>p</m:t>
        </m:r>
      </m:oMath>
      <w:r>
        <w:t xml:space="preserve">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free parameters</w:t>
      </w:r>
      <w:r>
        <w:t xml:space="preserve"> </w:t>
      </w:r>
      <w:r>
        <w:t xml:space="preserve">(</w:t>
      </w:r>
      <w:hyperlink w:anchor="ref-burnham2002model">
        <w:r>
          <w:rPr>
            <w:rStyle w:val="Hyperlink"/>
          </w:rPr>
          <w:t xml:space="preserve">Burnham &amp; Anderson,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To interpret the fit differences, we generated 200 complete datasets from each fitted model using the observed lists, Early-LPP values, and recall counts.</w:t>
      </w:r>
      <w:r>
        <w:t xml:space="preserve"> </w:t>
      </w:r>
      <w:r>
        <w:t xml:space="preserve">We summarized the negative–neutral recall difference and the remembered–forgotten Early-LPP difference within each category.</w:t>
      </w:r>
      <w:r>
        <w:t xml:space="preserve"> </w:t>
      </w:r>
      <w:r>
        <w:t xml:space="preserve">The Early-LPP diagnostic used the original z-transformed values for continuity with the empirical analysis, although within-list-centered values modulated learning.</w:t>
      </w:r>
      <w:r>
        <w:t xml:space="preserve"> </w:t>
      </w:r>
      <w:r>
        <w:t xml:space="preserve">These summaries were consequences of which items the model recalled, not additional fitting targets, and therefore provide explanatory diagnostics rather than out-of-sample validation.</w:t>
      </w:r>
    </w:p>
    <w:bookmarkEnd w:id="27"/>
    <w:bookmarkEnd w:id="28"/>
    <w:bookmarkStart w:id="36" w:name="model-comparison-results"/>
    <w:p>
      <w:pPr>
        <w:pStyle w:val="Heading2"/>
      </w:pPr>
      <w:r>
        <w:t xml:space="preserve">Model-comparison results</w:t>
      </w:r>
    </w:p>
    <w:bookmarkStart w:id="30" w:name="overall-comparison"/>
    <w:p>
      <w:pPr>
        <w:pStyle w:val="Heading3"/>
      </w:pPr>
      <w:r>
        <w:t xml:space="preserve">Overall comparison</w:t>
      </w:r>
    </w:p>
    <w:p>
      <w:pPr>
        <w:pStyle w:val="FirstParagraph"/>
      </w:pPr>
      <w:r>
        <w:t xml:space="preserve">The model combining preferential emotional learning with Emotion-dependent Early-LPP modulation had the lowest AIC (</w:t>
      </w:r>
      <w:hyperlink w:anchor="tbl-model-fit">
        <w:r>
          <w:rPr>
            <w:rStyle w:val="Hyperlink"/>
          </w:rPr>
          <w:t xml:space="preserve">Table 3</w:t>
        </w:r>
      </w:hyperlink>
      <w:r>
        <w:t xml:space="preserve">).</w:t>
      </w:r>
      <w:r>
        <w:t xml:space="preserve"> </w:t>
      </w:r>
      <w:r>
        <w:t xml:space="preserve">Its best-found NLL was 8241.988 with 13 free parameters, yielding an AIC of 16509.977; the planned contrasts below explain this ranking.</w:t>
      </w:r>
    </w:p>
    <w:bookmarkStart w:id="29" w:name="tbl-model-fit"/>
    <w:p>
      <w:pPr>
        <w:pStyle w:val="FigureTitle"/>
      </w:pPr>
      <w:r>
        <w:t xml:space="preserve">Table 3</w:t>
      </w:r>
    </w:p>
    <w:p>
      <w:pPr>
        <w:pStyle w:val="Caption"/>
      </w:pPr>
      <w:r>
        <w:t xml:space="preserve">Pooled fit of the six eCMR model variants. The first two columns identify which learning mechanisms were available for estimation; they do not indicate whether either mechanism improved fit.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free parameters; NLL is the best-found negative log-likelihood across three differential-evolution starts;</w:t>
      </w:r>
      <w:r>
        <w:t xml:space="preserve"> </w:t>
      </w:r>
      <m:oMath>
        <m:r>
          <m:t>Δ</m:t>
        </m:r>
      </m:oMath>
      <w:r>
        <w:t xml:space="preserve">AIC is relative to the lowest-AIC model. Bold values identify the best-fitting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Emotion-based learning 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LPP-based learning boost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NLL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Δ</m:t>
              </m:r>
            </m:oMath>
            <w:r>
              <w:t xml:space="preserve">AIC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8312.401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16646.803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136.826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8300.416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16624.832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114.855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items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8283.055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16590.109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80.133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8257.154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16538.309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8251.272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16528.545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items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8241.988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16509.977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0.000</w:t>
            </w:r>
          </w:p>
        </w:tc>
      </w:tr>
    </w:tbl>
    <w:bookmarkEnd w:id="29"/>
    <w:p>
      <w:pPr>
        <w:pStyle w:val="AfterWithoutNote"/>
      </w:pPr>
      <w:r>
        <w:t xml:space="preserve">The fit statistics compare conditional prediction, whereas the simulations show which empirical patterns accompanied the fit differences.</w:t>
      </w:r>
      <w:r>
        <w:t xml:space="preserve"> </w:t>
      </w:r>
      <w:r>
        <w:t xml:space="preserve">The figures contrast the observed data with preferential emotional learning alone, Emotion-dependent Early-LPP modulation alone, and their combination; the tables report all six models.</w:t>
      </w:r>
    </w:p>
    <w:bookmarkEnd w:id="30"/>
    <w:bookmarkStart w:id="31" w:name="Xf7c77b450b19db15d8651c255d36fd1fe0bb90e"/>
    <w:p>
      <w:pPr>
        <w:pStyle w:val="Heading3"/>
      </w:pPr>
      <w:r>
        <w:t xml:space="preserve">Contribution of preferential emotional learning</w:t>
      </w:r>
    </w:p>
    <w:p>
      <w:pPr>
        <w:pStyle w:val="FirstParagraph"/>
      </w:pPr>
      <w:r>
        <w:t xml:space="preserve">Freeing the emotional-learning multiplier lowered AIC under every Early-LPP specification: by 108.494 points with no LPP, by 96.287 points with General LPP, and by 80.133 points with Emotion-dependent LPP.</w:t>
      </w:r>
      <w:r>
        <w:t xml:space="preserve"> </w:t>
      </w:r>
      <w:r>
        <w:t xml:space="preserve">The fitted multiplier exceeded 1 in all three models.</w:t>
      </w:r>
      <w:r>
        <w:t xml:space="preserve"> </w:t>
      </w:r>
      <w:r>
        <w:t xml:space="preserve">Across all six models, those with preferential emotional learning reproduced the observed negative-minus-neutral recall difference (predicted 0.119–0.140; observed 0.124), whereas models without it produced differences of only 0.000–0.019 (</w:t>
      </w:r>
      <w:hyperlink w:anchor="fig-model-recall-rates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31"/>
    <w:bookmarkStart w:id="32" w:name="contribution-of-early-lpp"/>
    <w:p>
      <w:pPr>
        <w:pStyle w:val="Heading3"/>
      </w:pPr>
      <w:r>
        <w:t xml:space="preserve">Contribution of Early LPP</w:t>
      </w:r>
    </w:p>
    <w:p>
      <w:pPr>
        <w:pStyle w:val="FirstParagraph"/>
      </w:pPr>
      <w:r>
        <w:t xml:space="preserve">Without preferential emotional learning, General LPP lowered AIC by 21.971 points and Emotion-dependent LPP lowered it by 56.693 points relative to the source-context baseline.</w:t>
      </w:r>
      <w:r>
        <w:t xml:space="preserve"> </w:t>
      </w:r>
      <w:r>
        <w:t xml:space="preserve">With preferential emotional learning, the corresponding AIC improvements were 9.764 and 28.332 points.</w:t>
      </w:r>
      <w:r>
        <w:t xml:space="preserve"> </w:t>
      </w:r>
      <w:r>
        <w:t xml:space="preserve">Thus, Early LPP improved conditional prediction whether the emotional-learning multiplier was fixed or estimated.</w:t>
      </w:r>
    </w:p>
    <w:p>
      <w:pPr>
        <w:pStyle w:val="BodyText"/>
      </w:pPr>
      <w:r>
        <w:t xml:space="preserve">The Preferential-learning model had an AIC 86.523 points lower than the General-LPP model and 51.801 points lower than the Emotion-dependent-LPP model; all three models had 12 free parameters.</w:t>
      </w:r>
      <w:r>
        <w:t xml:space="preserve"> </w:t>
      </w:r>
      <w:r>
        <w:t xml:space="preserve">Neither LPP mapping therefore replaced the category-wide multiplier, even though both added predictive information to models with or without it.</w:t>
      </w:r>
    </w:p>
    <w:p>
      <w:pPr>
        <w:pStyle w:val="BodyText"/>
      </w:pPr>
      <w:r>
        <w:t xml:space="preserve">In the observed data, remembered items had a 0.455 larger mean Early-LPP z score than forgotten items within the negative category, whereas the corresponding neutral-item difference was 0.035.</w:t>
      </w:r>
      <w:r>
        <w:t xml:space="preserve"> </w:t>
      </w:r>
      <w:r>
        <w:t xml:space="preserve">Models without Early-LPP modulation produced little remembered-versus-forgotten separation in either category.</w:t>
      </w:r>
      <w:r>
        <w:t xml:space="preserve"> </w:t>
      </w:r>
      <w:r>
        <w:t xml:space="preserve">Because simulations kept each item’s Early-LPP value fixed, the separation in</w:t>
      </w:r>
      <w:r>
        <w:t xml:space="preserve"> </w:t>
      </w:r>
      <w:hyperlink w:anchor="fig-model-early-lpp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arose only when a model preferentially recalled items with larger values.</w:t>
      </w:r>
      <w:r>
        <w:t xml:space="preserve"> </w:t>
      </w:r>
      <w:r>
        <w:t xml:space="preserve">Early-LPP modulation therefore supplied item-level information absent from the category-wide multiplier.</w:t>
      </w:r>
    </w:p>
    <w:bookmarkEnd w:id="32"/>
    <w:bookmarkStart w:id="34" w:name="X96d402c89431e8b6c468cc1f240a0efb24c1fea"/>
    <w:p>
      <w:pPr>
        <w:pStyle w:val="Heading3"/>
      </w:pPr>
      <w:r>
        <w:t xml:space="preserve">General versus Emotion-dependent Early LPP</w:t>
      </w:r>
    </w:p>
    <w:p>
      <w:pPr>
        <w:pStyle w:val="FirstParagraph"/>
      </w:pPr>
      <w:r>
        <w:t xml:space="preserve">Emotion-dependent LPP lowered AIC by 34.723 points relative to General LPP when preferential emotional learning was absent and by 18.568 points when preferential emotional learning was present.</w:t>
      </w:r>
      <w:r>
        <w:t xml:space="preserve"> </w:t>
      </w:r>
      <w:r>
        <w:t xml:space="preserve">Because the alternatives had equal numbers of parameters, these AIC differences reflected fit rather than complexity penalties.</w:t>
      </w:r>
    </w:p>
    <w:bookmarkStart w:id="33" w:name="tbl-model-diagnostic-effects"/>
    <w:p>
      <w:pPr>
        <w:pStyle w:val="FigureTitle"/>
      </w:pPr>
      <w:r>
        <w:t xml:space="preserve">Table 4</w:t>
      </w:r>
    </w:p>
    <w:p>
      <w:pPr>
        <w:pStyle w:val="Caption"/>
      </w:pPr>
      <w:r>
        <w:t xml:space="preserve">Observed and model-predicted recall-rate and original-z Early-LPP contrasts. Parentheses give prediction minus observed; predictions are means across 200 complete simulated datasets. The Early-LPP contrasts were not separately fitted.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eCMR 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rate: Negative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Neutral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LPP: Remembered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Forgotten, Negative 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LPP: Remembered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Forgotten, Neutral 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LPP: Negative items (Remembered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Forgotten)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Neutral items (Remembered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Forgotten)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Observed 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  <w:r>
              <w:t xml:space="preserve"> </w:t>
            </w:r>
            <w:r>
              <w:rPr>
                <w:i/>
                <w:iCs/>
              </w:rPr>
              <w:t xml:space="preserve">(−0.124)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</w:t>
            </w:r>
            <w:r>
              <w:t xml:space="preserve"> </w:t>
            </w:r>
            <w:r>
              <w:rPr>
                <w:i/>
                <w:iCs/>
              </w:rPr>
              <w:t xml:space="preserve">(−0.425)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  <w:r>
              <w:t xml:space="preserve"> </w:t>
            </w:r>
            <w:r>
              <w:rPr>
                <w:i/>
                <w:iCs/>
              </w:rPr>
              <w:t xml:space="preserve">(−0.026)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  <w:r>
              <w:t xml:space="preserve"> </w:t>
            </w:r>
            <w:r>
              <w:rPr>
                <w:i/>
                <w:iCs/>
              </w:rPr>
              <w:t xml:space="preserve">(−0.400)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All-item LPP 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  <w:r>
              <w:t xml:space="preserve"> </w:t>
            </w:r>
            <w:r>
              <w:rPr>
                <w:i/>
                <w:iCs/>
              </w:rPr>
              <w:t xml:space="preserve">(−0.117)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</w:t>
            </w:r>
            <w:r>
              <w:t xml:space="preserve"> </w:t>
            </w:r>
            <w:r>
              <w:rPr>
                <w:i/>
                <w:iCs/>
              </w:rPr>
              <w:t xml:space="preserve">(−0.215)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0.207</w:t>
            </w:r>
            <w:r>
              <w:t xml:space="preserve"> </w:t>
            </w:r>
            <w:r>
              <w:rPr>
                <w:i/>
                <w:iCs/>
              </w:rPr>
              <w:t xml:space="preserve">(+0.172)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  <w:r>
              <w:t xml:space="preserve"> </w:t>
            </w:r>
            <w:r>
              <w:rPr>
                <w:i/>
                <w:iCs/>
              </w:rPr>
              <w:t xml:space="preserve">(−0.387)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Negative-item LPP 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  <w:r>
              <w:t xml:space="preserve"> </w:t>
            </w:r>
            <w:r>
              <w:rPr>
                <w:i/>
                <w:iCs/>
              </w:rPr>
              <w:t xml:space="preserve">(−0.105)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</w:t>
            </w:r>
            <w:r>
              <w:t xml:space="preserve"> </w:t>
            </w:r>
            <w:r>
              <w:rPr>
                <w:i/>
                <w:iCs/>
              </w:rPr>
              <w:t xml:space="preserve">(+0.105)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  <w:r>
              <w:t xml:space="preserve"> </w:t>
            </w:r>
            <w:r>
              <w:rPr>
                <w:i/>
                <w:iCs/>
              </w:rPr>
              <w:t xml:space="preserve">(−0.015)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</w:t>
            </w:r>
            <w:r>
              <w:t xml:space="preserve"> </w:t>
            </w:r>
            <w:r>
              <w:rPr>
                <w:i/>
                <w:iCs/>
              </w:rPr>
              <w:t xml:space="preserve">(+0.120)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Emotion-based 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</w:t>
            </w:r>
            <w:r>
              <w:t xml:space="preserve"> </w:t>
            </w:r>
            <w:r>
              <w:rPr>
                <w:i/>
                <w:iCs/>
              </w:rPr>
              <w:t xml:space="preserve">(+0.002)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  <w:r>
              <w:t xml:space="preserve"> </w:t>
            </w:r>
            <w:r>
              <w:rPr>
                <w:i/>
                <w:iCs/>
              </w:rPr>
              <w:t xml:space="preserve">(−0.426)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  <w:r>
              <w:t xml:space="preserve"> </w:t>
            </w:r>
            <w:r>
              <w:rPr>
                <w:i/>
                <w:iCs/>
              </w:rPr>
              <w:t xml:space="preserve">(−0.024)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  <w:r>
              <w:t xml:space="preserve"> </w:t>
            </w:r>
            <w:r>
              <w:rPr>
                <w:i/>
                <w:iCs/>
              </w:rPr>
              <w:t xml:space="preserve">(−0.402)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Emotion-based + all-item LPP boosts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</w:t>
            </w:r>
            <w:r>
              <w:t xml:space="preserve"> </w:t>
            </w:r>
            <w:r>
              <w:rPr>
                <w:i/>
                <w:iCs/>
              </w:rPr>
              <w:t xml:space="preserve">(+0.016)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</w:t>
            </w:r>
            <w:r>
              <w:t xml:space="preserve"> </w:t>
            </w:r>
            <w:r>
              <w:rPr>
                <w:i/>
                <w:iCs/>
              </w:rPr>
              <w:t xml:space="preserve">(−0.125)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  <w:r>
              <w:t xml:space="preserve"> </w:t>
            </w:r>
            <w:r>
              <w:rPr>
                <w:i/>
                <w:iCs/>
              </w:rPr>
              <w:t xml:space="preserve">(+0.031)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  <w:r>
              <w:t xml:space="preserve"> </w:t>
            </w:r>
            <w:r>
              <w:rPr>
                <w:i/>
                <w:iCs/>
              </w:rPr>
              <w:t xml:space="preserve">(−0.156)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Emotion-based + negative-item LPP boosts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  <w:r>
              <w:t xml:space="preserve"> </w:t>
            </w:r>
            <w:r>
              <w:rPr>
                <w:i/>
                <w:iCs/>
              </w:rPr>
              <w:t xml:space="preserve">(−0.004)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</w:t>
            </w:r>
            <w:r>
              <w:t xml:space="preserve"> </w:t>
            </w:r>
            <w:r>
              <w:rPr>
                <w:i/>
                <w:iCs/>
              </w:rPr>
              <w:t xml:space="preserve">(−0.007)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  <w:r>
              <w:t xml:space="preserve"> </w:t>
            </w:r>
            <w:r>
              <w:rPr>
                <w:i/>
                <w:iCs/>
              </w:rPr>
              <w:t xml:space="preserve">(−0.011)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</w:t>
            </w:r>
            <w:r>
              <w:t xml:space="preserve"> </w:t>
            </w:r>
            <w:r>
              <w:rPr>
                <w:i/>
                <w:iCs/>
              </w:rPr>
              <w:t xml:space="preserve">(+0.004)</w:t>
            </w:r>
          </w:p>
        </w:tc>
      </w:tr>
    </w:tbl>
    <w:bookmarkEnd w:id="33"/>
    <w:p>
      <w:pPr>
        <w:pStyle w:val="AfterWithoutNote"/>
      </w:pPr>
      <w:r>
        <w:t xml:space="preserve">General LPP separated remembered and forgotten items in both categories, whereas Emotion-dependent LPP concentrated the separation among negative items.</w:t>
      </w:r>
      <w:r>
        <w:t xml:space="preserve"> </w:t>
      </w:r>
      <w:r>
        <w:t xml:space="preserve">With preferential emotional learning, the predicted difference between the negative-item and neutral-item remembered–forgotten Early-LPP contrasts was 0.264 under General LPP and 0.424 under Emotion-dependent LPP, compared with 0.420 observed.</w:t>
      </w:r>
      <w:r>
        <w:t xml:space="preserve"> </w:t>
      </w:r>
      <w:r>
        <w:t xml:space="preserve">The General Early-LPP coefficient was below its upper bound (</w:t>
      </w:r>
      <m:oMath>
        <m:acc>
          <m:accPr>
            <m:chr m:val="̂"/>
          </m:accPr>
          <m:e>
            <m:r>
              <m:t>κ</m:t>
            </m:r>
          </m:e>
        </m:acc>
        <m:r>
          <m:rPr>
            <m:sty m:val="p"/>
          </m:rPr>
          <m:t>=</m:t>
        </m:r>
        <m:r>
          <m:t>0.151</m:t>
        </m:r>
      </m:oMath>
      <w:r>
        <w:t xml:space="preserve"> </w:t>
      </w:r>
      <w:r>
        <w:t xml:space="preserve">of 0.2145), so the preference for Emotion-dependent LPP was not attributable to the General coefficient pressing against its declared bound.</w:t>
      </w:r>
    </w:p>
    <w:p>
      <w:pPr>
        <w:pStyle w:val="BodyText"/>
      </w:pPr>
      <w:r>
        <w:t xml:space="preserve">The preferred model combined preferential emotional learning with Emotion-dependent Early-LPP modulation.</w:t>
      </w:r>
      <w:r>
        <w:t xml:space="preserve"> </w:t>
      </w:r>
      <w:r>
        <w:t xml:space="preserve">It estimated a source-learning scale of 2.669, an emotional-learning multiplier of 1.577, and an emotion-dependent log-learning slope of 0.115.</w:t>
      </w:r>
      <w:r>
        <w:t xml:space="preserve"> </w:t>
      </w:r>
      <w:r>
        <w:t xml:space="preserve">Because these parameters were estimated jointly with the remaining model parameters, their isolated magnitudes should not be assigned direct psychological meanings.</w:t>
      </w:r>
    </w:p>
    <w:bookmarkEnd w:id="34"/>
    <w:bookmarkStart w:id="35" w:name="summary-and-scope"/>
    <w:p>
      <w:pPr>
        <w:pStyle w:val="Heading3"/>
      </w:pPr>
      <w:r>
        <w:t xml:space="preserve">Summary and scope</w:t>
      </w:r>
    </w:p>
    <w:p>
      <w:pPr>
        <w:pStyle w:val="FirstParagraph"/>
      </w:pPr>
      <w:r>
        <w:t xml:space="preserve">Taken together, the comparisons support complementary roles for preferential emotional learning and Early-LPP modulation.</w:t>
      </w:r>
      <w:r>
        <w:t xml:space="preserve"> </w:t>
      </w:r>
      <w:r>
        <w:t xml:space="preserve">The category-wide multiplier reproduced the negative-item recall advantage, whereas Emotion-dependent Early LPP distinguished which negative items were recalled.</w:t>
      </w:r>
      <w:r>
        <w:t xml:space="preserve"> </w:t>
      </w:r>
      <w:r>
        <w:t xml:space="preserve">Their combination was preferred, implementing the proposed pathway from Early LPP through source learning strength to the conditional probability of entering the recalled set.</w:t>
      </w:r>
      <w:r>
        <w:t xml:space="preserve"> </w:t>
      </w:r>
      <w:r>
        <w:t xml:space="preserve">LPP-derived scaling therefore complemented rather than replaced preferential emotional learning.</w:t>
      </w:r>
    </w:p>
    <w:bookmarkEnd w:id="35"/>
    <w:bookmarkEnd w:id="36"/>
    <w:bookmarkEnd w:id="37"/>
    <w:bookmarkStart w:id="60" w:name="supplementary-material"/>
    <w:p>
      <w:pPr>
        <w:pStyle w:val="Heading1"/>
      </w:pPr>
      <w:r>
        <w:t xml:space="preserve">Supplementary material</w:t>
      </w:r>
    </w:p>
    <w:bookmarkStart w:id="59" w:name="complete-pooled-parameter-estimates"/>
    <w:p>
      <w:pPr>
        <w:pStyle w:val="Heading2"/>
      </w:pPr>
      <w:r>
        <w:t xml:space="preserve">Complete pooled parameter estimates</w:t>
      </w:r>
    </w:p>
    <w:p>
      <w:pPr>
        <w:pStyle w:val="FirstParagraph"/>
      </w:pPr>
      <w:hyperlink w:anchor="tbl-primary-model-ke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defines the compact model codes used in</w:t>
      </w:r>
      <w:r>
        <w:t xml:space="preserve"> </w:t>
      </w:r>
      <w:hyperlink w:anchor="tbl-model-parameters">
        <w:r>
          <w:rPr>
            <w:rStyle w:val="Hyperlink"/>
          </w:rPr>
          <w:t xml:space="preserve">Table 6</w:t>
        </w:r>
      </w:hyperlink>
      <w:r>
        <w:t xml:space="preserve">.</w:t>
      </w:r>
    </w:p>
    <w:bookmarkStart w:id="38" w:name="tbl-primary-model-key"/>
    <w:p>
      <w:pPr>
        <w:pStyle w:val="FigureTitle"/>
      </w:pPr>
      <w:r>
        <w:t xml:space="preserve">Table 5</w:t>
      </w:r>
    </w:p>
    <w:p>
      <w:pPr>
        <w:pStyle w:val="Caption"/>
      </w:pPr>
      <w:r>
        <w:t xml:space="preserve">Key for the six primary model columns in</w:t>
      </w:r>
      <w:r>
        <w:t xml:space="preserve"> </w:t>
      </w:r>
      <w:hyperlink w:anchor="tbl-model-parameters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Emotional-learning multiplier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Early-LPP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label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at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Source-context baseline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at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General-LPP model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at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Emotion-dependent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Emotion-dependent-LPP model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Preferential-learning model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 learning + General-LPP model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Emotion-dependent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 learning + Emotion-dependent-LPP model</w:t>
            </w:r>
          </w:p>
        </w:tc>
      </w:tr>
    </w:tbl>
    <w:bookmarkEnd w:id="38"/>
    <w:p>
      <w:pPr>
        <w:pStyle w:val="AfterWithoutNote"/>
      </w:pPr>
      <w:r>
        <w:t xml:space="preserve"> </w:t>
      </w:r>
    </w:p>
    <w:bookmarkStart w:id="39" w:name="tbl-model-parameters"/>
    <w:p>
      <w:pPr>
        <w:pStyle w:val="FigureTitle"/>
      </w:pPr>
      <w:r>
        <w:t xml:space="preserve">Table 6</w:t>
      </w:r>
    </w:p>
    <w:p>
      <w:pPr>
        <w:pStyle w:val="Caption"/>
      </w:pPr>
      <w:r>
        <w:t xml:space="preserve">Best-found pooled parameter estimates for the six primary models. Values are rounded for presentation; square brackets identify fixed values. Parameter roles and fitted ranges are reported in</w:t>
      </w:r>
      <w:r>
        <w:t xml:space="preserve"> </w:t>
      </w:r>
      <w:hyperlink w:anchor="tbl-model-parameter-spe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0.71851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0.060535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0.059001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0.99726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0.42503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0.30498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5.8256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23.84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58.887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0.2887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0.28719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1.3389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0.33536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ϕ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82.54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76.191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0.64638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1.9979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2.6692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1.5774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[0]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0.11542</w:t>
            </w:r>
          </w:p>
        </w:tc>
      </w:tr>
    </w:tbl>
    <w:bookmarkEnd w:id="39"/>
    <w:bookmarkStart w:id="43" w:name="fig-model-recall-rate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Observed and model-predicted recall rates for negative and neutral items. Brackets show the negative-minus-neutral difference. Observed error bars are 95% participant-cluster bootstrap confidence intervals; predicted error bars are central 95% intervals across 200 complete simulated datasets.</w:t>
      </w:r>
    </w:p>
    <w:p>
      <w:pPr>
        <w:pStyle w:val="FigureWithoutNote"/>
      </w:pPr>
      <w:r>
        <w:drawing>
          <wp:inline>
            <wp:extent cx="5943600" cy="434117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work/lpp_model_prediction_grids/matched_models_recall_rate_figur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41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p>
      <w:r>
        <w:br w:type="page"/>
      </w:r>
    </w:p>
    <w:bookmarkStart w:id="47" w:name="fig-model-early-lpp"/>
    <w:p>
      <w:pPr>
        <w:pStyle w:val="FigureTitle"/>
      </w:pPr>
      <w:r>
        <w:t xml:space="preserve">Figure 2</w:t>
      </w:r>
    </w:p>
    <w:p>
      <w:pPr>
        <w:pStyle w:val="Caption"/>
      </w:pPr>
      <w:r>
        <w:t xml:space="preserve">Observed and model-predicted original z-transformed Early LPP by item category and memory status. Brackets show remembered-minus-forgotten differences within each category. Observed error bars are 95% participant-bootstrap confidence intervals; predicted error bars are central 95% intervals across 200 complete simulated datasets.</w:t>
      </w:r>
    </w:p>
    <w:p>
      <w:pPr>
        <w:pStyle w:val="FigureWithoutNote"/>
      </w:pPr>
      <w:r>
        <w:drawing>
          <wp:inline>
            <wp:extent cx="5943600" cy="476043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work/lpp_model_prediction_grids/matched_models_early_lpp_figur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60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p>
      <w:r>
        <w:br w:type="page"/>
      </w:r>
    </w:p>
    <w:bookmarkStart w:id="58" w:name="refs"/>
    <w:bookmarkStart w:id="49" w:name="ref-burnham2002model"/>
    <w:p>
      <w:pPr>
        <w:pStyle w:val="Bibliography"/>
      </w:pPr>
      <w:r>
        <w:t xml:space="preserve">Burnham, K. P., &amp; Anderson, D. R. (2002).</w:t>
      </w:r>
      <w:r>
        <w:t xml:space="preserve"> </w:t>
      </w:r>
      <w:r>
        <w:rPr>
          <w:i/>
          <w:iCs/>
        </w:rPr>
        <w:t xml:space="preserve">Model selection and multimodel inference: A practical information-theoretic approach</w:t>
      </w:r>
      <w:r>
        <w:t xml:space="preserve"> </w:t>
      </w:r>
      <w:r>
        <w:t xml:space="preserve">(2nd ed.). Springer.</w:t>
      </w:r>
      <w:r>
        <w:t xml:space="preserve"> </w:t>
      </w:r>
      <w:hyperlink r:id="rId48">
        <w:r>
          <w:rPr>
            <w:rStyle w:val="Hyperlink"/>
          </w:rPr>
          <w:t xml:space="preserve">https://doi.org/10.1007/b97636</w:t>
        </w:r>
      </w:hyperlink>
    </w:p>
    <w:bookmarkEnd w:id="49"/>
    <w:bookmarkStart w:id="51" w:name="ref-howard2002distributed"/>
    <w:p>
      <w:pPr>
        <w:pStyle w:val="Bibliography"/>
      </w:pPr>
      <w:r>
        <w:t xml:space="preserve">Howard, M. W., &amp; Kahana, M. J. (2002). A distributed representation of temporal context.</w:t>
      </w:r>
      <w:r>
        <w:t xml:space="preserve"> </w:t>
      </w:r>
      <w:r>
        <w:rPr>
          <w:i/>
          <w:iCs/>
        </w:rPr>
        <w:t xml:space="preserve">Journal of Mathematical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46</w:t>
      </w:r>
      <w:r>
        <w:t xml:space="preserve">(3), 269–299.</w:t>
      </w:r>
      <w:r>
        <w:t xml:space="preserve"> </w:t>
      </w:r>
      <w:hyperlink r:id="rId50">
        <w:r>
          <w:rPr>
            <w:rStyle w:val="Hyperlink"/>
          </w:rPr>
          <w:t xml:space="preserve">https://doi.org/10.1006/jmps.2001.1388</w:t>
        </w:r>
      </w:hyperlink>
    </w:p>
    <w:bookmarkEnd w:id="51"/>
    <w:bookmarkStart w:id="53" w:name="ref-polyn2009context"/>
    <w:p>
      <w:pPr>
        <w:pStyle w:val="Bibliography"/>
      </w:pPr>
      <w:r>
        <w:t xml:space="preserve">Polyn, S. M., Norman, K. A., &amp; Kahana, M. J. (2009). A context maintenance and retrieval model of organizational processes in free recall.</w:t>
      </w:r>
      <w:r>
        <w:t xml:space="preserve"> </w:t>
      </w:r>
      <w:r>
        <w:rPr>
          <w:i/>
          <w:iCs/>
        </w:rPr>
        <w:t xml:space="preserve">Psychological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(1), 129–156.</w:t>
      </w:r>
      <w:r>
        <w:t xml:space="preserve"> </w:t>
      </w:r>
      <w:hyperlink r:id="rId52">
        <w:r>
          <w:rPr>
            <w:rStyle w:val="Hyperlink"/>
          </w:rPr>
          <w:t xml:space="preserve">https://doi.org/10.1037/a0014420</w:t>
        </w:r>
      </w:hyperlink>
    </w:p>
    <w:bookmarkEnd w:id="53"/>
    <w:bookmarkStart w:id="55" w:name="ref-storn1997differential"/>
    <w:p>
      <w:pPr>
        <w:pStyle w:val="Bibliography"/>
      </w:pPr>
      <w:r>
        <w:t xml:space="preserve">Storn, R., &amp; Price, K. (1997).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(4), 341–359.</w:t>
      </w:r>
      <w:r>
        <w:t xml:space="preserve"> </w:t>
      </w:r>
      <w:hyperlink r:id="rId54">
        <w:r>
          <w:rPr>
            <w:rStyle w:val="Hyperlink"/>
          </w:rPr>
          <w:t xml:space="preserve">https://doi.org/10.1023/A:1008202821328</w:t>
        </w:r>
      </w:hyperlink>
    </w:p>
    <w:bookmarkEnd w:id="55"/>
    <w:bookmarkStart w:id="57" w:name="ref-talmi2019retrieved"/>
    <w:p>
      <w:pPr>
        <w:pStyle w:val="Bibliography"/>
      </w:pPr>
      <w:r>
        <w:t xml:space="preserve">Talmi, D., Lohnas, L. J., &amp; Daw, N. D. (2019). A retrieved context model of the emotional modulation of memory.</w:t>
      </w:r>
      <w:r>
        <w:t xml:space="preserve"> </w:t>
      </w:r>
      <w:r>
        <w:rPr>
          <w:i/>
          <w:iCs/>
        </w:rPr>
        <w:t xml:space="preserve">Psychological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126</w:t>
      </w:r>
      <w:r>
        <w:t xml:space="preserve">(4), 455–485.</w:t>
      </w:r>
      <w:r>
        <w:t xml:space="preserve"> </w:t>
      </w:r>
      <w:hyperlink r:id="rId56">
        <w:r>
          <w:rPr>
            <w:rStyle w:val="Hyperlink"/>
          </w:rPr>
          <w:t xml:space="preserve">https://doi.org/10.1037/rev0000132</w:t>
        </w:r>
      </w:hyperlink>
    </w:p>
    <w:bookmarkEnd w:id="57"/>
    <w:bookmarkEnd w:id="58"/>
    <w:bookmarkEnd w:id="59"/>
    <w:bookmarkEnd w:id="6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50" Target="https://doi.org/10.1006/jmps.2001.1388" TargetMode="External" /><Relationship Type="http://schemas.openxmlformats.org/officeDocument/2006/relationships/hyperlink" Id="rId48" Target="https://doi.org/10.1007/b97636" TargetMode="External" /><Relationship Type="http://schemas.openxmlformats.org/officeDocument/2006/relationships/hyperlink" Id="rId54" Target="https://doi.org/10.1023/A:1008202821328" TargetMode="External" /><Relationship Type="http://schemas.openxmlformats.org/officeDocument/2006/relationships/hyperlink" Id="rId52" Target="https://doi.org/10.1037/a0014420" TargetMode="External" /><Relationship Type="http://schemas.openxmlformats.org/officeDocument/2006/relationships/hyperlink" Id="rId56" Target="https://doi.org/10.1037/rev00001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doi.org/10.1006/jmps.2001.1388" TargetMode="External" /><Relationship Type="http://schemas.openxmlformats.org/officeDocument/2006/relationships/hyperlink" Id="rId48" Target="https://doi.org/10.1007/b97636" TargetMode="External" /><Relationship Type="http://schemas.openxmlformats.org/officeDocument/2006/relationships/hyperlink" Id="rId54" Target="https://doi.org/10.1023/A:1008202821328" TargetMode="External" /><Relationship Type="http://schemas.openxmlformats.org/officeDocument/2006/relationships/hyperlink" Id="rId52" Target="https://doi.org/10.1037/a0014420" TargetMode="External" /><Relationship Type="http://schemas.openxmlformats.org/officeDocument/2006/relationships/hyperlink" Id="rId56" Target="https://doi.org/10.1037/rev00001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LPP CONTRIBUTION TO EMOTIONAL MEMORY</dc:description>
  <cp:keywords/>
  <dcterms:created xsi:type="dcterms:W3CDTF">2026-07-19T12:58:18Z</dcterms:created>
  <dcterms:modified xsi:type="dcterms:W3CDTF">2026-07-19T12:58:18Z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True</vt:lpwstr>
  </property>
  <property fmtid="{D5CDD505-2E9C-101B-9397-08002B2CF9AE}" pid="4" name="apaauthor">
    <vt:lpwstr/>
  </property>
  <property fmtid="{D5CDD505-2E9C-101B-9397-08002B2CF9AE}" pid="5" name="apatitle">
    <vt:lpwstr>Contribution of the Late Positive Potential to Emotional Memory: A Joint Neuro-Cognitive Approach to Memory Prediction</vt:lpwstr>
  </property>
  <property fmtid="{D5CDD505-2E9C-101B-9397-08002B2CF9AE}" pid="6" name="apatitledisplay">
    <vt:lpwstr>Contribution of the Late Positive Potential to Emotional Memory: A Joint Neuro-Cognitive Approach to Memory Prediction</vt:lpwstr>
  </property>
  <property fmtid="{D5CDD505-2E9C-101B-9397-08002B2CF9AE}" pid="7" name="authors">
    <vt:lpwstr/>
  </property>
  <property fmtid="{D5CDD505-2E9C-101B-9397-08002B2CF9AE}" pid="8" name="biblio-config">
    <vt:lpwstr>True</vt:lpwstr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ap-location">
    <vt:lpwstr>top</vt:lpwstr>
  </property>
  <property fmtid="{D5CDD505-2E9C-101B-9397-08002B2CF9AE}" pid="12" name="clear-hidden-classes">
    <vt:lpwstr>none</vt:lpwstr>
  </property>
  <property fmtid="{D5CDD505-2E9C-101B-9397-08002B2CF9AE}" pid="13" name="csl">
    <vt:lpwstr>_extensions/wjschne/apaquarto/apa.csl</vt:lpwstr>
  </property>
  <property fmtid="{D5CDD505-2E9C-101B-9397-08002B2CF9AE}" pid="14" name="documentmode">
    <vt:lpwstr>man</vt:lpwstr>
  </property>
  <property fmtid="{D5CDD505-2E9C-101B-9397-08002B2CF9AE}" pid="15" name="donotrepeattitle">
    <vt:lpwstr>True</vt:lpwstr>
  </property>
  <property fmtid="{D5CDD505-2E9C-101B-9397-08002B2CF9AE}" pid="16" name="fig-cap-location">
    <vt:lpwstr>top</vt:lpwstr>
  </property>
  <property fmtid="{D5CDD505-2E9C-101B-9397-08002B2CF9AE}" pid="17" name="google-scholar">
    <vt:lpwstr>True</vt:lpwstr>
  </property>
  <property fmtid="{D5CDD505-2E9C-101B-9397-08002B2CF9AE}" pid="18" name="header-includes">
    <vt:lpwstr/>
  </property>
  <property fmtid="{D5CDD505-2E9C-101B-9397-08002B2CF9AE}" pid="19" name="include-after">
    <vt:lpwstr/>
  </property>
  <property fmtid="{D5CDD505-2E9C-101B-9397-08002B2CF9AE}" pid="20" name="include-before">
    <vt:lpwstr/>
  </property>
  <property fmtid="{D5CDD505-2E9C-101B-9397-08002B2CF9AE}" pid="21" name="knitr">
    <vt:lpwstr/>
  </property>
  <property fmtid="{D5CDD505-2E9C-101B-9397-08002B2CF9AE}" pid="22" name="labels">
    <vt:lpwstr/>
  </property>
  <property fmtid="{D5CDD505-2E9C-101B-9397-08002B2CF9AE}" pid="23" name="language">
    <vt:lpwstr/>
  </property>
  <property fmtid="{D5CDD505-2E9C-101B-9397-08002B2CF9AE}" pid="24" name="lightbox">
    <vt:lpwstr>auto</vt:lpwstr>
  </property>
  <property fmtid="{D5CDD505-2E9C-101B-9397-08002B2CF9AE}" pid="25" name="link-citations">
    <vt:lpwstr>True</vt:lpwstr>
  </property>
  <property fmtid="{D5CDD505-2E9C-101B-9397-08002B2CF9AE}" pid="26" name="manuscript">
    <vt:lpwstr/>
  </property>
  <property fmtid="{D5CDD505-2E9C-101B-9397-08002B2CF9AE}" pid="27" name="no-ampersand-parenthetical">
    <vt:lpwstr>False</vt:lpwstr>
  </property>
  <property fmtid="{D5CDD505-2E9C-101B-9397-08002B2CF9AE}" pid="28" name="nocorrespondence">
    <vt:lpwstr>True</vt:lpwstr>
  </property>
  <property fmtid="{D5CDD505-2E9C-101B-9397-08002B2CF9AE}" pid="29" name="notebook-preview-options">
    <vt:lpwstr/>
  </property>
  <property fmtid="{D5CDD505-2E9C-101B-9397-08002B2CF9AE}" pid="30" name="oneaffiliation">
    <vt:lpwstr>False</vt:lpwstr>
  </property>
  <property fmtid="{D5CDD505-2E9C-101B-9397-08002B2CF9AE}" pid="31" name="oneauthor">
    <vt:lpwstr>False</vt:lpwstr>
  </property>
  <property fmtid="{D5CDD505-2E9C-101B-9397-08002B2CF9AE}" pid="32" name="quarto-internal">
    <vt:lpwstr/>
  </property>
  <property fmtid="{D5CDD505-2E9C-101B-9397-08002B2CF9AE}" pid="33" name="references">
    <vt:lpwstr/>
  </property>
  <property fmtid="{D5CDD505-2E9C-101B-9397-08002B2CF9AE}" pid="34" name="remove-hidden">
    <vt:lpwstr>all</vt:lpwstr>
  </property>
  <property fmtid="{D5CDD505-2E9C-101B-9397-08002B2CF9AE}" pid="35" name="revealjs-plugins">
    <vt:lpwstr/>
  </property>
  <property fmtid="{D5CDD505-2E9C-101B-9397-08002B2CF9AE}" pid="36" name="shorttitle">
    <vt:lpwstr>LPP CONTRIBUTION TO EMOTIONAL MEMORY</vt:lpwstr>
  </property>
  <property fmtid="{D5CDD505-2E9C-101B-9397-08002B2CF9AE}" pid="37" name="suppress-abstract">
    <vt:lpwstr>False</vt:lpwstr>
  </property>
  <property fmtid="{D5CDD505-2E9C-101B-9397-08002B2CF9AE}" pid="38" name="suppress-affiliation">
    <vt:lpwstr>False</vt:lpwstr>
  </property>
  <property fmtid="{D5CDD505-2E9C-101B-9397-08002B2CF9AE}" pid="39" name="suppress-author">
    <vt:lpwstr>False</vt:lpwstr>
  </property>
  <property fmtid="{D5CDD505-2E9C-101B-9397-08002B2CF9AE}" pid="40" name="suppress-author-note">
    <vt:lpwstr>False</vt:lpwstr>
  </property>
  <property fmtid="{D5CDD505-2E9C-101B-9397-08002B2CF9AE}" pid="41" name="suppress-corresponding-address">
    <vt:lpwstr>False</vt:lpwstr>
  </property>
  <property fmtid="{D5CDD505-2E9C-101B-9397-08002B2CF9AE}" pid="42" name="suppress-corresponding-affiliation-name">
    <vt:lpwstr>False</vt:lpwstr>
  </property>
  <property fmtid="{D5CDD505-2E9C-101B-9397-08002B2CF9AE}" pid="43" name="suppress-corresponding-city">
    <vt:lpwstr>False</vt:lpwstr>
  </property>
  <property fmtid="{D5CDD505-2E9C-101B-9397-08002B2CF9AE}" pid="44" name="suppress-corresponding-department">
    <vt:lpwstr>False</vt:lpwstr>
  </property>
  <property fmtid="{D5CDD505-2E9C-101B-9397-08002B2CF9AE}" pid="45" name="suppress-corresponding-email">
    <vt:lpwstr>False</vt:lpwstr>
  </property>
  <property fmtid="{D5CDD505-2E9C-101B-9397-08002B2CF9AE}" pid="46" name="suppress-corresponding-group">
    <vt:lpwstr>False</vt:lpwstr>
  </property>
  <property fmtid="{D5CDD505-2E9C-101B-9397-08002B2CF9AE}" pid="47" name="suppress-corresponding-paragraph">
    <vt:lpwstr>False</vt:lpwstr>
  </property>
  <property fmtid="{D5CDD505-2E9C-101B-9397-08002B2CF9AE}" pid="48" name="suppress-corresponding-postal-code">
    <vt:lpwstr>False</vt:lpwstr>
  </property>
  <property fmtid="{D5CDD505-2E9C-101B-9397-08002B2CF9AE}" pid="49" name="suppress-corresponding-region">
    <vt:lpwstr>False</vt:lpwstr>
  </property>
  <property fmtid="{D5CDD505-2E9C-101B-9397-08002B2CF9AE}" pid="50" name="suppress-credit-statement">
    <vt:lpwstr>False</vt:lpwstr>
  </property>
  <property fmtid="{D5CDD505-2E9C-101B-9397-08002B2CF9AE}" pid="51" name="suppress-disclosures-paragraph">
    <vt:lpwstr>False</vt:lpwstr>
  </property>
  <property fmtid="{D5CDD505-2E9C-101B-9397-08002B2CF9AE}" pid="52" name="suppress-impact-statement">
    <vt:lpwstr>False</vt:lpwstr>
  </property>
  <property fmtid="{D5CDD505-2E9C-101B-9397-08002B2CF9AE}" pid="53" name="suppress-keywords">
    <vt:lpwstr>False</vt:lpwstr>
  </property>
  <property fmtid="{D5CDD505-2E9C-101B-9397-08002B2CF9AE}" pid="54" name="suppress-orcid">
    <vt:lpwstr>False</vt:lpwstr>
  </property>
  <property fmtid="{D5CDD505-2E9C-101B-9397-08002B2CF9AE}" pid="55" name="suppress-short-title">
    <vt:lpwstr>False</vt:lpwstr>
  </property>
  <property fmtid="{D5CDD505-2E9C-101B-9397-08002B2CF9AE}" pid="56" name="suppress-status-change-paragraph">
    <vt:lpwstr>False</vt:lpwstr>
  </property>
  <property fmtid="{D5CDD505-2E9C-101B-9397-08002B2CF9AE}" pid="57" name="suppress-title">
    <vt:lpwstr>False</vt:lpwstr>
  </property>
  <property fmtid="{D5CDD505-2E9C-101B-9397-08002B2CF9AE}" pid="58" name="suppress-title-introduction">
    <vt:lpwstr>False</vt:lpwstr>
  </property>
  <property fmtid="{D5CDD505-2E9C-101B-9397-08002B2CF9AE}" pid="59" name="suppress-title-page">
    <vt:lpwstr>False</vt:lpwstr>
  </property>
  <property fmtid="{D5CDD505-2E9C-101B-9397-08002B2CF9AE}" pid="60" name="suppress-title-page-number">
    <vt:lpwstr>False</vt:lpwstr>
  </property>
  <property fmtid="{D5CDD505-2E9C-101B-9397-08002B2CF9AE}" pid="61" name="tbl-cap-location">
    <vt:lpwstr>top</vt:lpwstr>
  </property>
  <property fmtid="{D5CDD505-2E9C-101B-9397-08002B2CF9AE}" pid="62" name="template-partials">
    <vt:lpwstr/>
  </property>
  <property fmtid="{D5CDD505-2E9C-101B-9397-08002B2CF9AE}" pid="63" name="theme">
    <vt:lpwstr>cosmo</vt:lpwstr>
  </property>
  <property fmtid="{D5CDD505-2E9C-101B-9397-08002B2CF9AE}" pid="64" name="title-block-style">
    <vt:lpwstr>manuscript</vt:lpwstr>
  </property>
  <property fmtid="{D5CDD505-2E9C-101B-9397-08002B2CF9AE}" pid="65" name="toc-title">
    <vt:lpwstr>Table of contents</vt:lpwstr>
  </property>
  <property fmtid="{D5CDD505-2E9C-101B-9397-08002B2CF9AE}" pid="66" name="unroll-markdown-cells">
    <vt:lpwstr>True</vt:lpwstr>
  </property>
  <property fmtid="{D5CDD505-2E9C-101B-9397-08002B2CF9AE}" pid="67" name="zerocitations">
    <vt:lpwstr>False</vt:lpwstr>
  </property>
</Properties>
</file>