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267"/>
        <w:gridCol w:w="1504"/>
        <w:gridCol w:w="1425"/>
        <w:gridCol w:w="712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Context architecture</w:t>
            </w:r>
          </w:p>
        </w:tc>
        <w:tc>
          <w:tcPr/>
          <w:p>
            <w:pPr>
              <w:pStyle w:val="Compact"/>
            </w:pPr>
            <w:r>
              <w:t xml:space="preserve">Encoding-strength modulation</w:t>
            </w:r>
          </w:p>
        </w:tc>
        <w:tc>
          <w:tcPr/>
          <w:p>
            <w:pPr>
              <w:pStyle w:val="Compact"/>
            </w:pPr>
            <w:r>
              <w:t xml:space="preserve">Information available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Free parameters</w:t>
            </w:r>
          </w:p>
        </w:tc>
        <w:tc>
          <w:tcPr/>
          <w:p>
            <w:pPr>
              <w:pStyle w:val="Compact"/>
            </w:pPr>
            <w:r>
              <w:t xml:space="preserve">Key prediction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CMR</w:t>
            </w:r>
          </w:p>
        </w:tc>
        <w:tc>
          <w:tcPr/>
          <w:p>
            <w:pPr>
              <w:pStyle w:val="Compact"/>
            </w:pPr>
            <w:r>
              <w:t xml:space="preserve">Temporal context only</w:t>
            </w:r>
          </w:p>
        </w:tc>
        <w:tc>
          <w:tcPr/>
          <w:p>
            <w:pPr>
              <w:pStyle w:val="Compact"/>
            </w:pPr>
            <w:r>
              <w:t xml:space="preserve">No emotion or LPP term</w:t>
            </w:r>
          </w:p>
        </w:tc>
        <w:tc>
          <w:tcPr/>
          <w:p>
            <w:pPr>
              <w:pStyle w:val="Compact"/>
            </w:pPr>
            <w:r>
              <w:t xml:space="preserve">Item identity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Neither category-level emotional advantage nor LPP-recall relationship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CMR+LPP</w:t>
            </w:r>
          </w:p>
        </w:tc>
        <w:tc>
          <w:tcPr/>
          <w:p>
            <w:pPr>
              <w:pStyle w:val="Compact"/>
            </w:pPr>
            <w:r>
              <w:t xml:space="preserve">Temporal context only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κ</m:t>
                  </m:r>
                </m:e>
                <m:sub>
                  <m:r>
                    <m:t>L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b/>
                <w:bCs/>
              </w:rPr>
              <w:t xml:space="preserve">all items</w:t>
            </w:r>
          </w:p>
        </w:tc>
        <w:tc>
          <w:tcPr/>
          <w:p>
            <w:pPr>
              <w:pStyle w:val="Compact"/>
            </w:pPr>
            <w:r>
              <w:t xml:space="preserve">Item identity + trial-level LPP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LPP-recall relationship; only weak indirect category separation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eCMR</w:t>
            </w:r>
          </w:p>
        </w:tc>
        <w:tc>
          <w:tcPr/>
          <w:p>
            <w:pPr>
              <w:pStyle w:val="Compact"/>
            </w:pPr>
            <w:r>
              <w:t xml:space="preserve">Temporal + emotional context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ϕ</m:t>
                  </m:r>
                </m:e>
                <m:sub>
                  <m:r>
                    <m:t>e</m:t>
                  </m:r>
                  <m:r>
                    <m:t>m</m:t>
                  </m:r>
                  <m:r>
                    <m:t>o</m:t>
                  </m:r>
                  <m:r>
                    <m:t>t</m:t>
                  </m:r>
                </m:sub>
              </m:sSub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Item identity + emotional/neutral 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Emotional recall advantage, but no item-level LPP-recall relationship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LPP-eCMR</w:t>
            </w:r>
          </w:p>
        </w:tc>
        <w:tc>
          <w:tcPr/>
          <w:p>
            <w:pPr>
              <w:pStyle w:val="Compact"/>
            </w:pPr>
            <w:r>
              <w:t xml:space="preserve">Temporal + emotional context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ϕ</m:t>
                  </m:r>
                </m:e>
                <m:sub>
                  <m:r>
                    <m:t>e</m:t>
                  </m:r>
                  <m:r>
                    <m:t>m</m:t>
                  </m:r>
                  <m:r>
                    <m:t>o</m:t>
                  </m:r>
                  <m:r>
                    <m:t>t</m:t>
                  </m:r>
                </m:sub>
              </m:sSub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κ</m:t>
                  </m:r>
                </m:e>
                <m:sub>
                  <m:r>
                    <m:t>E</m:t>
                  </m:r>
                  <m:r>
                    <m:t>L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Category + trial-level LPP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Both emotional recall advantage and LPP-recall relationship</w:t>
            </w:r>
          </w:p>
        </w:tc>
      </w:tr>
    </w:tbl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model-comparison"/>
          <w:p>
            <w:pPr>
              <w:pStyle w:val="Compact"/>
              <w:jc w:val="center"/>
            </w:pPr>
            <w:r>
              <w:drawing>
                <wp:inline>
                  <wp:extent cx="8590280" cy="554947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./four_model_conceptual_figure/versions/v009_four_model_emotional_palet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90280" cy="55494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Conceptual comparison of the four models. Blue components denote temporal context, item features, and temporal memory pathways; pink components denote emotional context, emotional features, and emotional memory pathways. Early LPP modulates temporal context-to-feature learning for all items in CMR+LPP and emotional context-to-feature learning for emotional items in LPP-eCMR.</w:t>
            </w:r>
          </w:p>
          <w:bookmarkEnd w:id="23"/>
        </w:tc>
      </w:tr>
    </w:tbl>
    <w:sectPr>
      <w:footnotePr>
        <w:numRestart w:val="eachSect"/>
      </w:footnotePr>
      <w:pgSz w:h="12240" w:orient="landscape" w:w="15840"/>
      <w:pgMar w:bottom="792" w:left="792" w:right="792" w:top="79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40" w:lineRule="auto"/>
    </w:pPr>
    <w:rPr>
      <w:rFonts w:ascii="Arial" w:hAnsi="Arial"/>
      <w:sz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 w:line="240" w:lineRule="auto"/>
    </w:pPr>
    <w:rPr>
      <w:rFonts w:ascii="Arial" w:hAnsi="Arial"/>
      <w:sz w:val="19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hd w:fill="f1f3f5" w:val="clear"/>
    </w:pPr>
  </w:style>
  <w:style w:customStyle="1" w:styleId="KeywordTok" w:type="character">
    <w:name w:val="KeywordTok"/>
    <w:basedOn w:val="VerbatimChar"/>
    <w:rPr>
      <w:b/>
      <w:color w:val="003b4f"/>
      <w:shd w:fill="f1f3f5" w:val="clear"/>
    </w:rPr>
  </w:style>
  <w:style w:customStyle="1" w:styleId="DataTypeTok" w:type="character">
    <w:name w:val="DataTypeTok"/>
    <w:basedOn w:val="VerbatimChar"/>
    <w:rPr>
      <w:color w:val="ad0000"/>
      <w:shd w:fill="f1f3f5" w:val="clear"/>
    </w:rPr>
  </w:style>
  <w:style w:customStyle="1" w:styleId="DecValTok" w:type="character">
    <w:name w:val="DecValTok"/>
    <w:basedOn w:val="VerbatimChar"/>
    <w:rPr>
      <w:color w:val="ad0000"/>
      <w:shd w:fill="f1f3f5" w:val="clear"/>
    </w:rPr>
  </w:style>
  <w:style w:customStyle="1" w:styleId="BaseNTok" w:type="character">
    <w:name w:val="BaseNTok"/>
    <w:basedOn w:val="VerbatimChar"/>
    <w:rPr>
      <w:color w:val="ad0000"/>
      <w:shd w:fill="f1f3f5" w:val="clear"/>
    </w:rPr>
  </w:style>
  <w:style w:customStyle="1" w:styleId="FloatTok" w:type="character">
    <w:name w:val="FloatTok"/>
    <w:basedOn w:val="VerbatimChar"/>
    <w:rPr>
      <w:color w:val="ad0000"/>
      <w:shd w:fill="f1f3f5" w:val="clear"/>
    </w:rPr>
  </w:style>
  <w:style w:customStyle="1" w:styleId="ConstantTok" w:type="character">
    <w:name w:val="ConstantTok"/>
    <w:basedOn w:val="VerbatimChar"/>
    <w:rPr>
      <w:color w:val="8f5902"/>
      <w:shd w:fill="f1f3f5" w:val="clear"/>
    </w:rPr>
  </w:style>
  <w:style w:customStyle="1" w:styleId="CharTok" w:type="character">
    <w:name w:val="CharTok"/>
    <w:basedOn w:val="VerbatimChar"/>
    <w:rPr>
      <w:color w:val="20794d"/>
      <w:shd w:fill="f1f3f5" w:val="clear"/>
    </w:rPr>
  </w:style>
  <w:style w:customStyle="1" w:styleId="SpecialCharTok" w:type="character">
    <w:name w:val="SpecialCharTok"/>
    <w:basedOn w:val="VerbatimChar"/>
    <w:rPr>
      <w:color w:val="5e5e5e"/>
      <w:shd w:fill="f1f3f5" w:val="clear"/>
    </w:rPr>
  </w:style>
  <w:style w:customStyle="1" w:styleId="StringTok" w:type="character">
    <w:name w:val="StringTok"/>
    <w:basedOn w:val="VerbatimChar"/>
    <w:rPr>
      <w:color w:val="20794d"/>
      <w:shd w:fill="f1f3f5" w:val="clear"/>
    </w:rPr>
  </w:style>
  <w:style w:customStyle="1" w:styleId="VerbatimStringTok" w:type="character">
    <w:name w:val="VerbatimStringTok"/>
    <w:basedOn w:val="VerbatimChar"/>
    <w:rPr>
      <w:color w:val="20794d"/>
      <w:shd w:fill="f1f3f5" w:val="clear"/>
    </w:rPr>
  </w:style>
  <w:style w:customStyle="1" w:styleId="SpecialStringTok" w:type="character">
    <w:name w:val="SpecialStringTok"/>
    <w:basedOn w:val="VerbatimChar"/>
    <w:rPr>
      <w:color w:val="20794d"/>
      <w:shd w:fill="f1f3f5" w:val="clear"/>
    </w:rPr>
  </w:style>
  <w:style w:customStyle="1" w:styleId="ImportTok" w:type="character">
    <w:name w:val="ImportTok"/>
    <w:basedOn w:val="VerbatimChar"/>
    <w:rPr>
      <w:color w:val="00769e"/>
      <w:shd w:fill="f1f3f5" w:val="clear"/>
    </w:rPr>
  </w:style>
  <w:style w:customStyle="1" w:styleId="CommentTok" w:type="character">
    <w:name w:val="CommentTok"/>
    <w:basedOn w:val="VerbatimChar"/>
    <w:rPr>
      <w:color w:val="5e5e5e"/>
      <w:shd w:fill="f1f3f5" w:val="clear"/>
    </w:rPr>
  </w:style>
  <w:style w:customStyle="1" w:styleId="DocumentationTok" w:type="character">
    <w:name w:val="DocumentationTok"/>
    <w:basedOn w:val="VerbatimChar"/>
    <w:rPr>
      <w:i/>
      <w:color w:val="5e5e5e"/>
      <w:shd w:fill="f1f3f5" w:val="clear"/>
    </w:rPr>
  </w:style>
  <w:style w:customStyle="1" w:styleId="AnnotationTok" w:type="character">
    <w:name w:val="AnnotationTok"/>
    <w:basedOn w:val="VerbatimChar"/>
    <w:rPr>
      <w:color w:val="5e5e5e"/>
      <w:shd w:fill="f1f3f5" w:val="clear"/>
    </w:rPr>
  </w:style>
  <w:style w:customStyle="1" w:styleId="CommentVarTok" w:type="character">
    <w:name w:val="CommentVarTok"/>
    <w:basedOn w:val="VerbatimChar"/>
    <w:rPr>
      <w:i/>
      <w:color w:val="5e5e5e"/>
      <w:shd w:fill="f1f3f5" w:val="clear"/>
    </w:rPr>
  </w:style>
  <w:style w:customStyle="1" w:styleId="OtherTok" w:type="character">
    <w:name w:val="OtherTok"/>
    <w:basedOn w:val="VerbatimChar"/>
    <w:rPr>
      <w:color w:val="003b4f"/>
      <w:shd w:fill="f1f3f5" w:val="clear"/>
    </w:rPr>
  </w:style>
  <w:style w:customStyle="1" w:styleId="FunctionTok" w:type="character">
    <w:name w:val="FunctionTok"/>
    <w:basedOn w:val="VerbatimChar"/>
    <w:rPr>
      <w:color w:val="4758ab"/>
      <w:shd w:fill="f1f3f5" w:val="clear"/>
    </w:rPr>
  </w:style>
  <w:style w:customStyle="1" w:styleId="VariableTok" w:type="character">
    <w:name w:val="VariableTok"/>
    <w:basedOn w:val="VerbatimChar"/>
    <w:rPr>
      <w:color w:val="111111"/>
      <w:shd w:fill="f1f3f5" w:val="clear"/>
    </w:rPr>
  </w:style>
  <w:style w:customStyle="1" w:styleId="ControlFlowTok" w:type="character">
    <w:name w:val="ControlFlowTok"/>
    <w:basedOn w:val="VerbatimChar"/>
    <w:rPr>
      <w:b/>
      <w:color w:val="003b4f"/>
      <w:shd w:fill="f1f3f5" w:val="clear"/>
    </w:rPr>
  </w:style>
  <w:style w:customStyle="1" w:styleId="OperatorTok" w:type="character">
    <w:name w:val="OperatorTok"/>
    <w:basedOn w:val="VerbatimChar"/>
    <w:rPr>
      <w:color w:val="5e5e5e"/>
      <w:shd w:fill="f1f3f5" w:val="clear"/>
    </w:rPr>
  </w:style>
  <w:style w:customStyle="1" w:styleId="BuiltInTok" w:type="character">
    <w:name w:val="BuiltInTok"/>
    <w:basedOn w:val="VerbatimChar"/>
    <w:rPr>
      <w:color w:val="003b4f"/>
      <w:shd w:fill="f1f3f5" w:val="clear"/>
    </w:rPr>
  </w:style>
  <w:style w:customStyle="1" w:styleId="ExtensionTok" w:type="character">
    <w:name w:val="ExtensionTok"/>
    <w:basedOn w:val="VerbatimChar"/>
    <w:rPr>
      <w:color w:val="003b4f"/>
      <w:shd w:fill="f1f3f5" w:val="clear"/>
    </w:rPr>
  </w:style>
  <w:style w:customStyle="1" w:styleId="PreprocessorTok" w:type="character">
    <w:name w:val="PreprocessorTok"/>
    <w:basedOn w:val="VerbatimChar"/>
    <w:rPr>
      <w:color w:val="ad0000"/>
      <w:shd w:fill="f1f3f5" w:val="clear"/>
    </w:rPr>
  </w:style>
  <w:style w:customStyle="1" w:styleId="AttributeTok" w:type="character">
    <w:name w:val="AttributeTok"/>
    <w:basedOn w:val="VerbatimChar"/>
    <w:rPr>
      <w:color w:val="657422"/>
      <w:shd w:fill="f1f3f5" w:val="clear"/>
    </w:rPr>
  </w:style>
  <w:style w:customStyle="1" w:styleId="RegionMarkerTok" w:type="character">
    <w:name w:val="RegionMarkerTok"/>
    <w:basedOn w:val="VerbatimChar"/>
    <w:rPr>
      <w:color w:val="003b4f"/>
      <w:shd w:fill="f1f3f5" w:val="clear"/>
    </w:rPr>
  </w:style>
  <w:style w:customStyle="1" w:styleId="InformationTok" w:type="character">
    <w:name w:val="InformationTok"/>
    <w:basedOn w:val="VerbatimChar"/>
    <w:rPr>
      <w:color w:val="5e5e5e"/>
      <w:shd w:fill="f1f3f5" w:val="clear"/>
    </w:rPr>
  </w:style>
  <w:style w:customStyle="1" w:styleId="WarningTok" w:type="character">
    <w:name w:val="WarningTok"/>
    <w:basedOn w:val="VerbatimChar"/>
    <w:rPr>
      <w:i/>
      <w:color w:val="5e5e5e"/>
      <w:shd w:fill="f1f3f5" w:val="clear"/>
    </w:rPr>
  </w:style>
  <w:style w:customStyle="1" w:styleId="AlertTok" w:type="character">
    <w:name w:val="AlertTok"/>
    <w:basedOn w:val="VerbatimChar"/>
    <w:rPr>
      <w:color w:val="ad0000"/>
      <w:shd w:fill="f1f3f5" w:val="clear"/>
    </w:rPr>
  </w:style>
  <w:style w:customStyle="1" w:styleId="ErrorTok" w:type="character">
    <w:name w:val="ErrorTok"/>
    <w:basedOn w:val="VerbatimChar"/>
    <w:rPr>
      <w:color w:val="ad0000"/>
      <w:shd w:fill="f1f3f5" w:val="clear"/>
    </w:rPr>
  </w:style>
  <w:style w:customStyle="1" w:styleId="NormalTok" w:type="character">
    <w:name w:val="NormalTok"/>
    <w:basedOn w:val="VerbatimChar"/>
    <w:rPr>
      <w:color w:val="003b4f"/>
      <w:shd w:fill="f1f3f5" w:val="clea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2026-07-10T12:17:50Z</dcterms:created>
  <dcterms:modified xsi:type="dcterms:W3CDTF">2026-07-10T12:17:50Z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