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267"/>
        <w:gridCol w:w="1980"/>
        <w:gridCol w:w="1346"/>
        <w:gridCol w:w="1029"/>
        <w:gridCol w:w="950"/>
        <w:gridCol w:w="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Encoding-strength modulation</w:t>
            </w:r>
          </w:p>
        </w:tc>
        <w:tc>
          <w:tcPr/>
          <w:p>
            <w:pPr>
              <w:pStyle w:val="Compact"/>
            </w:pPr>
            <w:r>
              <w:t xml:space="preserve">Model inputs</w:t>
            </w:r>
          </w:p>
        </w:tc>
        <w:tc>
          <w:tcPr/>
          <w:p>
            <w:pPr>
              <w:pStyle w:val="Compact"/>
            </w:pPr>
            <w:r>
              <w:t xml:space="preserve">Emotional advantage</w:t>
            </w:r>
          </w:p>
        </w:tc>
        <w:tc>
          <w:tcPr/>
          <w:p>
            <w:pPr>
              <w:pStyle w:val="Compact"/>
            </w:pPr>
            <w:r>
              <w:t xml:space="preserve">LPP-recall relation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CMR</w:t>
            </w:r>
          </w:p>
        </w:tc>
        <w:tc>
          <w:tcPr/>
          <w:p>
            <w:pPr>
              <w:pStyle w:val="Compact"/>
            </w:pPr>
            <w:r>
              <w:t xml:space="preserve">Temporal only</w:t>
            </w:r>
          </w:p>
        </w:tc>
        <w:tc>
          <w:tcPr/>
          <w:p>
            <w:pPr>
              <w:pStyle w:val="Compact"/>
            </w:pPr>
            <w:r>
              <w:t xml:space="preserve">No emotion or LPP term</w:t>
            </w:r>
          </w:p>
        </w:tc>
        <w:tc>
          <w:tcPr/>
          <w:p>
            <w:pPr>
              <w:pStyle w:val="Compact"/>
            </w:pPr>
            <w:r>
              <w:t xml:space="preserve">Item identity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CMR+LPP</w:t>
            </w:r>
          </w:p>
        </w:tc>
        <w:tc>
          <w:tcPr/>
          <w:p>
            <w:pPr>
              <w:pStyle w:val="Compact"/>
            </w:pPr>
            <w:r>
              <w:t xml:space="preserve">Temporal only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κ</m:t>
                  </m:r>
                </m:e>
                <m:sub>
                  <m:r>
                    <m:t>L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Temporal MCF, all items</w:t>
            </w:r>
          </w:p>
        </w:tc>
        <w:tc>
          <w:tcPr/>
          <w:p>
            <w:pPr>
              <w:pStyle w:val="Compact"/>
            </w:pPr>
            <w:r>
              <w:t xml:space="preserve">Item identity + trial-level LPP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Weak/indirect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eCMR</w:t>
            </w:r>
          </w:p>
        </w:tc>
        <w:tc>
          <w:tcPr/>
          <w:p>
            <w:pPr>
              <w:pStyle w:val="Compact"/>
            </w:pPr>
            <w:r>
              <w:t xml:space="preserve">Temporal +</w:t>
            </w:r>
            <w:r>
              <w:t xml:space="preserve"> </w:t>
            </w:r>
            <w:r>
              <w:rPr>
                <w:b/>
                <w:bCs/>
              </w:rPr>
              <w:t xml:space="preserve">emotional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ϕ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o</m:t>
                  </m:r>
                  <m:r>
                    <m:t>t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Emotional MCF, emotional items</w:t>
            </w:r>
          </w:p>
        </w:tc>
        <w:tc>
          <w:tcPr/>
          <w:p>
            <w:pPr>
              <w:pStyle w:val="Compact"/>
            </w:pPr>
            <w:r>
              <w:t xml:space="preserve">Item identity + 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LPP-eCMR</w:t>
            </w:r>
          </w:p>
        </w:tc>
        <w:tc>
          <w:tcPr/>
          <w:p>
            <w:pPr>
              <w:pStyle w:val="Compact"/>
            </w:pPr>
            <w:r>
              <w:t xml:space="preserve">Temporal +</w:t>
            </w:r>
            <w:r>
              <w:t xml:space="preserve"> </w:t>
            </w:r>
            <w:r>
              <w:rPr>
                <w:b/>
                <w:bCs/>
              </w:rPr>
              <w:t xml:space="preserve">emotional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ϕ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o</m:t>
                  </m:r>
                  <m:r>
                    <m:t>t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κ</m:t>
                  </m:r>
                </m:e>
                <m:sub>
                  <m:r>
                    <m:t>E</m:t>
                  </m:r>
                  <m:r>
                    <m:t>L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Emotional MCF, emotional items</w:t>
            </w:r>
          </w:p>
        </w:tc>
        <w:tc>
          <w:tcPr/>
          <w:p>
            <w:pPr>
              <w:pStyle w:val="Compact"/>
            </w:pPr>
            <w:r>
              <w:t xml:space="preserve">Item identity + category + trial-level LPP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model-comparison"/>
          <w:p>
            <w:pPr>
              <w:pStyle w:val="Compact"/>
              <w:jc w:val="center"/>
            </w:pPr>
            <w:r>
              <w:drawing>
                <wp:inline>
                  <wp:extent cx="8590280" cy="554947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./four_model_conceptual_figure/versions/v009_four_model_emotional_palet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0280" cy="5549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Conceptual comparison of the four models. Blue components denote temporal context, item features, and temporal memory pathways; pink components denote emotional context, emotional features, and emotional memory pathways. Early LPP modulates temporal context-to-feature learning for all items in CMR+LPP and emotional context-to-feature learning for emotional items in LPP-eCMR.</w:t>
            </w:r>
          </w:p>
          <w:bookmarkEnd w:id="23"/>
        </w:tc>
      </w:tr>
    </w:tbl>
    <w:sectPr>
      <w:footnotePr>
        <w:numRestart w:val="eachSect"/>
      </w:footnotePr>
      <w:pgSz w:h="12240" w:orient="landscape" w:w="15840"/>
      <w:pgMar w:bottom="792" w:left="792" w:right="792" w:top="79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40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 w:line="240" w:lineRule="auto"/>
    </w:pPr>
    <w:rPr>
      <w:rFonts w:ascii="Arial" w:hAnsi="Arial"/>
      <w:sz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hd w:fill="f1f3f5" w:val="clear"/>
    </w:pPr>
  </w:style>
  <w:style w:customStyle="1" w:styleId="KeywordTok" w:type="character">
    <w:name w:val="KeywordTok"/>
    <w:basedOn w:val="VerbatimChar"/>
    <w:rPr>
      <w:b/>
      <w:color w:val="003b4f"/>
      <w:shd w:fill="f1f3f5" w:val="clear"/>
    </w:rPr>
  </w:style>
  <w:style w:customStyle="1" w:styleId="DataTypeTok" w:type="character">
    <w:name w:val="DataTypeTok"/>
    <w:basedOn w:val="VerbatimChar"/>
    <w:rPr>
      <w:color w:val="ad0000"/>
      <w:shd w:fill="f1f3f5" w:val="clear"/>
    </w:rPr>
  </w:style>
  <w:style w:customStyle="1" w:styleId="DecValTok" w:type="character">
    <w:name w:val="DecValTok"/>
    <w:basedOn w:val="VerbatimChar"/>
    <w:rPr>
      <w:color w:val="ad0000"/>
      <w:shd w:fill="f1f3f5" w:val="clear"/>
    </w:rPr>
  </w:style>
  <w:style w:customStyle="1" w:styleId="BaseNTok" w:type="character">
    <w:name w:val="BaseNTok"/>
    <w:basedOn w:val="VerbatimChar"/>
    <w:rPr>
      <w:color w:val="ad0000"/>
      <w:shd w:fill="f1f3f5" w:val="clear"/>
    </w:rPr>
  </w:style>
  <w:style w:customStyle="1" w:styleId="FloatTok" w:type="character">
    <w:name w:val="FloatTok"/>
    <w:basedOn w:val="VerbatimChar"/>
    <w:rPr>
      <w:color w:val="ad0000"/>
      <w:shd w:fill="f1f3f5" w:val="clear"/>
    </w:rPr>
  </w:style>
  <w:style w:customStyle="1" w:styleId="ConstantTok" w:type="character">
    <w:name w:val="ConstantTok"/>
    <w:basedOn w:val="VerbatimChar"/>
    <w:rPr>
      <w:color w:val="8f5902"/>
      <w:shd w:fill="f1f3f5" w:val="clear"/>
    </w:rPr>
  </w:style>
  <w:style w:customStyle="1" w:styleId="CharTok" w:type="character">
    <w:name w:val="CharTok"/>
    <w:basedOn w:val="VerbatimChar"/>
    <w:rPr>
      <w:color w:val="20794d"/>
      <w:shd w:fill="f1f3f5" w:val="clear"/>
    </w:rPr>
  </w:style>
  <w:style w:customStyle="1" w:styleId="SpecialCharTok" w:type="character">
    <w:name w:val="SpecialCharTok"/>
    <w:basedOn w:val="VerbatimChar"/>
    <w:rPr>
      <w:color w:val="5e5e5e"/>
      <w:shd w:fill="f1f3f5" w:val="clear"/>
    </w:rPr>
  </w:style>
  <w:style w:customStyle="1" w:styleId="StringTok" w:type="character">
    <w:name w:val="StringTok"/>
    <w:basedOn w:val="VerbatimChar"/>
    <w:rPr>
      <w:color w:val="20794d"/>
      <w:shd w:fill="f1f3f5" w:val="clear"/>
    </w:rPr>
  </w:style>
  <w:style w:customStyle="1" w:styleId="VerbatimStringTok" w:type="character">
    <w:name w:val="VerbatimStringTok"/>
    <w:basedOn w:val="VerbatimChar"/>
    <w:rPr>
      <w:color w:val="20794d"/>
      <w:shd w:fill="f1f3f5" w:val="clear"/>
    </w:rPr>
  </w:style>
  <w:style w:customStyle="1" w:styleId="SpecialStringTok" w:type="character">
    <w:name w:val="SpecialStringTok"/>
    <w:basedOn w:val="VerbatimChar"/>
    <w:rPr>
      <w:color w:val="20794d"/>
      <w:shd w:fill="f1f3f5" w:val="clear"/>
    </w:rPr>
  </w:style>
  <w:style w:customStyle="1" w:styleId="ImportTok" w:type="character">
    <w:name w:val="ImportTok"/>
    <w:basedOn w:val="VerbatimChar"/>
    <w:rPr>
      <w:color w:val="00769e"/>
      <w:shd w:fill="f1f3f5" w:val="clear"/>
    </w:rPr>
  </w:style>
  <w:style w:customStyle="1" w:styleId="CommentTok" w:type="character">
    <w:name w:val="CommentTok"/>
    <w:basedOn w:val="VerbatimChar"/>
    <w:rPr>
      <w:color w:val="5e5e5e"/>
      <w:shd w:fill="f1f3f5" w:val="clear"/>
    </w:rPr>
  </w:style>
  <w:style w:customStyle="1" w:styleId="DocumentationTok" w:type="character">
    <w:name w:val="DocumentationTok"/>
    <w:basedOn w:val="VerbatimChar"/>
    <w:rPr>
      <w:i/>
      <w:color w:val="5e5e5e"/>
      <w:shd w:fill="f1f3f5" w:val="clear"/>
    </w:rPr>
  </w:style>
  <w:style w:customStyle="1" w:styleId="AnnotationTok" w:type="character">
    <w:name w:val="AnnotationTok"/>
    <w:basedOn w:val="VerbatimChar"/>
    <w:rPr>
      <w:color w:val="5e5e5e"/>
      <w:shd w:fill="f1f3f5" w:val="clear"/>
    </w:rPr>
  </w:style>
  <w:style w:customStyle="1" w:styleId="CommentVarTok" w:type="character">
    <w:name w:val="CommentVarTok"/>
    <w:basedOn w:val="VerbatimChar"/>
    <w:rPr>
      <w:i/>
      <w:color w:val="5e5e5e"/>
      <w:shd w:fill="f1f3f5" w:val="clear"/>
    </w:rPr>
  </w:style>
  <w:style w:customStyle="1" w:styleId="OtherTok" w:type="character">
    <w:name w:val="OtherTok"/>
    <w:basedOn w:val="VerbatimChar"/>
    <w:rPr>
      <w:color w:val="003b4f"/>
      <w:shd w:fill="f1f3f5" w:val="clear"/>
    </w:rPr>
  </w:style>
  <w:style w:customStyle="1" w:styleId="FunctionTok" w:type="character">
    <w:name w:val="FunctionTok"/>
    <w:basedOn w:val="VerbatimChar"/>
    <w:rPr>
      <w:color w:val="4758ab"/>
      <w:shd w:fill="f1f3f5" w:val="clear"/>
    </w:rPr>
  </w:style>
  <w:style w:customStyle="1" w:styleId="VariableTok" w:type="character">
    <w:name w:val="VariableTok"/>
    <w:basedOn w:val="VerbatimChar"/>
    <w:rPr>
      <w:color w:val="111111"/>
      <w:shd w:fill="f1f3f5" w:val="clear"/>
    </w:rPr>
  </w:style>
  <w:style w:customStyle="1" w:styleId="ControlFlowTok" w:type="character">
    <w:name w:val="ControlFlowTok"/>
    <w:basedOn w:val="VerbatimChar"/>
    <w:rPr>
      <w:b/>
      <w:color w:val="003b4f"/>
      <w:shd w:fill="f1f3f5" w:val="clear"/>
    </w:rPr>
  </w:style>
  <w:style w:customStyle="1" w:styleId="OperatorTok" w:type="character">
    <w:name w:val="OperatorTok"/>
    <w:basedOn w:val="VerbatimChar"/>
    <w:rPr>
      <w:color w:val="5e5e5e"/>
      <w:shd w:fill="f1f3f5" w:val="clear"/>
    </w:rPr>
  </w:style>
  <w:style w:customStyle="1" w:styleId="BuiltInTok" w:type="character">
    <w:name w:val="BuiltInTok"/>
    <w:basedOn w:val="VerbatimChar"/>
    <w:rPr>
      <w:color w:val="003b4f"/>
      <w:shd w:fill="f1f3f5" w:val="clear"/>
    </w:rPr>
  </w:style>
  <w:style w:customStyle="1" w:styleId="ExtensionTok" w:type="character">
    <w:name w:val="ExtensionTok"/>
    <w:basedOn w:val="VerbatimChar"/>
    <w:rPr>
      <w:color w:val="003b4f"/>
      <w:shd w:fill="f1f3f5" w:val="clear"/>
    </w:rPr>
  </w:style>
  <w:style w:customStyle="1" w:styleId="PreprocessorTok" w:type="character">
    <w:name w:val="PreprocessorTok"/>
    <w:basedOn w:val="VerbatimChar"/>
    <w:rPr>
      <w:color w:val="ad0000"/>
      <w:shd w:fill="f1f3f5" w:val="clear"/>
    </w:rPr>
  </w:style>
  <w:style w:customStyle="1" w:styleId="AttributeTok" w:type="character">
    <w:name w:val="AttributeTok"/>
    <w:basedOn w:val="VerbatimChar"/>
    <w:rPr>
      <w:color w:val="657422"/>
      <w:shd w:fill="f1f3f5" w:val="clear"/>
    </w:rPr>
  </w:style>
  <w:style w:customStyle="1" w:styleId="RegionMarkerTok" w:type="character">
    <w:name w:val="RegionMarkerTok"/>
    <w:basedOn w:val="VerbatimChar"/>
    <w:rPr>
      <w:color w:val="003b4f"/>
      <w:shd w:fill="f1f3f5" w:val="clear"/>
    </w:rPr>
  </w:style>
  <w:style w:customStyle="1" w:styleId="InformationTok" w:type="character">
    <w:name w:val="InformationTok"/>
    <w:basedOn w:val="VerbatimChar"/>
    <w:rPr>
      <w:color w:val="5e5e5e"/>
      <w:shd w:fill="f1f3f5" w:val="clear"/>
    </w:rPr>
  </w:style>
  <w:style w:customStyle="1" w:styleId="WarningTok" w:type="character">
    <w:name w:val="WarningTok"/>
    <w:basedOn w:val="VerbatimChar"/>
    <w:rPr>
      <w:i/>
      <w:color w:val="5e5e5e"/>
      <w:shd w:fill="f1f3f5" w:val="clear"/>
    </w:rPr>
  </w:style>
  <w:style w:customStyle="1" w:styleId="AlertTok" w:type="character">
    <w:name w:val="AlertTok"/>
    <w:basedOn w:val="VerbatimChar"/>
    <w:rPr>
      <w:color w:val="ad0000"/>
      <w:shd w:fill="f1f3f5" w:val="clear"/>
    </w:rPr>
  </w:style>
  <w:style w:customStyle="1" w:styleId="ErrorTok" w:type="character">
    <w:name w:val="ErrorTok"/>
    <w:basedOn w:val="VerbatimChar"/>
    <w:rPr>
      <w:color w:val="ad0000"/>
      <w:shd w:fill="f1f3f5" w:val="clear"/>
    </w:rPr>
  </w:style>
  <w:style w:customStyle="1" w:styleId="NormalTok" w:type="character">
    <w:name w:val="NormalTok"/>
    <w:basedOn w:val="VerbatimChar"/>
    <w:rPr>
      <w:color w:val="003b4f"/>
      <w:shd w:fill="f1f3f5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2026-07-10T12:22:22Z</dcterms:created>
  <dcterms:modified xsi:type="dcterms:W3CDTF">2026-07-10T12:22:22Z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