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692"/>
        <w:gridCol w:w="42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Information available</w:t>
            </w:r>
          </w:p>
        </w:tc>
        <w:tc>
          <w:tcPr/>
          <w:p>
            <w:pPr>
              <w:pStyle w:val="Compact"/>
            </w:pPr>
            <w:r>
              <w:t xml:space="preserve">Key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Item identity</w:t>
            </w:r>
          </w:p>
        </w:tc>
        <w:tc>
          <w:tcPr/>
          <w:p>
            <w:pPr>
              <w:pStyle w:val="Compact"/>
            </w:pPr>
            <w:r>
              <w:t xml:space="preserve">No category-level emotional advantage; no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</w:t>
            </w:r>
          </w:p>
        </w:tc>
        <w:tc>
          <w:tcPr/>
          <w:p>
            <w:pPr>
              <w:pStyle w:val="Compact"/>
            </w:pPr>
            <w:r>
              <w:t xml:space="preserve">Only weak indirect category separation; LPP-recall relationship across all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Item identity + emotional/neutral category</w:t>
            </w:r>
          </w:p>
        </w:tc>
        <w:tc>
          <w:tcPr/>
          <w:p>
            <w:pPr>
              <w:pStyle w:val="Compact"/>
            </w:pPr>
            <w:r>
              <w:t xml:space="preserve">Emotional recall advantage; no item-level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Category + trial-level LPP</w:t>
            </w:r>
          </w:p>
        </w:tc>
        <w:tc>
          <w:tcPr/>
          <w:p>
            <w:pPr>
              <w:pStyle w:val="Compact"/>
            </w:pPr>
            <w:r>
              <w:t xml:space="preserve">Emotional recall advantage; LPP-recall relationship specific to emotional items</w:t>
            </w:r>
          </w:p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odel-comparison"/>
          <w:p>
            <w:pPr>
              <w:pStyle w:val="Compact"/>
              <w:jc w:val="center"/>
            </w:pPr>
            <w:r>
              <w:drawing>
                <wp:inline>
                  <wp:extent cx="8590280" cy="554947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four_model_conceptual_figure/versions/v009_four_model_emotional_palet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0280" cy="554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Conceptual comparison of the four models. Blue components denote temporal context, item features, and temporal memory pathways; pink components denote emotional context, emotional features, and emotional memory pathways. Early LPP modulates temporal context-to-feature learning for all items in CMR+LPP and emotional context-to-feature learning for emotional items in LPP-eCMR.</w:t>
            </w:r>
          </w:p>
          <w:bookmarkEnd w:id="23"/>
        </w:tc>
      </w:tr>
    </w:tbl>
    <w:sectPr>
      <w:footnotePr>
        <w:numRestart w:val="eachSect"/>
      </w:footnotePr>
      <w:pgSz w:h="12240" w:orient="landscape" w:w="15840"/>
      <w:pgMar w:bottom="792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2026-07-10T12:28:36Z</dcterms:created>
  <dcterms:modified xsi:type="dcterms:W3CDTF">2026-07-10T12:28:36Z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