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692"/>
        <w:gridCol w:w="42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Information used by model</w:t>
            </w:r>
          </w:p>
        </w:tc>
        <w:tc>
          <w:tcPr/>
          <w:p>
            <w:pPr>
              <w:pStyle w:val="Compact"/>
            </w:pPr>
            <w:r>
              <w:t xml:space="preserve">Key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</w:t>
            </w:r>
          </w:p>
        </w:tc>
        <w:tc>
          <w:tcPr/>
          <w:p>
            <w:pPr>
              <w:pStyle w:val="Compact"/>
            </w:pPr>
            <w:r>
              <w:t xml:space="preserve">Item identity only</w:t>
            </w:r>
          </w:p>
        </w:tc>
        <w:tc>
          <w:tcPr/>
          <w:p>
            <w:pPr>
              <w:pStyle w:val="Compact"/>
            </w:pPr>
            <w:r>
              <w:t xml:space="preserve">No category-level emotional advantage; no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CMR+LPP</w:t>
            </w:r>
          </w:p>
        </w:tc>
        <w:tc>
          <w:tcPr/>
          <w:p>
            <w:pPr>
              <w:pStyle w:val="Compact"/>
            </w:pPr>
            <w:r>
              <w:t xml:space="preserve">Item identity + trial-level LPP for all items</w:t>
            </w:r>
          </w:p>
        </w:tc>
        <w:tc>
          <w:tcPr/>
          <w:p>
            <w:pPr>
              <w:pStyle w:val="Compact"/>
            </w:pPr>
            <w:r>
              <w:t xml:space="preserve">Only weak indirect category separation; LPP-recall relationship across all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eCMR</w:t>
            </w:r>
          </w:p>
        </w:tc>
        <w:tc>
          <w:tcPr/>
          <w:p>
            <w:pPr>
              <w:pStyle w:val="Compact"/>
            </w:pPr>
            <w:r>
              <w:t xml:space="preserve">Item identity + emotional/neutral category</w:t>
            </w:r>
          </w:p>
        </w:tc>
        <w:tc>
          <w:tcPr/>
          <w:p>
            <w:pPr>
              <w:pStyle w:val="Compact"/>
            </w:pPr>
            <w:r>
              <w:t xml:space="preserve">Emotional recall advantage; no item-level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LPP-eCMR</w:t>
            </w:r>
          </w:p>
        </w:tc>
        <w:tc>
          <w:tcPr/>
          <w:p>
            <w:pPr>
              <w:pStyle w:val="Compact"/>
            </w:pPr>
            <w:r>
              <w:t xml:space="preserve">Item identity + emotional/neutral category + trial-level LPP for emotional items only</w:t>
            </w:r>
          </w:p>
        </w:tc>
        <w:tc>
          <w:tcPr/>
          <w:p>
            <w:pPr>
              <w:pStyle w:val="Compact"/>
            </w:pPr>
            <w:r>
              <w:t xml:space="preserve">Emotional recall advantage; LPP-recall relationship specific to emotional items</w:t>
            </w:r>
          </w:p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odel-comparison"/>
          <w:p>
            <w:pPr>
              <w:pStyle w:val="Compact"/>
              <w:jc w:val="center"/>
            </w:pPr>
            <w:r>
              <w:drawing>
                <wp:inline>
                  <wp:extent cx="8590280" cy="554947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four_model_conceptual_figure/versions/v009_four_model_emotional_palet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0280" cy="554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Conceptual comparison of the four models. Blue components denote temporal context, item features, and temporal memory pathways; pink components denote emotional context, emotional features, and emotional memory pathways. Early LPP modulates temporal context-to-feature learning for all items in CMR+LPP and emotional context-to-feature learning for emotional items in LPP-eCMR.</w:t>
            </w:r>
          </w:p>
          <w:bookmarkEnd w:id="23"/>
        </w:tc>
      </w:tr>
    </w:tbl>
    <w:sectPr>
      <w:footnotePr>
        <w:numRestart w:val="eachSect"/>
      </w:footnotePr>
      <w:pgSz w:h="12240" w:orient="landscape" w:w="15840"/>
      <w:pgMar w:bottom="792" w:left="792" w:right="792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2026-07-10T12:31:45Z</dcterms:created>
  <dcterms:modified xsi:type="dcterms:W3CDTF">2026-07-10T12:31:45Z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