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A9BCA4" w14:textId="77777777" w:rsidR="00E6637B" w:rsidRDefault="00000000">
      <w:pPr>
        <w:pStyle w:val="FirstParagraph"/>
      </w:pPr>
      <w:r>
        <w:t xml:space="preserve"> </w:t>
      </w:r>
    </w:p>
    <w:p w14:paraId="3DB6B6CC" w14:textId="77777777" w:rsidR="00E6637B" w:rsidRDefault="00000000">
      <w:pPr>
        <w:pStyle w:val="BodyText"/>
      </w:pPr>
      <w:r>
        <w:t xml:space="preserve"> </w:t>
      </w:r>
    </w:p>
    <w:p w14:paraId="258F7412" w14:textId="77777777" w:rsidR="00E6637B" w:rsidRDefault="00000000">
      <w:pPr>
        <w:pStyle w:val="Heading1"/>
      </w:pPr>
      <w:bookmarkStart w:id="0" w:name="title"/>
      <w:r>
        <w:t>Contribution of the Late Positive Potential to Emotional Memory: A Joint Neuro-Cognitive Approach to Memory Prediction</w:t>
      </w:r>
    </w:p>
    <w:p w14:paraId="0B64A6B7" w14:textId="77777777" w:rsidR="00E6637B" w:rsidRDefault="00000000">
      <w:pPr>
        <w:pStyle w:val="Author"/>
      </w:pPr>
      <w:r>
        <w:t xml:space="preserve"> </w:t>
      </w:r>
    </w:p>
    <w:p w14:paraId="2F5C7B98" w14:textId="77777777" w:rsidR="00E6637B" w:rsidRDefault="00000000">
      <w:pPr>
        <w:pStyle w:val="Author"/>
      </w:pPr>
      <w:r>
        <w:t>Robin Hellerstedt</w:t>
      </w:r>
      <w:r>
        <w:rPr>
          <w:vertAlign w:val="superscript"/>
        </w:rPr>
        <w:t>1</w:t>
      </w:r>
      <w:r>
        <w:t>, Jordan Gunn</w:t>
      </w:r>
      <w:r>
        <w:rPr>
          <w:vertAlign w:val="superscript"/>
        </w:rPr>
        <w:t>2</w:t>
      </w:r>
      <w:r>
        <w:t>, and Deborah Talmi</w:t>
      </w:r>
      <w:r>
        <w:rPr>
          <w:vertAlign w:val="superscript"/>
        </w:rPr>
        <w:t>2</w:t>
      </w:r>
    </w:p>
    <w:p w14:paraId="09FE4A24" w14:textId="77777777" w:rsidR="00E6637B" w:rsidRDefault="00000000">
      <w:pPr>
        <w:pStyle w:val="Author"/>
      </w:pPr>
      <w:r>
        <w:rPr>
          <w:vertAlign w:val="superscript"/>
        </w:rPr>
        <w:t>1</w:t>
      </w:r>
      <w:r>
        <w:t>University</w:t>
      </w:r>
    </w:p>
    <w:p w14:paraId="7B6F0B56" w14:textId="77777777" w:rsidR="00E6637B" w:rsidRDefault="00000000">
      <w:pPr>
        <w:pStyle w:val="Author"/>
      </w:pPr>
      <w:r>
        <w:rPr>
          <w:vertAlign w:val="superscript"/>
        </w:rPr>
        <w:t>2</w:t>
      </w:r>
      <w:r>
        <w:t>University of Cambridge</w:t>
      </w:r>
    </w:p>
    <w:p w14:paraId="6E12CE49" w14:textId="77777777" w:rsidR="00E6637B" w:rsidRDefault="00000000">
      <w:pPr>
        <w:pStyle w:val="Heading1"/>
      </w:pPr>
      <w:bookmarkStart w:id="1" w:name="author-note"/>
      <w:bookmarkEnd w:id="0"/>
      <w:r>
        <w:t>Author Note</w:t>
      </w:r>
    </w:p>
    <w:p w14:paraId="6280C3DF" w14:textId="77777777" w:rsidR="00E6637B" w:rsidRDefault="00000000">
      <w:r>
        <w:br w:type="page"/>
      </w:r>
    </w:p>
    <w:p w14:paraId="00E73DDF" w14:textId="77777777" w:rsidR="00E6637B" w:rsidRDefault="00000000">
      <w:pPr>
        <w:pStyle w:val="Heading1"/>
      </w:pPr>
      <w:bookmarkStart w:id="2" w:name="firstheader"/>
      <w:bookmarkEnd w:id="1"/>
      <w:r>
        <w:lastRenderedPageBreak/>
        <w:t>Contribution of the Late Positive Potential to Emotional Memory: A Joint Neuro-Cognitive Approach to Memory Prediction</w:t>
      </w:r>
    </w:p>
    <w:p w14:paraId="423D5127" w14:textId="77777777" w:rsidR="00E6637B" w:rsidRDefault="00000000">
      <w:pPr>
        <w:pStyle w:val="Heading2"/>
      </w:pPr>
      <w:bookmarkStart w:id="3" w:name="X918e403399ebc9d47e340e23c22d36a5b154270"/>
      <w:r>
        <w:t>Computational modeling of the Early-LPP contribution to emotional recall</w:t>
      </w:r>
    </w:p>
    <w:p w14:paraId="455F2766" w14:textId="77777777" w:rsidR="00E6637B" w:rsidRDefault="00000000">
      <w:pPr>
        <w:pStyle w:val="FirstParagraph"/>
      </w:pPr>
      <w:r>
        <w:t>The behavioral and EEG analyses identified two forms of variation in recall. At the category level, negative items were recalled more often than neutral items. At the item level, Early LPP was more strongly associated with subsequent recall for negative than neutral items. The empirical analyses distinguish these patterns statistically, but they do not determine how trial-level Early LPP should be mapped onto the encoding mechanism proposed to produce emotional memory enhancement. We therefore tested whether using item-level Early LPP to scale learning strength could replace a category-wide increase in learning strength, or whether the two forms of modulation explained complementary variation in which items were recalled.</w:t>
      </w:r>
    </w:p>
    <w:p w14:paraId="6E775E60" w14:textId="77777777" w:rsidR="00E6637B" w:rsidRDefault="00000000">
      <w:pPr>
        <w:pStyle w:val="BodyText"/>
      </w:pPr>
      <w:r>
        <w:t>We organized this comparison around three focused questions. We tested (1) whether preferential learning of negative items improved prediction of which items were recalled; (2) whether scaling learning with item-level Early LPP could replace that category-wide advantage or improve prediction after the advantage was included; and (3) whether Early-LPP scaling was better applied to both negative and neutral items or only to negative items. We therefore crossed the presence or absence of preferential emotional learning with three LPP specifications: no LPP-based learning modulation, one relationship shared across negative and neutral items, or one relationship limited to negative items. This crossing produced six models. All six models used the same memory architecture. We first describe that shared architecture and show where preferential emotional learning and Early LPP altered learning strength. We then describe model fitting, compare the six models, and use simulations to determine which observed patterns the fitted models reproduced.</w:t>
      </w:r>
    </w:p>
    <w:p w14:paraId="746C7F69" w14:textId="77777777" w:rsidR="00E6637B" w:rsidRDefault="00000000">
      <w:pPr>
        <w:pStyle w:val="Heading3"/>
      </w:pPr>
      <w:bookmarkStart w:id="4" w:name="ecmr-model-specification"/>
      <w:r>
        <w:lastRenderedPageBreak/>
        <w:t>eCMR Model Specification</w:t>
      </w:r>
    </w:p>
    <w:p w14:paraId="0160C6A0" w14:textId="77777777" w:rsidR="00E6637B" w:rsidRDefault="00000000">
      <w:pPr>
        <w:pStyle w:val="FirstParagraph"/>
      </w:pPr>
      <w:r>
        <w:t>We modeled recall with an adaptation of emotional Context Maintenance and Retrieval (eCMR) (</w:t>
      </w:r>
      <w:hyperlink w:anchor="ref-talmi2019retrieved">
        <w:r>
          <w:rPr>
            <w:rStyle w:val="Hyperlink"/>
          </w:rPr>
          <w:t>Talmi et al., 2019</w:t>
        </w:r>
      </w:hyperlink>
      <w:r>
        <w:t>). Like other retrieved-context models (</w:t>
      </w:r>
      <w:hyperlink w:anchor="ref-howard2002distributed">
        <w:r>
          <w:rPr>
            <w:rStyle w:val="Hyperlink"/>
          </w:rPr>
          <w:t>Howard &amp; Kahana, 2002</w:t>
        </w:r>
      </w:hyperlink>
      <w:r>
        <w:t xml:space="preserve">; </w:t>
      </w:r>
      <w:hyperlink w:anchor="ref-polyn2009context">
        <w:r>
          <w:rPr>
            <w:rStyle w:val="Hyperlink"/>
          </w:rPr>
          <w:t>Polyn et al., 2009</w:t>
        </w:r>
      </w:hyperlink>
      <w:r>
        <w:t>), eCMR represents context as an evolving internal state shaped by recently processed events. A studied item changes this state and forms associations in both directions: the item can later reinstate its study context, and the current context can later support retrieval of the item. Because a recalled item reinstates context before the next recall, stronger context-to-item learning can change which items enter the recalled set.</w:t>
      </w:r>
    </w:p>
    <w:p w14:paraId="78B095C1" w14:textId="77777777" w:rsidR="00E6637B" w:rsidRDefault="00000000">
      <w:pPr>
        <w:pStyle w:val="BodyText"/>
      </w:pPr>
      <w:r>
        <w:t>The context representation contained temporal and source components,</w:t>
      </w:r>
    </w:p>
    <w:p w14:paraId="296DFEB5" w14:textId="77777777" w:rsidR="00E6637B" w:rsidRDefault="00000000">
      <w:pPr>
        <w:pStyle w:val="BodyText"/>
      </w:pPr>
      <m:oMathPara>
        <m:oMathParaPr>
          <m:jc m:val="center"/>
        </m:oMathParaPr>
        <m:oMath>
          <m:sSub>
            <m:sSubPr>
              <m:ctrlPr>
                <w:rPr>
                  <w:rFonts w:ascii="Cambria Math" w:hAnsi="Cambria Math"/>
                </w:rPr>
              </m:ctrlPr>
            </m:sSubPr>
            <m:e>
              <m:r>
                <m:rPr>
                  <m:sty m:val="b"/>
                </m:rPr>
                <w:rPr>
                  <w:rFonts w:ascii="Cambria Math" w:hAnsi="Cambria Math"/>
                </w:rPr>
                <m:t>c</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Sup>
                      <m:sSubSupPr>
                        <m:ctrlPr>
                          <w:rPr>
                            <w:rFonts w:ascii="Cambria Math" w:hAnsi="Cambria Math"/>
                          </w:rPr>
                        </m:ctrlPr>
                      </m:sSubSupPr>
                      <m:e>
                        <m:r>
                          <m:rPr>
                            <m:sty m:val="b"/>
                          </m:rPr>
                          <w:rPr>
                            <w:rFonts w:ascii="Cambria Math" w:hAnsi="Cambria Math"/>
                          </w:rPr>
                          <m:t>c</m:t>
                        </m:r>
                      </m:e>
                      <m:sub>
                        <m:r>
                          <w:rPr>
                            <w:rFonts w:ascii="Cambria Math" w:hAnsi="Cambria Math"/>
                          </w:rPr>
                          <m:t>i</m:t>
                        </m:r>
                      </m:sub>
                      <m:sup>
                        <m:r>
                          <w:rPr>
                            <w:rFonts w:ascii="Cambria Math" w:hAnsi="Cambria Math"/>
                          </w:rPr>
                          <m:t>T</m:t>
                        </m:r>
                      </m:sup>
                    </m:sSubSup>
                  </m:e>
                </m:mr>
                <m:mr>
                  <m:e>
                    <m:sSubSup>
                      <m:sSubSupPr>
                        <m:ctrlPr>
                          <w:rPr>
                            <w:rFonts w:ascii="Cambria Math" w:hAnsi="Cambria Math"/>
                          </w:rPr>
                        </m:ctrlPr>
                      </m:sSubSupPr>
                      <m:e>
                        <m:r>
                          <m:rPr>
                            <m:sty m:val="b"/>
                          </m:rPr>
                          <w:rPr>
                            <w:rFonts w:ascii="Cambria Math" w:hAnsi="Cambria Math"/>
                          </w:rPr>
                          <m:t>c</m:t>
                        </m:r>
                      </m:e>
                      <m:sub>
                        <m:r>
                          <w:rPr>
                            <w:rFonts w:ascii="Cambria Math" w:hAnsi="Cambria Math"/>
                          </w:rPr>
                          <m:t>i</m:t>
                        </m:r>
                      </m:sub>
                      <m:sup>
                        <m:r>
                          <w:rPr>
                            <w:rFonts w:ascii="Cambria Math" w:hAnsi="Cambria Math"/>
                          </w:rPr>
                          <m:t>S</m:t>
                        </m:r>
                      </m:sup>
                    </m:sSubSup>
                  </m:e>
                </m:mr>
              </m:m>
            </m:e>
          </m:d>
          <m:r>
            <m:rPr>
              <m:sty m:val="p"/>
            </m:rPr>
            <w:rPr>
              <w:rFonts w:ascii="Cambria Math" w:hAnsi="Cambria Math"/>
            </w:rPr>
            <m:t>.</m:t>
          </m:r>
        </m:oMath>
      </m:oMathPara>
    </w:p>
    <w:p w14:paraId="7BD132DA" w14:textId="77777777" w:rsidR="00E6637B" w:rsidRDefault="00000000">
      <w:pPr>
        <w:pStyle w:val="FirstParagraph"/>
      </w:pPr>
      <w:r>
        <w:t>Temporal context represented the evolving sequence of events, whereas source context represented whether an item was negative or neutral. These were components of one context representation rather than separate memory systems. All six models represented both source categories; models without preferential emotional learning therefore still distinguished negative from neutral items.</w:t>
      </w:r>
    </w:p>
    <w:p w14:paraId="2398D1E1" w14:textId="77777777" w:rsidR="00E6637B" w:rsidRDefault="00000000">
      <w:pPr>
        <w:pStyle w:val="BodyText"/>
      </w:pPr>
      <w:r>
        <w:t xml:space="preserve">Within each list, a feature vector </w:t>
      </w:r>
      <m:oMath>
        <m:sSub>
          <m:sSubPr>
            <m:ctrlPr>
              <w:rPr>
                <w:rFonts w:ascii="Cambria Math" w:hAnsi="Cambria Math"/>
              </w:rPr>
            </m:ctrlPr>
          </m:sSubPr>
          <m:e>
            <m:r>
              <m:rPr>
                <m:sty m:val="b"/>
              </m:rPr>
              <w:rPr>
                <w:rFonts w:ascii="Cambria Math" w:hAnsi="Cambria Math"/>
              </w:rPr>
              <m:t>f</m:t>
            </m:r>
          </m:e>
          <m:sub>
            <m:r>
              <w:rPr>
                <w:rFonts w:ascii="Cambria Math" w:hAnsi="Cambria Math"/>
              </w:rPr>
              <m:t>i</m:t>
            </m:r>
          </m:sub>
        </m:sSub>
      </m:oMath>
      <w:r>
        <w:t xml:space="preserve"> uniquely identified each studied item </w:t>
      </w:r>
      <m:oMath>
        <m:r>
          <w:rPr>
            <w:rFonts w:ascii="Cambria Math" w:hAnsi="Cambria Math"/>
          </w:rPr>
          <m:t>i</m:t>
        </m:r>
      </m:oMath>
      <w:r>
        <w:t xml:space="preserve">. Two associative mappings connected item features and context. The feature-to-context mapping </w:t>
      </w:r>
      <m:oMath>
        <m:sSup>
          <m:sSupPr>
            <m:ctrlPr>
              <w:rPr>
                <w:rFonts w:ascii="Cambria Math" w:hAnsi="Cambria Math"/>
              </w:rPr>
            </m:ctrlPr>
          </m:sSupPr>
          <m:e>
            <m:r>
              <w:rPr>
                <w:rFonts w:ascii="Cambria Math" w:hAnsi="Cambria Math"/>
              </w:rPr>
              <m:t>M</m:t>
            </m:r>
          </m:e>
          <m:sup>
            <m:r>
              <w:rPr>
                <w:rFonts w:ascii="Cambria Math" w:hAnsi="Cambria Math"/>
              </w:rPr>
              <m:t>FC</m:t>
            </m:r>
          </m:sup>
        </m:sSup>
      </m:oMath>
      <w:r>
        <w:t xml:space="preserve"> allowed an item to reinstate context, whereas the context-to-feature mapping </w:t>
      </w:r>
      <m:oMath>
        <m:sSup>
          <m:sSupPr>
            <m:ctrlPr>
              <w:rPr>
                <w:rFonts w:ascii="Cambria Math" w:hAnsi="Cambria Math"/>
              </w:rPr>
            </m:ctrlPr>
          </m:sSupPr>
          <m:e>
            <m:r>
              <w:rPr>
                <w:rFonts w:ascii="Cambria Math" w:hAnsi="Cambria Math"/>
              </w:rPr>
              <m:t>M</m:t>
            </m:r>
          </m:e>
          <m:sup>
            <m:r>
              <w:rPr>
                <w:rFonts w:ascii="Cambria Math" w:hAnsi="Cambria Math"/>
              </w:rPr>
              <m:t>CF</m:t>
            </m:r>
          </m:sup>
        </m:sSup>
      </m:oMath>
      <w:r>
        <w:t xml:space="preserve"> allowed context to support candidate items. On each study trial, the item first generated temporal and source contextual input, and both context components moved toward their respective inputs:</w:t>
      </w:r>
    </w:p>
    <w:p w14:paraId="38B861CE" w14:textId="77777777" w:rsidR="00E6637B" w:rsidRDefault="00000000">
      <w:pPr>
        <w:pStyle w:val="BodyText"/>
      </w:pPr>
      <m:oMathPara>
        <m:oMathParaPr>
          <m:jc m:val="center"/>
        </m:oMathParaPr>
        <m:oMath>
          <m:sSub>
            <m:sSubPr>
              <m:ctrlPr>
                <w:rPr>
                  <w:rFonts w:ascii="Cambria Math" w:hAnsi="Cambria Math"/>
                </w:rPr>
              </m:ctrlPr>
            </m:sSubPr>
            <m:e>
              <m:r>
                <m:rPr>
                  <m:sty m:val="b"/>
                </m:rP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sSub>
            <m:sSubPr>
              <m:ctrlPr>
                <w:rPr>
                  <w:rFonts w:ascii="Cambria Math" w:hAnsi="Cambria Math"/>
                </w:rPr>
              </m:ctrlPr>
            </m:sSubPr>
            <m:e>
              <m:r>
                <m:rPr>
                  <m:sty m:val="b"/>
                </m:rP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β</m:t>
          </m:r>
          <m:sSubSup>
            <m:sSubSupPr>
              <m:ctrlPr>
                <w:rPr>
                  <w:rFonts w:ascii="Cambria Math" w:hAnsi="Cambria Math"/>
                </w:rPr>
              </m:ctrlPr>
            </m:sSubSupPr>
            <m:e>
              <m:r>
                <m:rPr>
                  <m:sty m:val="b"/>
                </m:rPr>
                <w:rPr>
                  <w:rFonts w:ascii="Cambria Math" w:hAnsi="Cambria Math"/>
                </w:rPr>
                <m:t>c</m:t>
              </m:r>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oMath>
      </m:oMathPara>
    </w:p>
    <w:p w14:paraId="148CF71A" w14:textId="77777777" w:rsidR="00E6637B" w:rsidRDefault="00000000">
      <w:pPr>
        <w:pStyle w:val="FirstParagraph"/>
      </w:pPr>
      <w:r>
        <w:lastRenderedPageBreak/>
        <w:t xml:space="preserve">Here, </w:t>
      </w:r>
      <m:oMath>
        <m:r>
          <w:rPr>
            <w:rFonts w:ascii="Cambria Math" w:hAnsi="Cambria Math"/>
          </w:rPr>
          <m:t>β</m:t>
        </m:r>
      </m:oMath>
      <w:r>
        <w:t xml:space="preserve"> controlled how strongly the current item changed context, and </w:t>
      </w:r>
      <m:oMath>
        <m:sSub>
          <m:sSubPr>
            <m:ctrlPr>
              <w:rPr>
                <w:rFonts w:ascii="Cambria Math" w:hAnsi="Cambria Math"/>
              </w:rPr>
            </m:ctrlPr>
          </m:sSubPr>
          <m:e>
            <m:r>
              <w:rPr>
                <w:rFonts w:ascii="Cambria Math" w:hAnsi="Cambria Math"/>
              </w:rPr>
              <m:t>ρ</m:t>
            </m:r>
          </m:e>
          <m:sub>
            <m:r>
              <w:rPr>
                <w:rFonts w:ascii="Cambria Math" w:hAnsi="Cambria Math"/>
              </w:rPr>
              <m:t>i</m:t>
            </m:r>
          </m:sub>
        </m:sSub>
      </m:oMath>
      <w:r>
        <w:t xml:space="preserve"> kept context at unit length. Temporal and source context used separate encoding-drift parameters. Only after both components had been updated did the model learn the item’s associations, binding the item to a context state it had already helped create.</w:t>
      </w:r>
    </w:p>
    <w:p w14:paraId="7EF05D0F" w14:textId="77777777" w:rsidR="00E6637B" w:rsidRDefault="00000000">
      <w:pPr>
        <w:pStyle w:val="BodyText"/>
      </w:pPr>
      <w:r>
        <w:t>Feature-to-context learning stored the updated context that the item could later reinstate. Context-to-feature learning determined how strongly that context would later support the item:</w:t>
      </w:r>
    </w:p>
    <w:p w14:paraId="662F06A0" w14:textId="77777777" w:rsidR="00E6637B" w:rsidRDefault="00000000">
      <w:pPr>
        <w:pStyle w:val="BodyText"/>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i</m:t>
              </m:r>
            </m:sub>
            <m:sup>
              <m:r>
                <w:rPr>
                  <w:rFonts w:ascii="Cambria Math" w:hAnsi="Cambria Math"/>
                </w:rPr>
                <m:t>CF</m:t>
              </m:r>
            </m:sup>
          </m:sSubSup>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m:rPr>
                  <m:sty m:val="b"/>
                </m:rPr>
                <w:rPr>
                  <w:rFonts w:ascii="Cambria Math" w:hAnsi="Cambria Math"/>
                </w:rPr>
                <m:t>f</m:t>
              </m:r>
            </m:e>
            <m:sub>
              <m:r>
                <w:rPr>
                  <w:rFonts w:ascii="Cambria Math" w:hAnsi="Cambria Math"/>
                </w:rPr>
                <m:t>i</m:t>
              </m:r>
            </m:sub>
          </m:sSub>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b"/>
                        </m:rPr>
                        <w:rPr>
                          <w:rFonts w:ascii="Cambria Math" w:hAnsi="Cambria Math"/>
                        </w:rPr>
                        <m:t>c</m:t>
                      </m:r>
                    </m:e>
                    <m:sub>
                      <m:r>
                        <w:rPr>
                          <w:rFonts w:ascii="Cambria Math" w:hAnsi="Cambria Math"/>
                        </w:rPr>
                        <m:t>i</m:t>
                      </m:r>
                    </m:sub>
                    <m:sup>
                      <m:r>
                        <w:rPr>
                          <w:rFonts w:ascii="Cambria Math" w:hAnsi="Cambria Math"/>
                        </w:rPr>
                        <m:t>T</m:t>
                      </m:r>
                    </m:sup>
                  </m:sSubSup>
                </m:e>
              </m:d>
            </m:e>
            <m:sup>
              <m:r>
                <m:rPr>
                  <m:scr m:val="sans-serif"/>
                  <m:sty m:val="p"/>
                </m:rPr>
                <w:rPr>
                  <w:rFonts w:ascii="Cambria Math" w:hAnsi="Cambria Math"/>
                </w:rPr>
                <m:t>T</m:t>
              </m:r>
            </m:sup>
          </m:sSup>
          <m:r>
            <m:rPr>
              <m:sty m:val="p"/>
            </m:rPr>
            <w:rPr>
              <w:rFonts w:ascii="Cambria Math" w:hAnsi="Cambria Math"/>
            </w:rPr>
            <m:t>,</m:t>
          </m:r>
          <m:r>
            <w:rPr>
              <w:rFonts w:ascii="Cambria Math" w:hAnsi="Cambria Math"/>
            </w:rPr>
            <m:t>  Δ</m:t>
          </m:r>
          <m:sSubSup>
            <m:sSubSupPr>
              <m:ctrlPr>
                <w:rPr>
                  <w:rFonts w:ascii="Cambria Math" w:hAnsi="Cambria Math"/>
                </w:rPr>
              </m:ctrlPr>
            </m:sSubSupPr>
            <m:e>
              <m:r>
                <w:rPr>
                  <w:rFonts w:ascii="Cambria Math" w:hAnsi="Cambria Math"/>
                </w:rPr>
                <m:t>M</m:t>
              </m:r>
            </m:e>
            <m:sub>
              <m:r>
                <w:rPr>
                  <w:rFonts w:ascii="Cambria Math" w:hAnsi="Cambria Math"/>
                </w:rPr>
                <m:t>S</m:t>
              </m:r>
              <m:r>
                <m:rPr>
                  <m:sty m:val="p"/>
                </m:rPr>
                <w:rPr>
                  <w:rFonts w:ascii="Cambria Math" w:hAnsi="Cambria Math"/>
                </w:rPr>
                <m:t>,</m:t>
              </m:r>
              <m:r>
                <w:rPr>
                  <w:rFonts w:ascii="Cambria Math" w:hAnsi="Cambria Math"/>
                </w:rPr>
                <m:t>i</m:t>
              </m:r>
            </m:sub>
            <m:sup>
              <m:r>
                <w:rPr>
                  <w:rFonts w:ascii="Cambria Math" w:hAnsi="Cambria Math"/>
                </w:rPr>
                <m:t>CF</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ij</m:t>
              </m:r>
            </m:sub>
            <m:sup>
              <m:r>
                <w:rPr>
                  <w:rFonts w:ascii="Cambria Math" w:hAnsi="Cambria Math"/>
                </w:rPr>
                <m:t>S</m:t>
              </m:r>
            </m:sup>
          </m:sSubSup>
          <m:sSub>
            <m:sSubPr>
              <m:ctrlPr>
                <w:rPr>
                  <w:rFonts w:ascii="Cambria Math" w:hAnsi="Cambria Math"/>
                </w:rPr>
              </m:ctrlPr>
            </m:sSubPr>
            <m:e>
              <m:r>
                <m:rPr>
                  <m:sty m:val="b"/>
                </m:rPr>
                <w:rPr>
                  <w:rFonts w:ascii="Cambria Math" w:hAnsi="Cambria Math"/>
                </w:rPr>
                <m:t>f</m:t>
              </m:r>
            </m:e>
            <m:sub>
              <m:r>
                <w:rPr>
                  <w:rFonts w:ascii="Cambria Math" w:hAnsi="Cambria Math"/>
                </w:rPr>
                <m:t>i</m:t>
              </m:r>
            </m:sub>
          </m:sSub>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b"/>
                        </m:rPr>
                        <w:rPr>
                          <w:rFonts w:ascii="Cambria Math" w:hAnsi="Cambria Math"/>
                        </w:rPr>
                        <m:t>c</m:t>
                      </m:r>
                    </m:e>
                    <m:sub>
                      <m:r>
                        <w:rPr>
                          <w:rFonts w:ascii="Cambria Math" w:hAnsi="Cambria Math"/>
                        </w:rPr>
                        <m:t>i</m:t>
                      </m:r>
                    </m:sub>
                    <m:sup>
                      <m:r>
                        <w:rPr>
                          <w:rFonts w:ascii="Cambria Math" w:hAnsi="Cambria Math"/>
                        </w:rPr>
                        <m:t>S</m:t>
                      </m:r>
                    </m:sup>
                  </m:sSubSup>
                </m:e>
              </m:d>
            </m:e>
            <m:sup>
              <m:r>
                <m:rPr>
                  <m:scr m:val="sans-serif"/>
                  <m:sty m:val="p"/>
                </m:rPr>
                <w:rPr>
                  <w:rFonts w:ascii="Cambria Math" w:hAnsi="Cambria Math"/>
                </w:rPr>
                <m:t>T</m:t>
              </m:r>
            </m:sup>
          </m:sSup>
          <m:r>
            <m:rPr>
              <m:sty m:val="p"/>
            </m:rPr>
            <w:rPr>
              <w:rFonts w:ascii="Cambria Math" w:hAnsi="Cambria Math"/>
            </w:rPr>
            <m:t>.</m:t>
          </m:r>
        </m:oMath>
      </m:oMathPara>
    </w:p>
    <w:p w14:paraId="351E23D5" w14:textId="77777777" w:rsidR="00E6637B" w:rsidRDefault="00000000">
      <w:pPr>
        <w:pStyle w:val="FirstParagraph"/>
      </w:pPr>
      <w:r>
        <w:t xml:space="preserve">The primacy gradient </w:t>
      </w:r>
      <m:oMath>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d</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e>
        </m:d>
      </m:oMath>
      <w:r>
        <w:t xml:space="preserve"> temporarily strengthened learning for early list positions. The focal emotional-learning and Early-LPP multipliers entered only the source learning strength </w:t>
      </w:r>
      <m:oMath>
        <m:sSubSup>
          <m:sSubSupPr>
            <m:ctrlPr>
              <w:rPr>
                <w:rFonts w:ascii="Cambria Math" w:hAnsi="Cambria Math"/>
              </w:rPr>
            </m:ctrlPr>
          </m:sSubSupPr>
          <m:e>
            <m:r>
              <w:rPr>
                <w:rFonts w:ascii="Cambria Math" w:hAnsi="Cambria Math"/>
              </w:rPr>
              <m:t>S</m:t>
            </m:r>
          </m:e>
          <m:sub>
            <m:r>
              <w:rPr>
                <w:rFonts w:ascii="Cambria Math" w:hAnsi="Cambria Math"/>
              </w:rPr>
              <m:t>ij</m:t>
            </m:r>
          </m:sub>
          <m:sup>
            <m:r>
              <w:rPr>
                <w:rFonts w:ascii="Cambria Math" w:hAnsi="Cambria Math"/>
              </w:rPr>
              <m:t>S</m:t>
            </m:r>
          </m:sup>
        </m:sSubSup>
      </m:oMath>
      <w:r>
        <w:t>, allowing them to be compared through the same pathway while temporal learning remained unchanged.</w:t>
      </w:r>
    </w:p>
    <w:p w14:paraId="605177F2" w14:textId="77777777" w:rsidR="00E6637B" w:rsidRDefault="00000000">
      <w:pPr>
        <w:pStyle w:val="BodyText"/>
      </w:pPr>
      <w:r>
        <w:t xml:space="preserve">At recall onset, both context components shifted toward their start-of-list states. Temporal and source context then provided additive support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for each candidate item:</w:t>
      </w:r>
    </w:p>
    <w:p w14:paraId="30736963" w14:textId="77777777" w:rsidR="00E6637B"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CF</m:t>
                      </m:r>
                    </m:sup>
                  </m:sSup>
                  <m:r>
                    <m:rPr>
                      <m:sty m:val="b"/>
                    </m:rPr>
                    <w:rPr>
                      <w:rFonts w:ascii="Cambria Math" w:hAnsi="Cambria Math"/>
                    </w:rPr>
                    <m:t>c</m:t>
                  </m:r>
                </m:e>
              </m:d>
            </m:e>
            <m:sub>
              <m:r>
                <w:rPr>
                  <w:rFonts w:ascii="Cambria Math" w:hAnsi="Cambria Math"/>
                </w:rPr>
                <m:t>i</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T</m:t>
                      </m:r>
                    </m:sub>
                    <m:sup>
                      <m:r>
                        <w:rPr>
                          <w:rFonts w:ascii="Cambria Math" w:hAnsi="Cambria Math"/>
                        </w:rPr>
                        <m:t>CF</m:t>
                      </m:r>
                    </m:sup>
                  </m:sSubSup>
                  <m:sSup>
                    <m:sSupPr>
                      <m:ctrlPr>
                        <w:rPr>
                          <w:rFonts w:ascii="Cambria Math" w:hAnsi="Cambria Math"/>
                        </w:rPr>
                      </m:ctrlPr>
                    </m:sSupPr>
                    <m:e>
                      <m:r>
                        <m:rPr>
                          <m:sty m:val="b"/>
                        </m:rPr>
                        <w:rPr>
                          <w:rFonts w:ascii="Cambria Math" w:hAnsi="Cambria Math"/>
                        </w:rPr>
                        <m:t>c</m:t>
                      </m:r>
                    </m:e>
                    <m:sup>
                      <m:r>
                        <w:rPr>
                          <w:rFonts w:ascii="Cambria Math" w:hAnsi="Cambria Math"/>
                        </w:rPr>
                        <m:t>T</m:t>
                      </m:r>
                    </m:sup>
                  </m:sSup>
                </m:e>
              </m:d>
            </m:e>
            <m:sub>
              <m:r>
                <w:rPr>
                  <w:rFonts w:ascii="Cambria Math" w:hAnsi="Cambria Math"/>
                </w:rPr>
                <m:t>i</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S</m:t>
                      </m:r>
                    </m:sub>
                    <m:sup>
                      <m:r>
                        <w:rPr>
                          <w:rFonts w:ascii="Cambria Math" w:hAnsi="Cambria Math"/>
                        </w:rPr>
                        <m:t>CF</m:t>
                      </m:r>
                    </m:sup>
                  </m:sSubSup>
                  <m:sSup>
                    <m:sSupPr>
                      <m:ctrlPr>
                        <w:rPr>
                          <w:rFonts w:ascii="Cambria Math" w:hAnsi="Cambria Math"/>
                        </w:rPr>
                      </m:ctrlPr>
                    </m:sSupPr>
                    <m:e>
                      <m:r>
                        <m:rPr>
                          <m:sty m:val="b"/>
                        </m:rPr>
                        <w:rPr>
                          <w:rFonts w:ascii="Cambria Math" w:hAnsi="Cambria Math"/>
                        </w:rPr>
                        <m:t>c</m:t>
                      </m:r>
                    </m:e>
                    <m:sup>
                      <m:r>
                        <w:rPr>
                          <w:rFonts w:ascii="Cambria Math" w:hAnsi="Cambria Math"/>
                        </w:rPr>
                        <m:t>S</m:t>
                      </m:r>
                    </m:sup>
                  </m:sSup>
                </m:e>
              </m:d>
            </m:e>
            <m:sub>
              <m:r>
                <w:rPr>
                  <w:rFonts w:ascii="Cambria Math" w:hAnsi="Cambria Math"/>
                </w:rPr>
                <m:t>i</m:t>
              </m:r>
            </m:sub>
          </m:sSub>
          <m:r>
            <m:rPr>
              <m:sty m:val="p"/>
            </m:rPr>
            <w:rPr>
              <w:rFonts w:ascii="Cambria Math" w:hAnsi="Cambria Math"/>
            </w:rPr>
            <m:t>.</m:t>
          </m:r>
        </m:oMath>
      </m:oMathPara>
    </w:p>
    <w:p w14:paraId="569ED913" w14:textId="77777777" w:rsidR="00E6637B" w:rsidRDefault="00000000">
      <w:pPr>
        <w:pStyle w:val="FirstParagraph"/>
      </w:pPr>
      <w:r>
        <w:t xml:space="preserve">Among the studied items not yet recalled, choice sensitivity </w:t>
      </w:r>
      <m:oMath>
        <m:sSub>
          <m:sSubPr>
            <m:ctrlPr>
              <w:rPr>
                <w:rFonts w:ascii="Cambria Math" w:hAnsi="Cambria Math"/>
              </w:rPr>
            </m:ctrlPr>
          </m:sSubPr>
          <m:e>
            <m:r>
              <w:rPr>
                <w:rFonts w:ascii="Cambria Math" w:hAnsi="Cambria Math"/>
              </w:rPr>
              <m:t>τ</m:t>
            </m:r>
          </m:e>
          <m:sub>
            <m:r>
              <w:rPr>
                <w:rFonts w:ascii="Cambria Math" w:hAnsi="Cambria Math"/>
              </w:rPr>
              <m:t>c</m:t>
            </m:r>
          </m:sub>
        </m:sSub>
      </m:oMath>
      <w:r>
        <w:t xml:space="preserve"> converted this support into the probability of selecting item </w:t>
      </w:r>
      <m:oMath>
        <m:r>
          <w:rPr>
            <w:rFonts w:ascii="Cambria Math" w:hAnsi="Cambria Math"/>
          </w:rPr>
          <m:t>i</m:t>
        </m:r>
      </m:oMath>
      <w:r>
        <w:t xml:space="preserve"> next:</w:t>
      </w:r>
    </w:p>
    <w:p w14:paraId="26FA8D23" w14:textId="77777777" w:rsidR="00E6637B" w:rsidRDefault="00000000">
      <w:pPr>
        <w:pStyle w:val="BodyTex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t</m:t>
                  </m:r>
                </m:sub>
              </m:sSub>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i</m:t>
                  </m:r>
                </m:sub>
                <m:sup>
                  <m:sSub>
                    <m:sSubPr>
                      <m:ctrlPr>
                        <w:rPr>
                          <w:rFonts w:ascii="Cambria Math" w:hAnsi="Cambria Math"/>
                        </w:rPr>
                      </m:ctrlPr>
                    </m:sSubPr>
                    <m:e>
                      <m:r>
                        <w:rPr>
                          <w:rFonts w:ascii="Cambria Math" w:hAnsi="Cambria Math"/>
                        </w:rPr>
                        <m:t>τ</m:t>
                      </m:r>
                    </m:e>
                    <m:sub>
                      <m:r>
                        <w:rPr>
                          <w:rFonts w:ascii="Cambria Math" w:hAnsi="Cambria Math"/>
                        </w:rPr>
                        <m:t>c</m:t>
                      </m:r>
                    </m:sub>
                  </m:sSub>
                </m:sup>
              </m:sSubSup>
            </m:num>
            <m:den>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t</m:t>
                      </m:r>
                    </m:sub>
                  </m:sSub>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k</m:t>
                      </m:r>
                    </m:sub>
                    <m:sup>
                      <m:sSub>
                        <m:sSubPr>
                          <m:ctrlPr>
                            <w:rPr>
                              <w:rFonts w:ascii="Cambria Math" w:hAnsi="Cambria Math"/>
                            </w:rPr>
                          </m:ctrlPr>
                        </m:sSubPr>
                        <m:e>
                          <m:r>
                            <w:rPr>
                              <w:rFonts w:ascii="Cambria Math" w:hAnsi="Cambria Math"/>
                            </w:rPr>
                            <m:t>τ</m:t>
                          </m:r>
                        </m:e>
                        <m:sub>
                          <m:r>
                            <w:rPr>
                              <w:rFonts w:ascii="Cambria Math" w:hAnsi="Cambria Math"/>
                            </w:rPr>
                            <m:t>c</m:t>
                          </m:r>
                        </m:sub>
                      </m:sSub>
                    </m:sup>
                  </m:sSubSup>
                </m:e>
              </m:nary>
            </m:den>
          </m:f>
          <m:r>
            <m:rPr>
              <m:sty m:val="p"/>
            </m:rPr>
            <w:rPr>
              <w:rFonts w:ascii="Cambria Math" w:hAnsi="Cambria Math"/>
            </w:rPr>
            <m:t>,</m:t>
          </m:r>
          <m:r>
            <w:rPr>
              <w:rFonts w:ascii="Cambria Math" w:hAnsi="Cambria Math"/>
            </w:rPr>
            <m:t>  i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t</m:t>
              </m:r>
            </m:sub>
          </m:sSub>
          <m:r>
            <m:rPr>
              <m:sty m:val="p"/>
            </m:rPr>
            <w:rPr>
              <w:rFonts w:ascii="Cambria Math" w:hAnsi="Cambria Math"/>
            </w:rPr>
            <m:t>,</m:t>
          </m:r>
        </m:oMath>
      </m:oMathPara>
    </w:p>
    <w:p w14:paraId="75054C62" w14:textId="77777777" w:rsidR="00E6637B" w:rsidRDefault="00000000">
      <w:pPr>
        <w:pStyle w:val="FirstParagraph"/>
      </w:pPr>
      <w:r>
        <w:t xml:space="preserve">where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t</m:t>
            </m:r>
          </m:sub>
        </m:sSub>
      </m:oMath>
      <w:r>
        <w:t xml:space="preserve"> contains the items still available at recall step </w:t>
      </w:r>
      <m:oMath>
        <m:r>
          <w:rPr>
            <w:rFonts w:ascii="Cambria Math" w:hAnsi="Cambria Math"/>
          </w:rPr>
          <m:t>t</m:t>
        </m:r>
      </m:oMath>
      <w:r>
        <w:t>. After each selection, the item was removed from this set and reinstated its temporal and source context, changing the cue for the next recall. This cycle links source learning strength to an item’s probability of entering the recalled set.</w:t>
      </w:r>
    </w:p>
    <w:p w14:paraId="67502F2E" w14:textId="77777777" w:rsidR="00E6637B" w:rsidRDefault="00000000">
      <w:pPr>
        <w:pStyle w:val="BodyText"/>
      </w:pPr>
      <w:r>
        <w:lastRenderedPageBreak/>
        <w:t>The fitted model omitted item-specific semantic similarities and the source-switch disruption used in published eCMR; recall order was unavailable to diagnose either contribution to retrieval dynamics. It also fixed source reinstatement at its maximum and replaced the published accumulator and stopping process with normalized selection among unrecalled items. The likelihood consequently conditioned on each list’s observed recall count rather than predicting when recall stopped. These choices were fixed across all six models, which differed only in their scaling of source learning strength.</w:t>
      </w:r>
    </w:p>
    <w:p w14:paraId="0A2EE0FD" w14:textId="77777777" w:rsidR="00E6637B" w:rsidRDefault="00000000">
      <w:pPr>
        <w:pStyle w:val="Heading3"/>
      </w:pPr>
      <w:bookmarkStart w:id="5" w:name="encoding-strength-hypotheses"/>
      <w:bookmarkEnd w:id="4"/>
      <w:r>
        <w:t>Encoding-strength hypotheses</w:t>
      </w:r>
    </w:p>
    <w:p w14:paraId="437A0541" w14:textId="77777777" w:rsidR="00E6637B" w:rsidRDefault="00000000">
      <w:pPr>
        <w:pStyle w:val="FirstParagraph"/>
      </w:pPr>
      <w:r>
        <w:t xml:space="preserve">Every model estimated a source-learning baseline </w:t>
      </w:r>
      <m:oMath>
        <m:r>
          <w:rPr>
            <w:rFonts w:ascii="Cambria Math" w:hAnsi="Cambria Math"/>
          </w:rPr>
          <m:t>ω</m:t>
        </m:r>
        <m:sSub>
          <m:sSubPr>
            <m:ctrlPr>
              <w:rPr>
                <w:rFonts w:ascii="Cambria Math" w:hAnsi="Cambria Math"/>
              </w:rPr>
            </m:ctrlPr>
          </m:sSubPr>
          <m:e>
            <m:r>
              <w:rPr>
                <w:rFonts w:ascii="Cambria Math" w:hAnsi="Cambria Math"/>
              </w:rPr>
              <m:t>ϕ</m:t>
            </m:r>
          </m:e>
          <m:sub>
            <m:r>
              <w:rPr>
                <w:rFonts w:ascii="Cambria Math" w:hAnsi="Cambria Math"/>
              </w:rPr>
              <m:t>i</m:t>
            </m:r>
          </m:sub>
        </m:sSub>
      </m:oMath>
      <w:r>
        <w:t xml:space="preserve">, where </w:t>
      </w:r>
      <m:oMath>
        <m:r>
          <w:rPr>
            <w:rFonts w:ascii="Cambria Math" w:hAnsi="Cambria Math"/>
          </w:rPr>
          <m:t>ω</m:t>
        </m:r>
      </m:oMath>
      <w:r>
        <w:t xml:space="preserve"> scaled source relative to temporal learning and </w:t>
      </w:r>
      <m:oMath>
        <m:sSub>
          <m:sSubPr>
            <m:ctrlPr>
              <w:rPr>
                <w:rFonts w:ascii="Cambria Math" w:hAnsi="Cambria Math"/>
              </w:rPr>
            </m:ctrlPr>
          </m:sSubPr>
          <m:e>
            <m:r>
              <w:rPr>
                <w:rFonts w:ascii="Cambria Math" w:hAnsi="Cambria Math"/>
              </w:rPr>
              <m:t>ϕ</m:t>
            </m:r>
          </m:e>
          <m:sub>
            <m:r>
              <w:rPr>
                <w:rFonts w:ascii="Cambria Math" w:hAnsi="Cambria Math"/>
              </w:rPr>
              <m:t>i</m:t>
            </m:r>
          </m:sub>
        </m:sSub>
      </m:oMath>
      <w:r>
        <w:t xml:space="preserve"> supplied the primacy gradient. Preferential emotional learning multiplied this baseline by </w:t>
      </w:r>
      <m:oMath>
        <m:sSubSup>
          <m:sSubSupPr>
            <m:ctrlPr>
              <w:rPr>
                <w:rFonts w:ascii="Cambria Math" w:hAnsi="Cambria Math"/>
              </w:rPr>
            </m:ctrlPr>
          </m:sSubSupPr>
          <m:e>
            <m:r>
              <w:rPr>
                <w:rFonts w:ascii="Cambria Math" w:hAnsi="Cambria Math"/>
              </w:rPr>
              <m:t>ϕ</m:t>
            </m:r>
          </m:e>
          <m:sub>
            <m:r>
              <m:rPr>
                <m:sty m:val="p"/>
              </m:rPr>
              <w:rPr>
                <w:rFonts w:ascii="Cambria Math" w:hAnsi="Cambria Math"/>
              </w:rPr>
              <m:t>emot</m:t>
            </m:r>
          </m:sub>
          <m:sup>
            <m:sSub>
              <m:sSubPr>
                <m:ctrlPr>
                  <w:rPr>
                    <w:rFonts w:ascii="Cambria Math" w:hAnsi="Cambria Math"/>
                  </w:rPr>
                </m:ctrlPr>
              </m:sSubPr>
              <m:e>
                <m:r>
                  <w:rPr>
                    <w:rFonts w:ascii="Cambria Math" w:hAnsi="Cambria Math"/>
                  </w:rPr>
                  <m:t>e</m:t>
                </m:r>
              </m:e>
              <m:sub>
                <m:r>
                  <w:rPr>
                    <w:rFonts w:ascii="Cambria Math" w:hAnsi="Cambria Math"/>
                  </w:rPr>
                  <m:t>i</m:t>
                </m:r>
              </m:sub>
            </m:sSub>
          </m:sup>
        </m:sSubSup>
      </m:oMath>
      <w:r>
        <w:t xml:space="preserve">, where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negative items and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0</m:t>
        </m:r>
      </m:oMath>
      <w:r>
        <w:t xml:space="preserve"> for neutral items. Models without this modulation fixed </w:t>
      </w:r>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r>
          <m:rPr>
            <m:sty m:val="p"/>
          </m:rPr>
          <w:rPr>
            <w:rFonts w:ascii="Cambria Math" w:hAnsi="Cambria Math"/>
          </w:rPr>
          <m:t>=</m:t>
        </m:r>
        <m:r>
          <w:rPr>
            <w:rFonts w:ascii="Cambria Math" w:hAnsi="Cambria Math"/>
          </w:rPr>
          <m:t>1</m:t>
        </m:r>
      </m:oMath>
      <w:r>
        <w:t xml:space="preserve">; the remaining models estimated it over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r>
          <m:rPr>
            <m:sty m:val="p"/>
          </m:rPr>
          <w:rPr>
            <w:rFonts w:ascii="Cambria Math" w:hAnsi="Cambria Math"/>
          </w:rPr>
          <m:t>]</m:t>
        </m:r>
      </m:oMath>
      <w:r>
        <w:t>, allowing either enhancement or attenuation of negative-item learning. Because this category-wide multiplier cannot distinguish among negative items, Early LPP supplied the item-level variation.</w:t>
      </w:r>
    </w:p>
    <w:p w14:paraId="3B28630F" w14:textId="77777777" w:rsidR="00E6637B" w:rsidRDefault="00000000">
      <w:pPr>
        <w:pStyle w:val="BodyText"/>
      </w:pPr>
      <w:r>
        <w:t xml:space="preserve">For item </w:t>
      </w:r>
      <m:oMath>
        <m:r>
          <w:rPr>
            <w:rFonts w:ascii="Cambria Math" w:hAnsi="Cambria Math"/>
          </w:rPr>
          <m:t>i</m:t>
        </m:r>
      </m:oMath>
      <w:r>
        <w:t xml:space="preserve"> on 20-item study-test list </w:t>
      </w:r>
      <m:oMath>
        <m:r>
          <w:rPr>
            <w:rFonts w:ascii="Cambria Math" w:hAnsi="Cambria Math"/>
          </w:rPr>
          <m:t>j</m:t>
        </m:r>
      </m:oMath>
      <w:r>
        <w:t>, the model used within-list mean-centered Early LPP,</w:t>
      </w:r>
    </w:p>
    <w:p w14:paraId="176D0520" w14:textId="77777777" w:rsidR="00E6637B" w:rsidRDefault="00000000">
      <w:pPr>
        <w:pStyle w:val="BodyText"/>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EarlyLPP</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EarlyLPP</m:t>
                  </m:r>
                </m:e>
              </m:bar>
            </m:e>
            <m:sub>
              <m:r>
                <w:rPr>
                  <w:rFonts w:ascii="Cambria Math" w:hAnsi="Cambria Math"/>
                </w:rPr>
                <m:t>j</m:t>
              </m:r>
            </m:sub>
          </m:sSub>
          <m:r>
            <m:rPr>
              <m:sty m:val="p"/>
            </m:rPr>
            <w:rPr>
              <w:rFonts w:ascii="Cambria Math" w:hAnsi="Cambria Math"/>
            </w:rPr>
            <m:t>.</m:t>
          </m:r>
        </m:oMath>
      </m:oMathPara>
    </w:p>
    <w:p w14:paraId="4C6A6BD3" w14:textId="77777777" w:rsidR="00E6637B" w:rsidRDefault="00000000">
      <w:pPr>
        <w:pStyle w:val="FirstParagraph"/>
      </w:pPr>
      <w:r>
        <w:t xml:space="preserve">A positive </w:t>
      </w:r>
      <m:oMath>
        <m:sSub>
          <m:sSubPr>
            <m:ctrlPr>
              <w:rPr>
                <w:rFonts w:ascii="Cambria Math" w:hAnsi="Cambria Math"/>
              </w:rPr>
            </m:ctrlPr>
          </m:sSubPr>
          <m:e>
            <m:r>
              <w:rPr>
                <w:rFonts w:ascii="Cambria Math" w:hAnsi="Cambria Math"/>
              </w:rPr>
              <m:t>z</m:t>
            </m:r>
          </m:e>
          <m:sub>
            <m:r>
              <w:rPr>
                <w:rFonts w:ascii="Cambria Math" w:hAnsi="Cambria Math"/>
              </w:rPr>
              <m:t>ij</m:t>
            </m:r>
          </m:sub>
        </m:sSub>
      </m:oMath>
      <w:r>
        <w:t xml:space="preserve"> therefore identifies an item with a larger Early LPP than its list average. Centering isolates whether relatively larger Early LPP predicts which items enter a list’s recalled set; it removes between-list differences and cannot test whether lists with larger average Early LPP produce more recalls. Because the preceding empirical regression did not separate these </w:t>
      </w:r>
      <w:r>
        <w:lastRenderedPageBreak/>
        <w:t>sources of variation, its coefficient is not a numerical counterpart of the computational coefficient.</w:t>
      </w:r>
    </w:p>
    <w:p w14:paraId="29B75745" w14:textId="77777777" w:rsidR="00E6637B" w:rsidRDefault="00000000">
      <w:pPr>
        <w:pStyle w:val="BodyText"/>
      </w:pPr>
      <w:r>
        <w:t>Source learning strength was the product of the ordinary source-learning baseline, the category-wide emotional-learning multiplier, and an item-level Early-LPP multiplier:</w:t>
      </w:r>
    </w:p>
    <w:p w14:paraId="799BAED4" w14:textId="77777777" w:rsidR="00E6637B"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ij</m:t>
              </m:r>
            </m:sub>
            <m:sup>
              <m:r>
                <w:rPr>
                  <w:rFonts w:ascii="Cambria Math" w:hAnsi="Cambria Math"/>
                </w:rPr>
                <m:t>S</m:t>
              </m:r>
            </m:sup>
          </m:sSubSup>
          <m:r>
            <m:rPr>
              <m:sty m:val="p"/>
            </m:rPr>
            <w:rPr>
              <w:rFonts w:ascii="Cambria Math" w:hAnsi="Cambria Math"/>
            </w:rPr>
            <m:t>=</m:t>
          </m:r>
          <m:r>
            <w:rPr>
              <w:rFonts w:ascii="Cambria Math" w:hAnsi="Cambria Math"/>
            </w:rPr>
            <m:t>ω</m:t>
          </m:r>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ϕ</m:t>
              </m:r>
            </m:e>
            <m:sub>
              <m:r>
                <m:rPr>
                  <m:sty m:val="p"/>
                </m:rPr>
                <w:rPr>
                  <w:rFonts w:ascii="Cambria Math" w:hAnsi="Cambria Math"/>
                </w:rPr>
                <m:t>emot</m:t>
              </m:r>
            </m:sub>
            <m:sup>
              <m:sSub>
                <m:sSubPr>
                  <m:ctrlPr>
                    <w:rPr>
                      <w:rFonts w:ascii="Cambria Math" w:hAnsi="Cambria Math"/>
                    </w:rPr>
                  </m:ctrlPr>
                </m:sSubPr>
                <m:e>
                  <m:r>
                    <w:rPr>
                      <w:rFonts w:ascii="Cambria Math" w:hAnsi="Cambria Math"/>
                    </w:rPr>
                    <m:t>e</m:t>
                  </m:r>
                </m:e>
                <m:sub>
                  <m:r>
                    <w:rPr>
                      <w:rFonts w:ascii="Cambria Math" w:hAnsi="Cambria Math"/>
                    </w:rPr>
                    <m:t>i</m:t>
                  </m:r>
                </m:sub>
              </m:sSub>
            </m:sup>
          </m:sSubSup>
          <m:r>
            <m:rPr>
              <m:sty m:val="p"/>
            </m:rPr>
            <w:rPr>
              <w:rFonts w:ascii="Cambria Math" w:hAnsi="Cambria Math"/>
            </w:rPr>
            <m:t>×exp</m:t>
          </m:r>
          <m:r>
            <w:rPr>
              <w:rFonts w:ascii="Cambria Math" w:hAnsi="Cambria Math"/>
            </w:rPr>
            <m:t>​</m:t>
          </m:r>
          <m:d>
            <m:dPr>
              <m:begChr m:val="["/>
              <m:endChr m:val="]"/>
              <m:ctrlPr>
                <w:rPr>
                  <w:rFonts w:ascii="Cambria Math" w:hAnsi="Cambria Math"/>
                </w:rPr>
              </m:ctrlPr>
            </m:dPr>
            <m:e>
              <m:r>
                <w:rPr>
                  <w:rFonts w:ascii="Cambria Math" w:hAnsi="Cambria Math"/>
                </w:rPr>
                <m:t>κ</m:t>
              </m:r>
              <m:sSub>
                <m:sSubPr>
                  <m:ctrlPr>
                    <w:rPr>
                      <w:rFonts w:ascii="Cambria Math" w:hAnsi="Cambria Math"/>
                    </w:rPr>
                  </m:ctrlPr>
                </m:sSubPr>
                <m:e>
                  <m:r>
                    <w:rPr>
                      <w:rFonts w:ascii="Cambria Math" w:hAnsi="Cambria Math"/>
                    </w:rPr>
                    <m:t>z</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m:rPr>
                      <m:sty m:val="p"/>
                    </m:rPr>
                    <w:rPr>
                      <w:rFonts w:ascii="Cambria Math" w:hAnsi="Cambria Math"/>
                    </w:rPr>
                    <m:t>emot</m:t>
                  </m:r>
                </m:sub>
              </m:sSub>
              <m:sSub>
                <m:sSubPr>
                  <m:ctrlPr>
                    <w:rPr>
                      <w:rFonts w:ascii="Cambria Math" w:hAnsi="Cambria Math"/>
                    </w:rPr>
                  </m:ctrlPr>
                </m:sSubPr>
                <m:e>
                  <m:r>
                    <w:rPr>
                      <w:rFonts w:ascii="Cambria Math" w:hAnsi="Cambria Math"/>
                    </w:rPr>
                    <m:t>e</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ij</m:t>
                  </m:r>
                </m:sub>
              </m:sSub>
            </m:e>
          </m:d>
          <m:r>
            <m:rPr>
              <m:sty m:val="p"/>
            </m:rPr>
            <w:rPr>
              <w:rFonts w:ascii="Cambria Math" w:hAnsi="Cambria Math"/>
            </w:rPr>
            <m:t>.</m:t>
          </m:r>
        </m:oMath>
      </m:oMathPara>
    </w:p>
    <w:p w14:paraId="648F0721" w14:textId="77777777" w:rsidR="00E6637B" w:rsidRDefault="00000000">
      <w:pPr>
        <w:pStyle w:val="FirstParagraph"/>
      </w:pPr>
      <w:r>
        <w:t xml:space="preserve">The General coefficient </w:t>
      </w:r>
      <m:oMath>
        <m:r>
          <w:rPr>
            <w:rFonts w:ascii="Cambria Math" w:hAnsi="Cambria Math"/>
          </w:rPr>
          <m:t>κ</m:t>
        </m:r>
      </m:oMath>
      <w:r>
        <w:t xml:space="preserve"> applied to both categories, whereas </w:t>
      </w:r>
      <m:oMath>
        <m:sSub>
          <m:sSubPr>
            <m:ctrlPr>
              <w:rPr>
                <w:rFonts w:ascii="Cambria Math" w:hAnsi="Cambria Math"/>
              </w:rPr>
            </m:ctrlPr>
          </m:sSubPr>
          <m:e>
            <m:r>
              <w:rPr>
                <w:rFonts w:ascii="Cambria Math" w:hAnsi="Cambria Math"/>
              </w:rPr>
              <m:t>κ</m:t>
            </m:r>
          </m:e>
          <m:sub>
            <m:r>
              <m:rPr>
                <m:sty m:val="p"/>
              </m:rPr>
              <w:rPr>
                <w:rFonts w:ascii="Cambria Math" w:hAnsi="Cambria Math"/>
              </w:rPr>
              <m:t>emot</m:t>
            </m:r>
          </m:sub>
        </m:sSub>
      </m:oMath>
      <w:r>
        <w:t xml:space="preserve"> added a negative-item slope. The exponential link kept learning strength positive and made Early-LPP effects proportional; when </w:t>
      </w:r>
      <m:oMath>
        <m:sSub>
          <m:sSubPr>
            <m:ctrlPr>
              <w:rPr>
                <w:rFonts w:ascii="Cambria Math" w:hAnsi="Cambria Math"/>
              </w:rPr>
            </m:ctrlPr>
          </m:sSubPr>
          <m:e>
            <m:r>
              <w:rPr>
                <w:rFonts w:ascii="Cambria Math" w:hAnsi="Cambria Math"/>
              </w:rPr>
              <m:t>z</m:t>
            </m:r>
          </m:e>
          <m:sub>
            <m:r>
              <w:rPr>
                <w:rFonts w:ascii="Cambria Math" w:hAnsi="Cambria Math"/>
              </w:rPr>
              <m:t>ij</m:t>
            </m:r>
          </m:sub>
        </m:sSub>
        <m:r>
          <m:rPr>
            <m:sty m:val="p"/>
          </m:rPr>
          <w:rPr>
            <w:rFonts w:ascii="Cambria Math" w:hAnsi="Cambria Math"/>
          </w:rPr>
          <m:t>=</m:t>
        </m:r>
        <m:r>
          <w:rPr>
            <w:rFonts w:ascii="Cambria Math" w:hAnsi="Cambria Math"/>
          </w:rPr>
          <m:t>0</m:t>
        </m:r>
      </m:oMath>
      <w:r>
        <w:t xml:space="preserve">, its multiplier equaled 1 and recovered the category-level baseline. No-LPP models fixed both coefficients at zero. General-LPP models estimated </w:t>
      </w:r>
      <m:oMath>
        <m:r>
          <w:rPr>
            <w:rFonts w:ascii="Cambria Math" w:hAnsi="Cambria Math"/>
          </w:rPr>
          <m:t>κ</m:t>
        </m:r>
      </m:oMath>
      <w:r>
        <w:t xml:space="preserve"> alone, whereas equal-complexity Emotion-dependent-LPP models estimated </w:t>
      </w:r>
      <m:oMath>
        <m:sSub>
          <m:sSubPr>
            <m:ctrlPr>
              <w:rPr>
                <w:rFonts w:ascii="Cambria Math" w:hAnsi="Cambria Math"/>
              </w:rPr>
            </m:ctrlPr>
          </m:sSubPr>
          <m:e>
            <m:r>
              <w:rPr>
                <w:rFonts w:ascii="Cambria Math" w:hAnsi="Cambria Math"/>
              </w:rPr>
              <m:t>κ</m:t>
            </m:r>
          </m:e>
          <m:sub>
            <m:r>
              <m:rPr>
                <m:sty m:val="p"/>
              </m:rPr>
              <w:rPr>
                <w:rFonts w:ascii="Cambria Math" w:hAnsi="Cambria Math"/>
              </w:rPr>
              <m:t>emot</m:t>
            </m:r>
          </m:sub>
        </m:sSub>
      </m:oMath>
      <w:r>
        <w:t xml:space="preserve"> alone. The empirical interaction motivated this contrast, but the model comparison determined which placement better predicted the recalled sets.</w:t>
      </w:r>
    </w:p>
    <w:p w14:paraId="5E117074" w14:textId="77777777" w:rsidR="00E6637B" w:rsidRDefault="00000000">
      <w:pPr>
        <w:pStyle w:val="Heading3"/>
      </w:pPr>
      <w:bookmarkStart w:id="6" w:name="model-comparison-design"/>
      <w:bookmarkEnd w:id="5"/>
      <w:r>
        <w:t>Model-comparison design</w:t>
      </w:r>
    </w:p>
    <w:p w14:paraId="5E13E875" w14:textId="77777777" w:rsidR="00E6637B" w:rsidRDefault="00000000">
      <w:pPr>
        <w:pStyle w:val="FirstParagraph"/>
      </w:pPr>
      <w:r>
        <w:t xml:space="preserve">Crossing a fixed or freely estimated emotional-learning multiplier with the three Early-LPP mappings produced the six models in </w:t>
      </w:r>
      <w:hyperlink w:anchor="tbl-primary-ecmr-comparison">
        <w:r>
          <w:rPr>
            <w:rStyle w:val="Hyperlink"/>
          </w:rPr>
          <w:t>Table 1</w:t>
        </w:r>
      </w:hyperlink>
      <w:r>
        <w:t>.</w:t>
      </w:r>
    </w:p>
    <w:p w14:paraId="3CC9B3EF" w14:textId="77777777" w:rsidR="00E6637B" w:rsidRDefault="00000000">
      <w:pPr>
        <w:pStyle w:val="FigureTitle"/>
      </w:pPr>
      <w:bookmarkStart w:id="7" w:name="tbl-primary-ecmr-comparison"/>
      <w:r>
        <w:lastRenderedPageBreak/>
        <w:t>Table 1</w:t>
      </w:r>
    </w:p>
    <w:p w14:paraId="2108B317" w14:textId="77777777" w:rsidR="00E6637B" w:rsidRDefault="00000000">
      <w:pPr>
        <w:pStyle w:val="Caption"/>
      </w:pPr>
      <w:r>
        <w:t>Six models formed by crossing Early-LPP modulation with a fixed or estimated emotional-learning multiplier. All models contained temporal and negative/neutral source-context components; parenthetical values are numbers of free parameters. Estimating the multiplier tested the directional hypothesis of preferential emotional learning while also permitting attenuation.</w:t>
      </w:r>
    </w:p>
    <w:tbl>
      <w:tblPr>
        <w:tblStyle w:val="Table"/>
        <w:tblW w:w="5000" w:type="pct"/>
        <w:tblLayout w:type="fixed"/>
        <w:tblLook w:val="0020" w:firstRow="1" w:lastRow="0" w:firstColumn="0" w:lastColumn="0" w:noHBand="0" w:noVBand="0"/>
      </w:tblPr>
      <w:tblGrid>
        <w:gridCol w:w="3120"/>
        <w:gridCol w:w="3120"/>
        <w:gridCol w:w="3120"/>
      </w:tblGrid>
      <w:tr w:rsidR="00E6637B" w14:paraId="1018BC80" w14:textId="77777777" w:rsidTr="00E6637B">
        <w:trPr>
          <w:cnfStyle w:val="100000000000" w:firstRow="1" w:lastRow="0" w:firstColumn="0" w:lastColumn="0" w:oddVBand="0" w:evenVBand="0" w:oddHBand="0" w:evenHBand="0" w:firstRowFirstColumn="0" w:firstRowLastColumn="0" w:lastRowFirstColumn="0" w:lastRowLastColumn="0"/>
          <w:tblHeader/>
        </w:trPr>
        <w:tc>
          <w:tcPr>
            <w:tcW w:w="2640" w:type="dxa"/>
          </w:tcPr>
          <w:p w14:paraId="65CB35F8" w14:textId="77777777" w:rsidR="00E6637B" w:rsidRDefault="00000000">
            <w:pPr>
              <w:pStyle w:val="Compact"/>
            </w:pPr>
            <w:r>
              <w:t>Early-LPP modulation</w:t>
            </w:r>
          </w:p>
        </w:tc>
        <w:tc>
          <w:tcPr>
            <w:tcW w:w="2640" w:type="dxa"/>
          </w:tcPr>
          <w:p w14:paraId="3FE26946" w14:textId="77777777" w:rsidR="00E6637B" w:rsidRDefault="00000000">
            <w:pPr>
              <w:pStyle w:val="Compact"/>
            </w:pPr>
            <w:r>
              <w:t>Emotional-learning multiplier fixed at 1</w:t>
            </w:r>
          </w:p>
        </w:tc>
        <w:tc>
          <w:tcPr>
            <w:tcW w:w="2640" w:type="dxa"/>
          </w:tcPr>
          <w:p w14:paraId="6BED77C5" w14:textId="77777777" w:rsidR="00E6637B" w:rsidRDefault="00000000">
            <w:pPr>
              <w:pStyle w:val="Compact"/>
            </w:pPr>
            <w:r>
              <w:t>Emotional-learning multiplier estimated</w:t>
            </w:r>
          </w:p>
        </w:tc>
      </w:tr>
      <w:tr w:rsidR="00E6637B" w14:paraId="3368FE80" w14:textId="77777777">
        <w:tc>
          <w:tcPr>
            <w:tcW w:w="2640" w:type="dxa"/>
          </w:tcPr>
          <w:p w14:paraId="20043E9D" w14:textId="77777777" w:rsidR="00E6637B" w:rsidRDefault="00000000">
            <w:pPr>
              <w:pStyle w:val="Compact"/>
            </w:pPr>
            <w:r>
              <w:t>None</w:t>
            </w:r>
          </w:p>
        </w:tc>
        <w:tc>
          <w:tcPr>
            <w:tcW w:w="2640" w:type="dxa"/>
          </w:tcPr>
          <w:p w14:paraId="5DE2C4C8" w14:textId="77777777" w:rsidR="00E6637B" w:rsidRDefault="00000000">
            <w:pPr>
              <w:pStyle w:val="Compact"/>
            </w:pPr>
            <w:r>
              <w:t>Source-context baseline (11)</w:t>
            </w:r>
          </w:p>
        </w:tc>
        <w:tc>
          <w:tcPr>
            <w:tcW w:w="2640" w:type="dxa"/>
          </w:tcPr>
          <w:p w14:paraId="5FA40BE3" w14:textId="77777777" w:rsidR="00E6637B" w:rsidRDefault="00000000">
            <w:pPr>
              <w:pStyle w:val="Compact"/>
            </w:pPr>
            <w:r>
              <w:t>Preferential-learning model (12)</w:t>
            </w:r>
          </w:p>
        </w:tc>
      </w:tr>
      <w:tr w:rsidR="00E6637B" w14:paraId="63100DD7" w14:textId="77777777">
        <w:tc>
          <w:tcPr>
            <w:tcW w:w="2640" w:type="dxa"/>
          </w:tcPr>
          <w:p w14:paraId="5DF831B7" w14:textId="77777777" w:rsidR="00E6637B" w:rsidRDefault="00000000">
            <w:pPr>
              <w:pStyle w:val="Compact"/>
            </w:pPr>
            <w:r>
              <w:t>General</w:t>
            </w:r>
          </w:p>
        </w:tc>
        <w:tc>
          <w:tcPr>
            <w:tcW w:w="2640" w:type="dxa"/>
          </w:tcPr>
          <w:p w14:paraId="159822AF" w14:textId="77777777" w:rsidR="00E6637B" w:rsidRDefault="00000000">
            <w:pPr>
              <w:pStyle w:val="Compact"/>
            </w:pPr>
            <w:r>
              <w:t>General-LPP model (12)</w:t>
            </w:r>
          </w:p>
        </w:tc>
        <w:tc>
          <w:tcPr>
            <w:tcW w:w="2640" w:type="dxa"/>
          </w:tcPr>
          <w:p w14:paraId="087747F4" w14:textId="77777777" w:rsidR="00E6637B" w:rsidRDefault="00000000">
            <w:pPr>
              <w:pStyle w:val="Compact"/>
            </w:pPr>
            <w:r>
              <w:t>Preferential learning + General-LPP model (13)</w:t>
            </w:r>
          </w:p>
        </w:tc>
      </w:tr>
      <w:tr w:rsidR="00E6637B" w14:paraId="48976AEB" w14:textId="77777777">
        <w:tc>
          <w:tcPr>
            <w:tcW w:w="2640" w:type="dxa"/>
          </w:tcPr>
          <w:p w14:paraId="79EFE5C4" w14:textId="77777777" w:rsidR="00E6637B" w:rsidRDefault="00000000">
            <w:pPr>
              <w:pStyle w:val="Compact"/>
            </w:pPr>
            <w:r>
              <w:t>Emotion-dependent</w:t>
            </w:r>
          </w:p>
        </w:tc>
        <w:tc>
          <w:tcPr>
            <w:tcW w:w="2640" w:type="dxa"/>
          </w:tcPr>
          <w:p w14:paraId="034E894B" w14:textId="77777777" w:rsidR="00E6637B" w:rsidRDefault="00000000">
            <w:pPr>
              <w:pStyle w:val="Compact"/>
            </w:pPr>
            <w:r>
              <w:t>Emotion-dependent-LPP model (12)</w:t>
            </w:r>
          </w:p>
        </w:tc>
        <w:tc>
          <w:tcPr>
            <w:tcW w:w="2640" w:type="dxa"/>
          </w:tcPr>
          <w:p w14:paraId="76F5A3BC" w14:textId="77777777" w:rsidR="00E6637B" w:rsidRDefault="00000000">
            <w:pPr>
              <w:pStyle w:val="Compact"/>
            </w:pPr>
            <w:r>
              <w:t>Preferential learning + Emotion-dependent-LPP model (13)</w:t>
            </w:r>
          </w:p>
        </w:tc>
      </w:tr>
    </w:tbl>
    <w:bookmarkEnd w:id="7"/>
    <w:p w14:paraId="73EDA14B" w14:textId="77777777" w:rsidR="00E6637B" w:rsidRDefault="00000000">
      <w:pPr>
        <w:pStyle w:val="AfterWithoutNote"/>
      </w:pPr>
      <w:r>
        <w:t xml:space="preserve">Canonical implementation identifiers corresponding to these manuscript labels are reported in Supplementary </w:t>
      </w:r>
      <w:hyperlink w:anchor="tbl-registry-mapping">
        <w:r>
          <w:rPr>
            <w:rStyle w:val="Hyperlink"/>
          </w:rPr>
          <w:t>Table 5</w:t>
        </w:r>
      </w:hyperlink>
      <w:r>
        <w:t>.</w:t>
      </w:r>
    </w:p>
    <w:p w14:paraId="7E51B7F9" w14:textId="77777777" w:rsidR="00E6637B" w:rsidRDefault="00000000">
      <w:pPr>
        <w:pStyle w:val="BodyText"/>
      </w:pPr>
      <w:r>
        <w:t>Within each row, the two columns test preferential emotional learning while holding the Early-LPP mapping fixed. Within each column, the LPP models test whether the neural measure adds information beyond the corresponding No-LPP model. The General and Emotion-dependent rows compare two equal-complexity placements of one Early-LPP coefficient. The 12-parameter General-LPP and Emotion-dependent-LPP models can also be compared directly with the 12-parameter Preferential-learning model, testing whether LPP-derived scaling can replace a free category-wide multiplier.</w:t>
      </w:r>
    </w:p>
    <w:p w14:paraId="200BC3B8" w14:textId="77777777" w:rsidR="00E6637B" w:rsidRDefault="00000000">
      <w:pPr>
        <w:pStyle w:val="BodyText"/>
      </w:pPr>
      <w:hyperlink w:anchor="tbl-model-parameter-spec">
        <w:r>
          <w:rPr>
            <w:rStyle w:val="Hyperlink"/>
          </w:rPr>
          <w:t>Table 2</w:t>
        </w:r>
      </w:hyperlink>
      <w:r>
        <w:t xml:space="preserve"> summarizes the parameters and the constraints that created the six cells. Eleven common parameters governed context updating, associative learning, primacy, and recall choice; each optional learning multiplier added one parameter.</w:t>
      </w:r>
    </w:p>
    <w:p w14:paraId="7E6031D9" w14:textId="77777777" w:rsidR="00E6637B" w:rsidRDefault="00000000">
      <w:pPr>
        <w:pStyle w:val="FigureTitle"/>
      </w:pPr>
      <w:bookmarkStart w:id="8" w:name="tbl-model-parameter-spec"/>
      <w:r>
        <w:t>Table 2</w:t>
      </w:r>
    </w:p>
    <w:p w14:paraId="4B654106" w14:textId="77777777" w:rsidR="00E6637B" w:rsidRDefault="00000000">
      <w:pPr>
        <w:pStyle w:val="Caption"/>
      </w:pPr>
      <w:r>
        <w:t>Parameters in the six-model specification.</w:t>
      </w:r>
    </w:p>
    <w:tbl>
      <w:tblPr>
        <w:tblStyle w:val="Table"/>
        <w:tblW w:w="5000" w:type="pct"/>
        <w:tblLayout w:type="fixed"/>
        <w:tblLook w:val="0020" w:firstRow="1" w:lastRow="0" w:firstColumn="0" w:lastColumn="0" w:noHBand="0" w:noVBand="0"/>
      </w:tblPr>
      <w:tblGrid>
        <w:gridCol w:w="3120"/>
        <w:gridCol w:w="3120"/>
        <w:gridCol w:w="3120"/>
      </w:tblGrid>
      <w:tr w:rsidR="00E6637B" w14:paraId="2F0EEE5C" w14:textId="77777777" w:rsidTr="00E6637B">
        <w:trPr>
          <w:cnfStyle w:val="100000000000" w:firstRow="1" w:lastRow="0" w:firstColumn="0" w:lastColumn="0" w:oddVBand="0" w:evenVBand="0" w:oddHBand="0" w:evenHBand="0" w:firstRowFirstColumn="0" w:firstRowLastColumn="0" w:lastRowFirstColumn="0" w:lastRowLastColumn="0"/>
          <w:tblHeader/>
        </w:trPr>
        <w:tc>
          <w:tcPr>
            <w:tcW w:w="2640" w:type="dxa"/>
          </w:tcPr>
          <w:p w14:paraId="067C724D" w14:textId="77777777" w:rsidR="00E6637B" w:rsidRDefault="00000000">
            <w:pPr>
              <w:pStyle w:val="Compact"/>
            </w:pPr>
            <w:r>
              <w:t>Parameter</w:t>
            </w:r>
          </w:p>
        </w:tc>
        <w:tc>
          <w:tcPr>
            <w:tcW w:w="2640" w:type="dxa"/>
          </w:tcPr>
          <w:p w14:paraId="6F39B5C2" w14:textId="77777777" w:rsidR="00E6637B" w:rsidRDefault="00000000">
            <w:pPr>
              <w:pStyle w:val="Compact"/>
            </w:pPr>
            <w:r>
              <w:t>Role</w:t>
            </w:r>
          </w:p>
        </w:tc>
        <w:tc>
          <w:tcPr>
            <w:tcW w:w="2640" w:type="dxa"/>
          </w:tcPr>
          <w:p w14:paraId="13FEBFC0" w14:textId="77777777" w:rsidR="00E6637B" w:rsidRDefault="00000000">
            <w:pPr>
              <w:pStyle w:val="Compact"/>
            </w:pPr>
            <w:r>
              <w:t>Fitted range or fixed value</w:t>
            </w:r>
          </w:p>
        </w:tc>
      </w:tr>
      <w:tr w:rsidR="00E6637B" w14:paraId="5E5FE74A" w14:textId="77777777">
        <w:tc>
          <w:tcPr>
            <w:tcW w:w="2640" w:type="dxa"/>
          </w:tcPr>
          <w:p w14:paraId="6ADB0F71" w14:textId="77777777" w:rsidR="00E6637B" w:rsidRDefault="00000000">
            <w:pPr>
              <w:pStyle w:val="Compact"/>
            </w:pPr>
            <m:oMathPara>
              <m:oMath>
                <m:sSubSup>
                  <m:sSubSupPr>
                    <m:ctrlPr>
                      <w:rPr>
                        <w:rFonts w:ascii="Cambria Math" w:hAnsi="Cambria Math"/>
                      </w:rPr>
                    </m:ctrlPr>
                  </m:sSubSupPr>
                  <m:e>
                    <m:r>
                      <w:rPr>
                        <w:rFonts w:ascii="Cambria Math" w:hAnsi="Cambria Math"/>
                      </w:rPr>
                      <m:t>β</m:t>
                    </m:r>
                  </m:e>
                  <m:sub>
                    <m:r>
                      <m:rPr>
                        <m:sty m:val="p"/>
                      </m:rPr>
                      <w:rPr>
                        <w:rFonts w:ascii="Cambria Math" w:hAnsi="Cambria Math"/>
                      </w:rPr>
                      <m:t>enc</m:t>
                    </m:r>
                  </m:sub>
                  <m:sup>
                    <m:r>
                      <w:rPr>
                        <w:rFonts w:ascii="Cambria Math" w:hAnsi="Cambria Math"/>
                      </w:rPr>
                      <m:t>T</m:t>
                    </m:r>
                  </m:sup>
                </m:sSubSup>
              </m:oMath>
            </m:oMathPara>
          </w:p>
        </w:tc>
        <w:tc>
          <w:tcPr>
            <w:tcW w:w="2640" w:type="dxa"/>
          </w:tcPr>
          <w:p w14:paraId="70EC61F3" w14:textId="77777777" w:rsidR="00E6637B" w:rsidRDefault="00000000">
            <w:pPr>
              <w:pStyle w:val="Compact"/>
            </w:pPr>
            <w:r>
              <w:t>Temporal-context drift during study</w:t>
            </w:r>
          </w:p>
        </w:tc>
        <w:tc>
          <w:tcPr>
            <w:tcW w:w="2640" w:type="dxa"/>
          </w:tcPr>
          <w:p w14:paraId="3776A9E1" w14:textId="77777777" w:rsidR="00E6637B" w:rsidRDefault="00000000">
            <w:pPr>
              <w:pStyle w:val="Compact"/>
            </w:pPr>
            <m:oMathPara>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tc>
      </w:tr>
      <w:tr w:rsidR="00E6637B" w14:paraId="7D368A3F" w14:textId="77777777">
        <w:tc>
          <w:tcPr>
            <w:tcW w:w="2640" w:type="dxa"/>
          </w:tcPr>
          <w:p w14:paraId="2038F7D2" w14:textId="77777777" w:rsidR="00E6637B" w:rsidRDefault="00000000">
            <w:pPr>
              <w:pStyle w:val="Compact"/>
            </w:pPr>
            <m:oMathPara>
              <m:oMath>
                <m:sSubSup>
                  <m:sSubSupPr>
                    <m:ctrlPr>
                      <w:rPr>
                        <w:rFonts w:ascii="Cambria Math" w:hAnsi="Cambria Math"/>
                      </w:rPr>
                    </m:ctrlPr>
                  </m:sSubSupPr>
                  <m:e>
                    <m:r>
                      <w:rPr>
                        <w:rFonts w:ascii="Cambria Math" w:hAnsi="Cambria Math"/>
                      </w:rPr>
                      <m:t>β</m:t>
                    </m:r>
                  </m:e>
                  <m:sub>
                    <m:r>
                      <m:rPr>
                        <m:sty m:val="p"/>
                      </m:rPr>
                      <w:rPr>
                        <w:rFonts w:ascii="Cambria Math" w:hAnsi="Cambria Math"/>
                      </w:rPr>
                      <m:t>enc</m:t>
                    </m:r>
                  </m:sub>
                  <m:sup>
                    <m:r>
                      <w:rPr>
                        <w:rFonts w:ascii="Cambria Math" w:hAnsi="Cambria Math"/>
                      </w:rPr>
                      <m:t>S</m:t>
                    </m:r>
                  </m:sup>
                </m:sSubSup>
              </m:oMath>
            </m:oMathPara>
          </w:p>
        </w:tc>
        <w:tc>
          <w:tcPr>
            <w:tcW w:w="2640" w:type="dxa"/>
          </w:tcPr>
          <w:p w14:paraId="44880962" w14:textId="77777777" w:rsidR="00E6637B" w:rsidRDefault="00000000">
            <w:pPr>
              <w:pStyle w:val="Compact"/>
            </w:pPr>
            <w:r>
              <w:t>Source-context drift during study</w:t>
            </w:r>
          </w:p>
        </w:tc>
        <w:tc>
          <w:tcPr>
            <w:tcW w:w="2640" w:type="dxa"/>
          </w:tcPr>
          <w:p w14:paraId="31DCC321" w14:textId="77777777" w:rsidR="00E6637B" w:rsidRDefault="00000000">
            <w:pPr>
              <w:pStyle w:val="Compact"/>
            </w:pPr>
            <m:oMathPara>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tc>
      </w:tr>
      <w:tr w:rsidR="00E6637B" w14:paraId="7BDE98BE" w14:textId="77777777">
        <w:tc>
          <w:tcPr>
            <w:tcW w:w="2640" w:type="dxa"/>
          </w:tcPr>
          <w:p w14:paraId="30629B1C" w14:textId="77777777" w:rsidR="00E6637B" w:rsidRDefault="00000000">
            <w:pPr>
              <w:pStyle w:val="Compact"/>
            </w:pPr>
            <m:oMathPara>
              <m:oMath>
                <m:sSub>
                  <m:sSubPr>
                    <m:ctrlPr>
                      <w:rPr>
                        <w:rFonts w:ascii="Cambria Math" w:hAnsi="Cambria Math"/>
                      </w:rPr>
                    </m:ctrlPr>
                  </m:sSubPr>
                  <m:e>
                    <m:r>
                      <w:rPr>
                        <w:rFonts w:ascii="Cambria Math" w:hAnsi="Cambria Math"/>
                      </w:rPr>
                      <m:t>β</m:t>
                    </m:r>
                  </m:e>
                  <m:sub>
                    <m:r>
                      <m:rPr>
                        <m:sty m:val="p"/>
                      </m:rPr>
                      <w:rPr>
                        <w:rFonts w:ascii="Cambria Math" w:hAnsi="Cambria Math"/>
                      </w:rPr>
                      <m:t>start</m:t>
                    </m:r>
                  </m:sub>
                </m:sSub>
              </m:oMath>
            </m:oMathPara>
          </w:p>
        </w:tc>
        <w:tc>
          <w:tcPr>
            <w:tcW w:w="2640" w:type="dxa"/>
          </w:tcPr>
          <w:p w14:paraId="51E53D30" w14:textId="77777777" w:rsidR="00E6637B" w:rsidRDefault="00000000">
            <w:pPr>
              <w:pStyle w:val="Compact"/>
            </w:pPr>
            <w:r>
              <w:t>Drift toward start-of-list context before recall</w:t>
            </w:r>
          </w:p>
        </w:tc>
        <w:tc>
          <w:tcPr>
            <w:tcW w:w="2640" w:type="dxa"/>
          </w:tcPr>
          <w:p w14:paraId="6269473B" w14:textId="77777777" w:rsidR="00E6637B" w:rsidRDefault="00000000">
            <w:pPr>
              <w:pStyle w:val="Compact"/>
            </w:pPr>
            <m:oMathPara>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tc>
      </w:tr>
      <w:tr w:rsidR="00E6637B" w14:paraId="57779E10" w14:textId="77777777">
        <w:tc>
          <w:tcPr>
            <w:tcW w:w="2640" w:type="dxa"/>
          </w:tcPr>
          <w:p w14:paraId="2596A9F6" w14:textId="77777777" w:rsidR="00E6637B" w:rsidRDefault="00000000">
            <w:pPr>
              <w:pStyle w:val="Compact"/>
            </w:pPr>
            <m:oMathPara>
              <m:oMath>
                <m:sSubSup>
                  <m:sSubSupPr>
                    <m:ctrlPr>
                      <w:rPr>
                        <w:rFonts w:ascii="Cambria Math" w:hAnsi="Cambria Math"/>
                      </w:rPr>
                    </m:ctrlPr>
                  </m:sSubSupPr>
                  <m:e>
                    <m:r>
                      <w:rPr>
                        <w:rFonts w:ascii="Cambria Math" w:hAnsi="Cambria Math"/>
                      </w:rPr>
                      <m:t>β</m:t>
                    </m:r>
                  </m:e>
                  <m:sub>
                    <m:r>
                      <m:rPr>
                        <m:sty m:val="p"/>
                      </m:rPr>
                      <w:rPr>
                        <w:rFonts w:ascii="Cambria Math" w:hAnsi="Cambria Math"/>
                      </w:rPr>
                      <m:t>rec</m:t>
                    </m:r>
                  </m:sub>
                  <m:sup>
                    <m:r>
                      <w:rPr>
                        <w:rFonts w:ascii="Cambria Math" w:hAnsi="Cambria Math"/>
                      </w:rPr>
                      <m:t>T</m:t>
                    </m:r>
                  </m:sup>
                </m:sSubSup>
              </m:oMath>
            </m:oMathPara>
          </w:p>
        </w:tc>
        <w:tc>
          <w:tcPr>
            <w:tcW w:w="2640" w:type="dxa"/>
          </w:tcPr>
          <w:p w14:paraId="2002FC4A" w14:textId="77777777" w:rsidR="00E6637B" w:rsidRDefault="00000000">
            <w:pPr>
              <w:pStyle w:val="Compact"/>
            </w:pPr>
            <w:r>
              <w:t>Temporal-context reinstatement after recall</w:t>
            </w:r>
          </w:p>
        </w:tc>
        <w:tc>
          <w:tcPr>
            <w:tcW w:w="2640" w:type="dxa"/>
          </w:tcPr>
          <w:p w14:paraId="2D956605" w14:textId="77777777" w:rsidR="00E6637B" w:rsidRDefault="00000000">
            <w:pPr>
              <w:pStyle w:val="Compact"/>
            </w:pPr>
            <m:oMathPara>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tc>
      </w:tr>
      <w:tr w:rsidR="00E6637B" w14:paraId="660D179F" w14:textId="77777777">
        <w:tc>
          <w:tcPr>
            <w:tcW w:w="2640" w:type="dxa"/>
          </w:tcPr>
          <w:p w14:paraId="22F7BA42" w14:textId="77777777" w:rsidR="00E6637B" w:rsidRDefault="00000000">
            <w:pPr>
              <w:pStyle w:val="Compact"/>
            </w:pPr>
            <m:oMathPara>
              <m:oMath>
                <m:sSubSup>
                  <m:sSubSupPr>
                    <m:ctrlPr>
                      <w:rPr>
                        <w:rFonts w:ascii="Cambria Math" w:hAnsi="Cambria Math"/>
                      </w:rPr>
                    </m:ctrlPr>
                  </m:sSubSupPr>
                  <m:e>
                    <m:r>
                      <w:rPr>
                        <w:rFonts w:ascii="Cambria Math" w:hAnsi="Cambria Math"/>
                      </w:rPr>
                      <m:t>β</m:t>
                    </m:r>
                  </m:e>
                  <m:sub>
                    <m:r>
                      <m:rPr>
                        <m:sty m:val="p"/>
                      </m:rPr>
                      <w:rPr>
                        <w:rFonts w:ascii="Cambria Math" w:hAnsi="Cambria Math"/>
                      </w:rPr>
                      <m:t>rec</m:t>
                    </m:r>
                  </m:sub>
                  <m:sup>
                    <m:r>
                      <w:rPr>
                        <w:rFonts w:ascii="Cambria Math" w:hAnsi="Cambria Math"/>
                      </w:rPr>
                      <m:t>S</m:t>
                    </m:r>
                  </m:sup>
                </m:sSubSup>
              </m:oMath>
            </m:oMathPara>
          </w:p>
        </w:tc>
        <w:tc>
          <w:tcPr>
            <w:tcW w:w="2640" w:type="dxa"/>
          </w:tcPr>
          <w:p w14:paraId="14B145C7" w14:textId="77777777" w:rsidR="00E6637B" w:rsidRDefault="00000000">
            <w:pPr>
              <w:pStyle w:val="Compact"/>
            </w:pPr>
            <w:r>
              <w:t>Source-context reinstatement after recall</w:t>
            </w:r>
          </w:p>
        </w:tc>
        <w:tc>
          <w:tcPr>
            <w:tcW w:w="2640" w:type="dxa"/>
          </w:tcPr>
          <w:p w14:paraId="6FCEA7ED" w14:textId="77777777" w:rsidR="00E6637B" w:rsidRDefault="00000000">
            <w:pPr>
              <w:pStyle w:val="Compact"/>
            </w:pPr>
            <m:oMath>
              <m:r>
                <w:rPr>
                  <w:rFonts w:ascii="Cambria Math" w:hAnsi="Cambria Math"/>
                </w:rPr>
                <m:t>1</m:t>
              </m:r>
            </m:oMath>
            <w:r>
              <w:t xml:space="preserve"> (fixed)</w:t>
            </w:r>
          </w:p>
        </w:tc>
      </w:tr>
      <w:tr w:rsidR="00E6637B" w14:paraId="5C025F29" w14:textId="77777777">
        <w:tc>
          <w:tcPr>
            <w:tcW w:w="2640" w:type="dxa"/>
          </w:tcPr>
          <w:p w14:paraId="1F501797" w14:textId="77777777" w:rsidR="00E6637B" w:rsidRDefault="00000000">
            <w:pPr>
              <w:pStyle w:val="Compact"/>
            </w:pPr>
            <m:oMathPara>
              <m:oMath>
                <m:r>
                  <w:rPr>
                    <w:rFonts w:ascii="Cambria Math" w:hAnsi="Cambria Math"/>
                  </w:rPr>
                  <m:t>α</m:t>
                </m:r>
              </m:oMath>
            </m:oMathPara>
          </w:p>
        </w:tc>
        <w:tc>
          <w:tcPr>
            <w:tcW w:w="2640" w:type="dxa"/>
          </w:tcPr>
          <w:p w14:paraId="5EA5B3C0" w14:textId="77777777" w:rsidR="00E6637B" w:rsidRDefault="00000000">
            <w:pPr>
              <w:pStyle w:val="Compact"/>
            </w:pPr>
            <w:r>
              <w:t>Shared pre-experimental context-to-item support</w:t>
            </w:r>
          </w:p>
        </w:tc>
        <w:tc>
          <w:tcPr>
            <w:tcW w:w="2640" w:type="dxa"/>
          </w:tcPr>
          <w:p w14:paraId="15EDB9EC" w14:textId="77777777" w:rsidR="00E6637B" w:rsidRDefault="00000000">
            <w:pPr>
              <w:pStyle w:val="Compac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100</m:t>
                </m:r>
                <m:r>
                  <m:rPr>
                    <m:sty m:val="p"/>
                  </m:rPr>
                  <w:rPr>
                    <w:rFonts w:ascii="Cambria Math" w:hAnsi="Cambria Math"/>
                  </w:rPr>
                  <m:t>]</m:t>
                </m:r>
              </m:oMath>
            </m:oMathPara>
          </w:p>
        </w:tc>
      </w:tr>
      <w:tr w:rsidR="00E6637B" w14:paraId="396780A9" w14:textId="77777777">
        <w:tc>
          <w:tcPr>
            <w:tcW w:w="2640" w:type="dxa"/>
          </w:tcPr>
          <w:p w14:paraId="62098C39" w14:textId="77777777" w:rsidR="00E6637B" w:rsidRDefault="00000000">
            <w:pPr>
              <w:pStyle w:val="Compact"/>
            </w:pPr>
            <m:oMathPara>
              <m:oMath>
                <m:r>
                  <w:rPr>
                    <w:rFonts w:ascii="Cambria Math" w:hAnsi="Cambria Math"/>
                  </w:rPr>
                  <m:t>δ</m:t>
                </m:r>
              </m:oMath>
            </m:oMathPara>
          </w:p>
        </w:tc>
        <w:tc>
          <w:tcPr>
            <w:tcW w:w="2640" w:type="dxa"/>
          </w:tcPr>
          <w:p w14:paraId="235548DD" w14:textId="77777777" w:rsidR="00E6637B" w:rsidRDefault="00000000">
            <w:pPr>
              <w:pStyle w:val="Compact"/>
            </w:pPr>
            <w:r>
              <w:t>Item-specific pre-experimental context-to-item support</w:t>
            </w:r>
          </w:p>
        </w:tc>
        <w:tc>
          <w:tcPr>
            <w:tcW w:w="2640" w:type="dxa"/>
          </w:tcPr>
          <w:p w14:paraId="19D91E2E" w14:textId="77777777" w:rsidR="00E6637B" w:rsidRDefault="00000000">
            <w:pPr>
              <w:pStyle w:val="Compac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100</m:t>
                </m:r>
                <m:r>
                  <m:rPr>
                    <m:sty m:val="p"/>
                  </m:rPr>
                  <w:rPr>
                    <w:rFonts w:ascii="Cambria Math" w:hAnsi="Cambria Math"/>
                  </w:rPr>
                  <m:t>]</m:t>
                </m:r>
              </m:oMath>
            </m:oMathPara>
          </w:p>
        </w:tc>
      </w:tr>
      <w:tr w:rsidR="00E6637B" w14:paraId="5A536710" w14:textId="77777777">
        <w:tc>
          <w:tcPr>
            <w:tcW w:w="2640" w:type="dxa"/>
          </w:tcPr>
          <w:p w14:paraId="52BFA4D7" w14:textId="77777777" w:rsidR="00E6637B" w:rsidRDefault="00000000">
            <w:pPr>
              <w:pStyle w:val="Compact"/>
            </w:pPr>
            <m:oMathPara>
              <m:oMath>
                <m:r>
                  <w:rPr>
                    <w:rFonts w:ascii="Cambria Math" w:hAnsi="Cambria Math"/>
                  </w:rPr>
                  <m:t>γ</m:t>
                </m:r>
              </m:oMath>
            </m:oMathPara>
          </w:p>
        </w:tc>
        <w:tc>
          <w:tcPr>
            <w:tcW w:w="2640" w:type="dxa"/>
          </w:tcPr>
          <w:p w14:paraId="1D23B6F5" w14:textId="77777777" w:rsidR="00E6637B" w:rsidRDefault="00000000">
            <w:pPr>
              <w:pStyle w:val="Compact"/>
            </w:pPr>
            <w:r>
              <w:t>Feature-to-context learning rate</w:t>
            </w:r>
          </w:p>
        </w:tc>
        <w:tc>
          <w:tcPr>
            <w:tcW w:w="2640" w:type="dxa"/>
          </w:tcPr>
          <w:p w14:paraId="7E2E893A" w14:textId="77777777" w:rsidR="00E6637B" w:rsidRDefault="00000000">
            <w:pPr>
              <w:pStyle w:val="Compact"/>
            </w:pPr>
            <m:oMathPara>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tc>
      </w:tr>
      <w:tr w:rsidR="00E6637B" w14:paraId="2D433FF1" w14:textId="77777777">
        <w:tc>
          <w:tcPr>
            <w:tcW w:w="2640" w:type="dxa"/>
          </w:tcPr>
          <w:p w14:paraId="4CA5A75B" w14:textId="77777777" w:rsidR="00E6637B" w:rsidRDefault="00000000">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s</m:t>
                    </m:r>
                  </m:sub>
                </m:sSub>
              </m:oMath>
            </m:oMathPara>
          </w:p>
        </w:tc>
        <w:tc>
          <w:tcPr>
            <w:tcW w:w="2640" w:type="dxa"/>
          </w:tcPr>
          <w:p w14:paraId="0A122009" w14:textId="77777777" w:rsidR="00E6637B" w:rsidRDefault="00000000">
            <w:pPr>
              <w:pStyle w:val="Compact"/>
            </w:pPr>
            <w:r>
              <w:t>Primacy scale</w:t>
            </w:r>
          </w:p>
        </w:tc>
        <w:tc>
          <w:tcPr>
            <w:tcW w:w="2640" w:type="dxa"/>
          </w:tcPr>
          <w:p w14:paraId="7463A1CE" w14:textId="77777777" w:rsidR="00E6637B" w:rsidRDefault="00000000">
            <w:pPr>
              <w:pStyle w:val="Compac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100</m:t>
                </m:r>
                <m:r>
                  <m:rPr>
                    <m:sty m:val="p"/>
                  </m:rPr>
                  <w:rPr>
                    <w:rFonts w:ascii="Cambria Math" w:hAnsi="Cambria Math"/>
                  </w:rPr>
                  <m:t>]</m:t>
                </m:r>
              </m:oMath>
            </m:oMathPara>
          </w:p>
        </w:tc>
      </w:tr>
      <w:tr w:rsidR="00E6637B" w14:paraId="6EFEFD90" w14:textId="77777777">
        <w:tc>
          <w:tcPr>
            <w:tcW w:w="2640" w:type="dxa"/>
          </w:tcPr>
          <w:p w14:paraId="07F8CDCE" w14:textId="77777777" w:rsidR="00E6637B" w:rsidRDefault="00000000">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d</m:t>
                    </m:r>
                  </m:sub>
                </m:sSub>
              </m:oMath>
            </m:oMathPara>
          </w:p>
        </w:tc>
        <w:tc>
          <w:tcPr>
            <w:tcW w:w="2640" w:type="dxa"/>
          </w:tcPr>
          <w:p w14:paraId="6EFC15B9" w14:textId="77777777" w:rsidR="00E6637B" w:rsidRDefault="00000000">
            <w:pPr>
              <w:pStyle w:val="Compact"/>
            </w:pPr>
            <w:r>
              <w:t>Primacy decay</w:t>
            </w:r>
          </w:p>
        </w:tc>
        <w:tc>
          <w:tcPr>
            <w:tcW w:w="2640" w:type="dxa"/>
          </w:tcPr>
          <w:p w14:paraId="57DA5BC2" w14:textId="77777777" w:rsidR="00E6637B" w:rsidRDefault="00000000">
            <w:pPr>
              <w:pStyle w:val="Compac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100</m:t>
                </m:r>
                <m:r>
                  <m:rPr>
                    <m:sty m:val="p"/>
                  </m:rPr>
                  <w:rPr>
                    <w:rFonts w:ascii="Cambria Math" w:hAnsi="Cambria Math"/>
                  </w:rPr>
                  <m:t>]</m:t>
                </m:r>
              </m:oMath>
            </m:oMathPara>
          </w:p>
        </w:tc>
      </w:tr>
      <w:tr w:rsidR="00E6637B" w14:paraId="47164FE6" w14:textId="77777777">
        <w:tc>
          <w:tcPr>
            <w:tcW w:w="2640" w:type="dxa"/>
          </w:tcPr>
          <w:p w14:paraId="47526038" w14:textId="77777777" w:rsidR="00E6637B" w:rsidRDefault="00000000">
            <w:pPr>
              <w:pStyle w:val="Compact"/>
            </w:pPr>
            <m:oMathPara>
              <m:oMath>
                <m:sSub>
                  <m:sSubPr>
                    <m:ctrlPr>
                      <w:rPr>
                        <w:rFonts w:ascii="Cambria Math" w:hAnsi="Cambria Math"/>
                      </w:rPr>
                    </m:ctrlPr>
                  </m:sSubPr>
                  <m:e>
                    <m:r>
                      <w:rPr>
                        <w:rFonts w:ascii="Cambria Math" w:hAnsi="Cambria Math"/>
                      </w:rPr>
                      <m:t>τ</m:t>
                    </m:r>
                  </m:e>
                  <m:sub>
                    <m:r>
                      <w:rPr>
                        <w:rFonts w:ascii="Cambria Math" w:hAnsi="Cambria Math"/>
                      </w:rPr>
                      <m:t>c</m:t>
                    </m:r>
                  </m:sub>
                </m:sSub>
              </m:oMath>
            </m:oMathPara>
          </w:p>
        </w:tc>
        <w:tc>
          <w:tcPr>
            <w:tcW w:w="2640" w:type="dxa"/>
          </w:tcPr>
          <w:p w14:paraId="3E421531" w14:textId="77777777" w:rsidR="00E6637B" w:rsidRDefault="00000000">
            <w:pPr>
              <w:pStyle w:val="Compact"/>
            </w:pPr>
            <w:r>
              <w:t>Recall-choice sensitivity</w:t>
            </w:r>
          </w:p>
        </w:tc>
        <w:tc>
          <w:tcPr>
            <w:tcW w:w="2640" w:type="dxa"/>
          </w:tcPr>
          <w:p w14:paraId="0833D245" w14:textId="77777777" w:rsidR="00E6637B" w:rsidRDefault="00000000">
            <w:pPr>
              <w:pStyle w:val="Compac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100</m:t>
                </m:r>
                <m:r>
                  <m:rPr>
                    <m:sty m:val="p"/>
                  </m:rPr>
                  <w:rPr>
                    <w:rFonts w:ascii="Cambria Math" w:hAnsi="Cambria Math"/>
                  </w:rPr>
                  <m:t>]</m:t>
                </m:r>
              </m:oMath>
            </m:oMathPara>
          </w:p>
        </w:tc>
      </w:tr>
      <w:tr w:rsidR="00E6637B" w14:paraId="697F184C" w14:textId="77777777">
        <w:tc>
          <w:tcPr>
            <w:tcW w:w="2640" w:type="dxa"/>
          </w:tcPr>
          <w:p w14:paraId="3E03F230" w14:textId="77777777" w:rsidR="00E6637B" w:rsidRDefault="00000000">
            <w:pPr>
              <w:pStyle w:val="Compact"/>
            </w:pPr>
            <m:oMathPara>
              <m:oMath>
                <m:r>
                  <w:rPr>
                    <w:rFonts w:ascii="Cambria Math" w:hAnsi="Cambria Math"/>
                  </w:rPr>
                  <m:t>ω</m:t>
                </m:r>
              </m:oMath>
            </m:oMathPara>
          </w:p>
        </w:tc>
        <w:tc>
          <w:tcPr>
            <w:tcW w:w="2640" w:type="dxa"/>
          </w:tcPr>
          <w:p w14:paraId="386EE7CA" w14:textId="77777777" w:rsidR="00E6637B" w:rsidRDefault="00000000">
            <w:pPr>
              <w:pStyle w:val="Compact"/>
            </w:pPr>
            <w:r>
              <w:t>Source learning relative to temporal learning</w:t>
            </w:r>
          </w:p>
        </w:tc>
        <w:tc>
          <w:tcPr>
            <w:tcW w:w="2640" w:type="dxa"/>
          </w:tcPr>
          <w:p w14:paraId="11BF0DBF" w14:textId="77777777" w:rsidR="00E6637B" w:rsidRDefault="00000000">
            <w:pPr>
              <w:pStyle w:val="Compac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r>
                  <m:rPr>
                    <m:sty m:val="p"/>
                  </m:rPr>
                  <w:rPr>
                    <w:rFonts w:ascii="Cambria Math" w:hAnsi="Cambria Math"/>
                  </w:rPr>
                  <m:t>]</m:t>
                </m:r>
              </m:oMath>
            </m:oMathPara>
          </w:p>
        </w:tc>
      </w:tr>
      <w:tr w:rsidR="00E6637B" w14:paraId="4D3E9060" w14:textId="77777777">
        <w:tc>
          <w:tcPr>
            <w:tcW w:w="2640" w:type="dxa"/>
          </w:tcPr>
          <w:p w14:paraId="4BD4197D" w14:textId="77777777" w:rsidR="00E6637B" w:rsidRDefault="00000000">
            <w:pPr>
              <w:pStyle w:val="Compact"/>
            </w:pPr>
            <m:oMathPara>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m:oMathPara>
          </w:p>
        </w:tc>
        <w:tc>
          <w:tcPr>
            <w:tcW w:w="2640" w:type="dxa"/>
          </w:tcPr>
          <w:p w14:paraId="22E2B03F" w14:textId="77777777" w:rsidR="00E6637B" w:rsidRDefault="00000000">
            <w:pPr>
              <w:pStyle w:val="Compact"/>
            </w:pPr>
            <w:r>
              <w:t>Emotional-learning multiplier for negative items</w:t>
            </w:r>
          </w:p>
        </w:tc>
        <w:tc>
          <w:tcPr>
            <w:tcW w:w="2640" w:type="dxa"/>
          </w:tcPr>
          <w:p w14:paraId="6D902093" w14:textId="77777777" w:rsidR="00E6637B" w:rsidRDefault="00000000">
            <w:pPr>
              <w:pStyle w:val="Compact"/>
            </w:pPr>
            <m:oMath>
              <m:r>
                <w:rPr>
                  <w:rFonts w:ascii="Cambria Math" w:hAnsi="Cambria Math"/>
                </w:rPr>
                <m:t>1</m:t>
              </m:r>
            </m:oMath>
            <w:r>
              <w:t xml:space="preserve"> (fixed) or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r>
                <m:rPr>
                  <m:sty m:val="p"/>
                </m:rPr>
                <w:rPr>
                  <w:rFonts w:ascii="Cambria Math" w:hAnsi="Cambria Math"/>
                </w:rPr>
                <m:t>]</m:t>
              </m:r>
            </m:oMath>
          </w:p>
        </w:tc>
      </w:tr>
      <w:tr w:rsidR="00E6637B" w14:paraId="2B52050E" w14:textId="77777777">
        <w:tc>
          <w:tcPr>
            <w:tcW w:w="2640" w:type="dxa"/>
          </w:tcPr>
          <w:p w14:paraId="74359F25" w14:textId="77777777" w:rsidR="00E6637B" w:rsidRDefault="00000000">
            <w:pPr>
              <w:pStyle w:val="Compact"/>
            </w:pPr>
            <m:oMathPara>
              <m:oMath>
                <m:r>
                  <w:rPr>
                    <w:rFonts w:ascii="Cambria Math" w:hAnsi="Cambria Math"/>
                  </w:rPr>
                  <w:lastRenderedPageBreak/>
                  <m:t>κ</m:t>
                </m:r>
              </m:oMath>
            </m:oMathPara>
          </w:p>
        </w:tc>
        <w:tc>
          <w:tcPr>
            <w:tcW w:w="2640" w:type="dxa"/>
          </w:tcPr>
          <w:p w14:paraId="48273A57" w14:textId="77777777" w:rsidR="00E6637B" w:rsidRDefault="00000000">
            <w:pPr>
              <w:pStyle w:val="Compact"/>
            </w:pPr>
            <w:r>
              <w:t>General Early-LPP slope on log learning strength</w:t>
            </w:r>
          </w:p>
        </w:tc>
        <w:tc>
          <w:tcPr>
            <w:tcW w:w="2640" w:type="dxa"/>
          </w:tcPr>
          <w:p w14:paraId="23F5E4AA" w14:textId="77777777" w:rsidR="00E6637B" w:rsidRDefault="00000000">
            <w:pPr>
              <w:pStyle w:val="Compact"/>
            </w:pPr>
            <m:oMath>
              <m:r>
                <w:rPr>
                  <w:rFonts w:ascii="Cambria Math" w:hAnsi="Cambria Math"/>
                </w:rPr>
                <m:t>0</m:t>
              </m:r>
            </m:oMath>
            <w:r>
              <w:t xml:space="preserve"> (fixed) or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0.2145</m:t>
                  </m:r>
                </m:e>
              </m:d>
            </m:oMath>
          </w:p>
        </w:tc>
      </w:tr>
      <w:tr w:rsidR="00E6637B" w14:paraId="34515C94" w14:textId="77777777">
        <w:tc>
          <w:tcPr>
            <w:tcW w:w="2640" w:type="dxa"/>
          </w:tcPr>
          <w:p w14:paraId="0498C5E1" w14:textId="77777777" w:rsidR="00E6637B" w:rsidRDefault="00000000">
            <w:pPr>
              <w:pStyle w:val="Compact"/>
            </w:pPr>
            <m:oMathPara>
              <m:oMath>
                <m:sSub>
                  <m:sSubPr>
                    <m:ctrlPr>
                      <w:rPr>
                        <w:rFonts w:ascii="Cambria Math" w:hAnsi="Cambria Math"/>
                      </w:rPr>
                    </m:ctrlPr>
                  </m:sSubPr>
                  <m:e>
                    <m:r>
                      <w:rPr>
                        <w:rFonts w:ascii="Cambria Math" w:hAnsi="Cambria Math"/>
                      </w:rPr>
                      <m:t>κ</m:t>
                    </m:r>
                  </m:e>
                  <m:sub>
                    <m:r>
                      <m:rPr>
                        <m:sty m:val="p"/>
                      </m:rPr>
                      <w:rPr>
                        <w:rFonts w:ascii="Cambria Math" w:hAnsi="Cambria Math"/>
                      </w:rPr>
                      <m:t>emot</m:t>
                    </m:r>
                  </m:sub>
                </m:sSub>
              </m:oMath>
            </m:oMathPara>
          </w:p>
        </w:tc>
        <w:tc>
          <w:tcPr>
            <w:tcW w:w="2640" w:type="dxa"/>
          </w:tcPr>
          <w:p w14:paraId="73EBE967" w14:textId="77777777" w:rsidR="00E6637B" w:rsidRDefault="00000000">
            <w:pPr>
              <w:pStyle w:val="Compact"/>
            </w:pPr>
            <w:r>
              <w:t xml:space="preserve">Additional negative-item Early-LPP slope; when </w:t>
            </w:r>
            <m:oMath>
              <m:r>
                <w:rPr>
                  <w:rFonts w:ascii="Cambria Math" w:hAnsi="Cambria Math"/>
                </w:rPr>
                <m:t>κ</m:t>
              </m:r>
              <m:r>
                <m:rPr>
                  <m:sty m:val="p"/>
                </m:rPr>
                <w:rPr>
                  <w:rFonts w:ascii="Cambria Math" w:hAnsi="Cambria Math"/>
                </w:rPr>
                <m:t>=</m:t>
              </m:r>
              <m:r>
                <w:rPr>
                  <w:rFonts w:ascii="Cambria Math" w:hAnsi="Cambria Math"/>
                </w:rPr>
                <m:t>0</m:t>
              </m:r>
            </m:oMath>
            <w:r>
              <w:t>, the entire negative-item slope</w:t>
            </w:r>
          </w:p>
        </w:tc>
        <w:tc>
          <w:tcPr>
            <w:tcW w:w="2640" w:type="dxa"/>
          </w:tcPr>
          <w:p w14:paraId="3C661C1D" w14:textId="77777777" w:rsidR="00E6637B" w:rsidRDefault="00000000">
            <w:pPr>
              <w:pStyle w:val="Compact"/>
            </w:pPr>
            <m:oMath>
              <m:r>
                <w:rPr>
                  <w:rFonts w:ascii="Cambria Math" w:hAnsi="Cambria Math"/>
                </w:rPr>
                <m:t>0</m:t>
              </m:r>
            </m:oMath>
            <w:r>
              <w:t xml:space="preserve"> (fixed) or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0.2145</m:t>
                  </m:r>
                </m:e>
              </m:d>
            </m:oMath>
          </w:p>
        </w:tc>
      </w:tr>
    </w:tbl>
    <w:bookmarkEnd w:id="8"/>
    <w:p w14:paraId="30595DA7" w14:textId="77777777" w:rsidR="00E6637B" w:rsidRDefault="00000000">
      <w:pPr>
        <w:pStyle w:val="AfterWithoutNote"/>
      </w:pPr>
      <w:r>
        <w:t>The grid estimates one Early-LPP coefficient at a time and therefore does not test for a residual General slope after an Emotion-dependent slope is included. It also holds the source-context pathway fixed and cannot establish that the predictive Early-LPP relationship is specific to source rather than temporal learning. Having defined the alternatives, we next describe the common evidence used to compare them.</w:t>
      </w:r>
    </w:p>
    <w:p w14:paraId="6F6A98DF" w14:textId="77777777" w:rsidR="00E6637B" w:rsidRDefault="00000000">
      <w:pPr>
        <w:pStyle w:val="Heading3"/>
      </w:pPr>
      <w:bookmarkStart w:id="9" w:name="pooled-estimation-and-evaluation"/>
      <w:bookmarkEnd w:id="6"/>
      <w:r>
        <w:t>Pooled estimation and evaluation</w:t>
      </w:r>
    </w:p>
    <w:p w14:paraId="67778E9B" w14:textId="77777777" w:rsidR="00E6637B" w:rsidRDefault="00000000">
      <w:pPr>
        <w:pStyle w:val="FirstParagraph"/>
      </w:pPr>
      <w:r>
        <w:t>The modeling dataset matched all 6,840 study events to recall outcomes and the Early-LPP values described in the preceding EEG methods. Values missing for 371 events (5.4%) were imputed without using recall status: first from the same condition on the participant’s list, then from the complete list, and finally from the dataset-wide condition mean. Each model used one parameter vector shared across all 342 lists from 38 participants; the analysis therefore estimates a pooled pattern rather than participant-specific mechanisms.</w:t>
      </w:r>
    </w:p>
    <w:p w14:paraId="70A6CA37" w14:textId="77777777" w:rsidR="00E6637B" w:rsidRDefault="00000000">
      <w:pPr>
        <w:pStyle w:val="BodyText"/>
      </w:pPr>
      <w:r>
        <w:t xml:space="preserve">The records identified each list’s recalled items but not their output order. Let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S</m:t>
                </m:r>
              </m:e>
              <m:sub>
                <m:r>
                  <w:rPr>
                    <w:rFonts w:ascii="Cambria Math" w:hAnsi="Cambria Math"/>
                  </w:rPr>
                  <m:t>j</m:t>
                </m:r>
              </m:sub>
            </m:sSub>
          </m:e>
        </m:d>
      </m:oMath>
      <w:r>
        <w:t xml:space="preserve"> be the number of items in recalled set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j</m:t>
            </m:r>
          </m:sub>
        </m:sSub>
      </m:oMath>
      <w:r>
        <w:t xml:space="preserve">, let </w:t>
      </w:r>
      <m:oMath>
        <m:sSub>
          <m:sSubPr>
            <m:ctrlPr>
              <w:rPr>
                <w:rFonts w:ascii="Cambria Math" w:hAnsi="Cambria Math"/>
              </w:rPr>
            </m:ctrlPr>
          </m:sSubPr>
          <m:e>
            <m:r>
              <w:rPr>
                <w:rFonts w:ascii="Cambria Math" w:hAnsi="Cambria Math"/>
              </w:rPr>
              <m:t>π</m:t>
            </m:r>
          </m:e>
          <m:sub>
            <m:r>
              <w:rPr>
                <w:rFonts w:ascii="Cambria Math" w:hAnsi="Cambria Math"/>
              </w:rPr>
              <m:t>jk</m:t>
            </m:r>
          </m:sub>
        </m:sSub>
      </m:oMath>
      <w:r>
        <w:t xml:space="preserve"> be its </w:t>
      </w:r>
      <m:oMath>
        <m:r>
          <w:rPr>
            <w:rFonts w:ascii="Cambria Math" w:hAnsi="Cambria Math"/>
          </w:rPr>
          <m:t>k</m:t>
        </m:r>
      </m:oMath>
      <w:r>
        <w:t xml:space="preserve">th sampled order, and let </w:t>
      </w:r>
      <m:oMath>
        <m:r>
          <m:rPr>
            <m:sty m:val="b"/>
          </m:rPr>
          <w:rPr>
            <w:rFonts w:ascii="Cambria Math" w:hAnsi="Cambria Math"/>
          </w:rPr>
          <m:t>θ</m:t>
        </m:r>
      </m:oMath>
      <w:r>
        <w:t xml:space="preserve"> be the model parameters. Because reinstatement makes eCMR sequence-dependent, we approximated the evidence for each set by averaging the probabilities of </w:t>
      </w:r>
      <m:oMath>
        <m:r>
          <w:rPr>
            <w:rFonts w:ascii="Cambria Math" w:hAnsi="Cambria Math"/>
          </w:rPr>
          <m:t>K</m:t>
        </m:r>
        <m:r>
          <m:rPr>
            <m:sty m:val="p"/>
          </m:rPr>
          <w:rPr>
            <w:rFonts w:ascii="Cambria Math" w:hAnsi="Cambria Math"/>
          </w:rPr>
          <m:t>=</m:t>
        </m:r>
        <m:r>
          <w:rPr>
            <w:rFonts w:ascii="Cambria Math" w:hAnsi="Cambria Math"/>
          </w:rPr>
          <m:t>50</m:t>
        </m:r>
      </m:oMath>
      <w:r>
        <w:t xml:space="preserve"> fixed sampled orders:</w:t>
      </w:r>
    </w:p>
    <w:p w14:paraId="49A88E20" w14:textId="77777777" w:rsidR="00E6637B" w:rsidRDefault="00000000">
      <w:pPr>
        <w:pStyle w:val="BodyText"/>
      </w:pPr>
      <m:oMathPara>
        <m:oMathParaPr>
          <m:jc m:val="center"/>
        </m:oMathParaP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S</m:t>
                  </m:r>
                </m:e>
                <m:sub>
                  <m:r>
                    <w:rPr>
                      <w:rFonts w:ascii="Cambria Math" w:hAnsi="Cambria Math"/>
                    </w:rPr>
                    <m:t>j</m:t>
                  </m:r>
                </m:sub>
              </m:sSub>
              <m:r>
                <m:rPr>
                  <m:sty m:val="p"/>
                </m:rPr>
                <w:rPr>
                  <w:rFonts w:ascii="Cambria Math" w:hAnsi="Cambria Math"/>
                </w:rPr>
                <m:t>∣</m:t>
              </m:r>
              <m:r>
                <m:rPr>
                  <m:sty m:val="b"/>
                </m:rP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j</m:t>
                      </m:r>
                    </m:sub>
                  </m:sSub>
                </m:sup>
                <m:e>
                  <m:r>
                    <w:rPr>
                      <w:rFonts w:ascii="Cambria Math" w:hAnsi="Cambria Math"/>
                    </w:rPr>
                    <m:t>P</m:t>
                  </m:r>
                </m:e>
              </m:nary>
            </m:e>
          </m:nary>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jt</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jk</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jk</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b>
              </m:sSub>
              <m:r>
                <m:rPr>
                  <m:sty m:val="p"/>
                </m:rPr>
                <w:rPr>
                  <w:rFonts w:ascii="Cambria Math" w:hAnsi="Cambria Math"/>
                </w:rPr>
                <m:t>,</m:t>
              </m:r>
              <m:r>
                <m:rPr>
                  <m:sty m:val="b"/>
                </m:rPr>
                <w:rPr>
                  <w:rFonts w:ascii="Cambria Math" w:hAnsi="Cambria Math"/>
                </w:rPr>
                <m:t>θ</m:t>
              </m:r>
            </m:e>
          </m:d>
          <m:r>
            <m:rPr>
              <m:sty m:val="p"/>
            </m:rPr>
            <w:rPr>
              <w:rFonts w:ascii="Cambria Math" w:hAnsi="Cambria Math"/>
            </w:rPr>
            <m:t>.</m:t>
          </m:r>
        </m:oMath>
      </m:oMathPara>
    </w:p>
    <w:p w14:paraId="62613BE9" w14:textId="77777777" w:rsidR="00E6637B" w:rsidRDefault="00000000">
      <w:pPr>
        <w:pStyle w:val="FirstParagraph"/>
      </w:pPr>
      <w:r>
        <w:lastRenderedPageBreak/>
        <w:t xml:space="preserve">Each product is one possible recall sequence and the outer average combines the sampled sequences. The omitted factor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t xml:space="preserve"> depends only on the observed set size, so it adds the same constant to every negative log-likelihood (NLL) and does not change parameter estimates or model rankings. Every model used the same sampled orders and random seed. Because the likelihood also excluded termination, it predicts recalled-item identity conditional on the observed number of recalls rather than explaining how many items were recalled.</w:t>
      </w:r>
    </w:p>
    <w:p w14:paraId="47445520" w14:textId="77777777" w:rsidR="00E6637B" w:rsidRDefault="00000000">
      <w:pPr>
        <w:pStyle w:val="BodyText"/>
      </w:pPr>
      <w:r>
        <w:t>We minimized summed NLL with differential evolution (</w:t>
      </w:r>
      <w:hyperlink w:anchor="ref-storn1997differential">
        <w:r>
          <w:rPr>
            <w:rStyle w:val="Hyperlink"/>
          </w:rPr>
          <w:t>Storn &amp; Price, 1997</w:t>
        </w:r>
      </w:hyperlink>
      <w:r>
        <w:t xml:space="preserve">), using 15 candidate vectors per free parameter for at most 1,000 generations. Three independent starts were run for each model, and the lowest NLL was retained. Early-LPP coefficients were constrained to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0.2145</m:t>
            </m:r>
          </m:e>
        </m:d>
      </m:oMath>
      <w:r>
        <w:t xml:space="preserve"> in accordance with the directional hypothesis; the upper bound permitted a tenfold multiplier at the largest observed centered Early LPP. We compared best-found solutions using </w:t>
      </w:r>
      <m:oMath>
        <m:r>
          <m:rPr>
            <m:sty m:val="p"/>
          </m:rPr>
          <w:rPr>
            <w:rFonts w:ascii="Cambria Math" w:hAnsi="Cambria Math"/>
          </w:rPr>
          <m:t>AIC=</m:t>
        </m:r>
        <m:r>
          <w:rPr>
            <w:rFonts w:ascii="Cambria Math" w:hAnsi="Cambria Math"/>
          </w:rPr>
          <m:t>2</m:t>
        </m:r>
        <m:r>
          <m:rPr>
            <m:sty m:val="p"/>
          </m:rPr>
          <w:rPr>
            <w:rFonts w:ascii="Cambria Math" w:hAnsi="Cambria Math"/>
          </w:rPr>
          <m:t>NLL+</m:t>
        </m:r>
        <m:r>
          <w:rPr>
            <w:rFonts w:ascii="Cambria Math" w:hAnsi="Cambria Math"/>
          </w:rPr>
          <m:t>2p</m:t>
        </m:r>
      </m:oMath>
      <w:r>
        <w:t xml:space="preserve">, where </w:t>
      </w:r>
      <m:oMath>
        <m:r>
          <w:rPr>
            <w:rFonts w:ascii="Cambria Math" w:hAnsi="Cambria Math"/>
          </w:rPr>
          <m:t>p</m:t>
        </m:r>
      </m:oMath>
      <w:r>
        <w:t xml:space="preserve"> is the number of free parameters (</w:t>
      </w:r>
      <w:hyperlink w:anchor="ref-burnham2002model">
        <w:r>
          <w:rPr>
            <w:rStyle w:val="Hyperlink"/>
          </w:rPr>
          <w:t>Burnham &amp; Anderson, 2002</w:t>
        </w:r>
      </w:hyperlink>
      <w:r>
        <w:t>).</w:t>
      </w:r>
    </w:p>
    <w:p w14:paraId="238293A7" w14:textId="77777777" w:rsidR="00E6637B" w:rsidRDefault="00000000">
      <w:pPr>
        <w:pStyle w:val="BodyText"/>
      </w:pPr>
      <w:r>
        <w:t>To interpret the fit differences, we generated 200 complete datasets from each fitted model using the observed lists, Early-LPP values, and recall counts. We summarized the negative–neutral recall difference and the remembered–forgotten Early-LPP difference within each category. The latter used the original z-transformed Early-LPP values for continuity with the empirical analysis, although within-list-centered values modulated learning. These summaries were consequences of which items the model recalled, not additional fitting targets, and therefore provide explanatory diagnostics rather than out-of-sample validation.</w:t>
      </w:r>
    </w:p>
    <w:p w14:paraId="63673E24" w14:textId="77777777" w:rsidR="00E6637B" w:rsidRDefault="00000000">
      <w:pPr>
        <w:pStyle w:val="Heading2"/>
      </w:pPr>
      <w:bookmarkStart w:id="10" w:name="model-comparison-results"/>
      <w:bookmarkEnd w:id="3"/>
      <w:bookmarkEnd w:id="9"/>
      <w:r>
        <w:lastRenderedPageBreak/>
        <w:t>Model-comparison results</w:t>
      </w:r>
    </w:p>
    <w:p w14:paraId="0AC7C811" w14:textId="77777777" w:rsidR="00E6637B" w:rsidRDefault="00000000">
      <w:pPr>
        <w:pStyle w:val="Heading3"/>
      </w:pPr>
      <w:bookmarkStart w:id="11" w:name="overall-comparison"/>
      <w:r>
        <w:t>Overall comparison</w:t>
      </w:r>
    </w:p>
    <w:p w14:paraId="2D52F79D" w14:textId="77777777" w:rsidR="00E6637B" w:rsidRDefault="00000000">
      <w:pPr>
        <w:pStyle w:val="FirstParagraph"/>
      </w:pPr>
      <w:r>
        <w:t>The model combining preferential emotional learning with Emotion-dependent Early-LPP modulation had the lowest AIC (</w:t>
      </w:r>
      <w:hyperlink w:anchor="tbl-model-fit">
        <w:r>
          <w:rPr>
            <w:rStyle w:val="Hyperlink"/>
          </w:rPr>
          <w:t>Table 3</w:t>
        </w:r>
      </w:hyperlink>
      <w:r>
        <w:t>). Its best-found NLL was 8240.310 with 13 free parameters, yielding an AIC of 16506.619; the planned contrasts below explain this ranking.</w:t>
      </w:r>
    </w:p>
    <w:p w14:paraId="62F207CB" w14:textId="77777777" w:rsidR="00E6637B" w:rsidRDefault="00000000">
      <w:pPr>
        <w:pStyle w:val="FigureTitle"/>
      </w:pPr>
      <w:bookmarkStart w:id="12" w:name="tbl-model-fit"/>
      <w:r>
        <w:t>Table 3</w:t>
      </w:r>
    </w:p>
    <w:p w14:paraId="7A21D4B4" w14:textId="77777777" w:rsidR="00E6637B" w:rsidRDefault="00000000">
      <w:pPr>
        <w:pStyle w:val="Caption"/>
      </w:pPr>
      <w:r>
        <w:t xml:space="preserve">Pooled fit of the six eCMR model variants. The first two columns identify which learning mechanisms were available for estimation; they do not indicate whether either mechanism improved fit. </w:t>
      </w:r>
      <m:oMath>
        <m:r>
          <w:rPr>
            <w:rFonts w:ascii="Cambria Math" w:hAnsi="Cambria Math"/>
          </w:rPr>
          <m:t>p</m:t>
        </m:r>
      </m:oMath>
      <w:r>
        <w:t xml:space="preserve"> is the number of free parameters; NLL is the best-found negative log-likelihood across three differential-evolution starts; </w:t>
      </w:r>
      <m:oMath>
        <m:r>
          <w:rPr>
            <w:rFonts w:ascii="Cambria Math" w:hAnsi="Cambria Math"/>
          </w:rPr>
          <m:t>Δ</m:t>
        </m:r>
      </m:oMath>
      <w:r>
        <w:t>AIC is relative to the lowest-AIC model. Bold values identify the best-fitting model.</w:t>
      </w:r>
    </w:p>
    <w:tbl>
      <w:tblPr>
        <w:tblStyle w:val="Table"/>
        <w:tblW w:w="5000" w:type="pct"/>
        <w:tblLayout w:type="fixed"/>
        <w:tblLook w:val="0020" w:firstRow="1" w:lastRow="0" w:firstColumn="0" w:lastColumn="0" w:noHBand="0" w:noVBand="0"/>
      </w:tblPr>
      <w:tblGrid>
        <w:gridCol w:w="1970"/>
        <w:gridCol w:w="1478"/>
        <w:gridCol w:w="1478"/>
        <w:gridCol w:w="1478"/>
        <w:gridCol w:w="1478"/>
        <w:gridCol w:w="1478"/>
      </w:tblGrid>
      <w:tr w:rsidR="00E6637B" w14:paraId="11C624F6" w14:textId="77777777" w:rsidTr="00E6637B">
        <w:trPr>
          <w:cnfStyle w:val="100000000000" w:firstRow="1" w:lastRow="0" w:firstColumn="0" w:lastColumn="0" w:oddVBand="0" w:evenVBand="0" w:oddHBand="0" w:evenHBand="0" w:firstRowFirstColumn="0" w:firstRowLastColumn="0" w:lastRowFirstColumn="0" w:lastRowLastColumn="0"/>
          <w:tblHeader/>
        </w:trPr>
        <w:tc>
          <w:tcPr>
            <w:tcW w:w="1667" w:type="dxa"/>
          </w:tcPr>
          <w:p w14:paraId="7EE9F50C" w14:textId="77777777" w:rsidR="00E6637B" w:rsidRDefault="00000000">
            <w:pPr>
              <w:pStyle w:val="Compact"/>
              <w:jc w:val="center"/>
            </w:pPr>
            <w:r>
              <w:t>Emotion-based learning boost</w:t>
            </w:r>
          </w:p>
        </w:tc>
        <w:tc>
          <w:tcPr>
            <w:tcW w:w="1250" w:type="dxa"/>
          </w:tcPr>
          <w:p w14:paraId="706AD0B5" w14:textId="77777777" w:rsidR="00E6637B" w:rsidRDefault="00000000">
            <w:pPr>
              <w:pStyle w:val="Compact"/>
            </w:pPr>
            <w:r>
              <w:t>LPP-based learning boost</w:t>
            </w:r>
          </w:p>
        </w:tc>
        <w:tc>
          <w:tcPr>
            <w:tcW w:w="1250" w:type="dxa"/>
          </w:tcPr>
          <w:p w14:paraId="4CD599A1" w14:textId="77777777" w:rsidR="00E6637B" w:rsidRDefault="00000000">
            <w:pPr>
              <w:pStyle w:val="Compact"/>
              <w:jc w:val="right"/>
            </w:pPr>
            <m:oMathPara>
              <m:oMath>
                <m:r>
                  <w:rPr>
                    <w:rFonts w:ascii="Cambria Math" w:hAnsi="Cambria Math"/>
                  </w:rPr>
                  <m:t>p</m:t>
                </m:r>
              </m:oMath>
            </m:oMathPara>
          </w:p>
        </w:tc>
        <w:tc>
          <w:tcPr>
            <w:tcW w:w="1250" w:type="dxa"/>
          </w:tcPr>
          <w:p w14:paraId="3973824A" w14:textId="77777777" w:rsidR="00E6637B" w:rsidRDefault="00000000">
            <w:pPr>
              <w:pStyle w:val="Compact"/>
              <w:jc w:val="right"/>
            </w:pPr>
            <w:r>
              <w:t>NLL</w:t>
            </w:r>
          </w:p>
        </w:tc>
        <w:tc>
          <w:tcPr>
            <w:tcW w:w="1250" w:type="dxa"/>
          </w:tcPr>
          <w:p w14:paraId="1F5A31B1" w14:textId="77777777" w:rsidR="00E6637B" w:rsidRDefault="00000000">
            <w:pPr>
              <w:pStyle w:val="Compact"/>
              <w:jc w:val="right"/>
            </w:pPr>
            <w:r>
              <w:t>AIC</w:t>
            </w:r>
          </w:p>
        </w:tc>
        <w:tc>
          <w:tcPr>
            <w:tcW w:w="1250" w:type="dxa"/>
          </w:tcPr>
          <w:p w14:paraId="623120DA" w14:textId="77777777" w:rsidR="00E6637B" w:rsidRDefault="00000000">
            <w:pPr>
              <w:pStyle w:val="Compact"/>
              <w:jc w:val="right"/>
            </w:pPr>
            <m:oMath>
              <m:r>
                <w:rPr>
                  <w:rFonts w:ascii="Cambria Math" w:hAnsi="Cambria Math"/>
                </w:rPr>
                <m:t>Δ</m:t>
              </m:r>
            </m:oMath>
            <w:r>
              <w:t>AIC</w:t>
            </w:r>
          </w:p>
        </w:tc>
      </w:tr>
      <w:tr w:rsidR="00E6637B" w14:paraId="10A20B52" w14:textId="77777777">
        <w:tc>
          <w:tcPr>
            <w:tcW w:w="1667" w:type="dxa"/>
          </w:tcPr>
          <w:p w14:paraId="7984BC11" w14:textId="77777777" w:rsidR="00E6637B" w:rsidRDefault="00000000">
            <w:pPr>
              <w:pStyle w:val="Compact"/>
              <w:jc w:val="center"/>
            </w:pPr>
            <w:r>
              <w:t>No</w:t>
            </w:r>
          </w:p>
        </w:tc>
        <w:tc>
          <w:tcPr>
            <w:tcW w:w="1250" w:type="dxa"/>
          </w:tcPr>
          <w:p w14:paraId="742FDC0C" w14:textId="77777777" w:rsidR="00E6637B" w:rsidRDefault="00000000">
            <w:pPr>
              <w:pStyle w:val="Compact"/>
            </w:pPr>
            <w:r>
              <w:t>None</w:t>
            </w:r>
          </w:p>
        </w:tc>
        <w:tc>
          <w:tcPr>
            <w:tcW w:w="1250" w:type="dxa"/>
          </w:tcPr>
          <w:p w14:paraId="6B19AC92" w14:textId="77777777" w:rsidR="00E6637B" w:rsidRDefault="00000000">
            <w:pPr>
              <w:pStyle w:val="Compact"/>
              <w:jc w:val="right"/>
            </w:pPr>
            <w:r>
              <w:t>11</w:t>
            </w:r>
          </w:p>
        </w:tc>
        <w:tc>
          <w:tcPr>
            <w:tcW w:w="1250" w:type="dxa"/>
          </w:tcPr>
          <w:p w14:paraId="52FE52C0" w14:textId="77777777" w:rsidR="00E6637B" w:rsidRDefault="00000000">
            <w:pPr>
              <w:pStyle w:val="Compact"/>
              <w:jc w:val="right"/>
            </w:pPr>
            <w:r>
              <w:t>8313.531</w:t>
            </w:r>
          </w:p>
        </w:tc>
        <w:tc>
          <w:tcPr>
            <w:tcW w:w="1250" w:type="dxa"/>
          </w:tcPr>
          <w:p w14:paraId="01B97761" w14:textId="77777777" w:rsidR="00E6637B" w:rsidRDefault="00000000">
            <w:pPr>
              <w:pStyle w:val="Compact"/>
              <w:jc w:val="right"/>
            </w:pPr>
            <w:r>
              <w:t>16649.062</w:t>
            </w:r>
          </w:p>
        </w:tc>
        <w:tc>
          <w:tcPr>
            <w:tcW w:w="1250" w:type="dxa"/>
          </w:tcPr>
          <w:p w14:paraId="43257FBB" w14:textId="77777777" w:rsidR="00E6637B" w:rsidRDefault="00000000">
            <w:pPr>
              <w:pStyle w:val="Compact"/>
              <w:jc w:val="right"/>
            </w:pPr>
            <w:r>
              <w:t>142.443</w:t>
            </w:r>
          </w:p>
        </w:tc>
      </w:tr>
      <w:tr w:rsidR="00E6637B" w14:paraId="59656A99" w14:textId="77777777">
        <w:tc>
          <w:tcPr>
            <w:tcW w:w="1667" w:type="dxa"/>
          </w:tcPr>
          <w:p w14:paraId="3398FFDD" w14:textId="77777777" w:rsidR="00E6637B" w:rsidRDefault="00000000">
            <w:pPr>
              <w:pStyle w:val="Compact"/>
              <w:jc w:val="center"/>
            </w:pPr>
            <w:r>
              <w:t>No</w:t>
            </w:r>
          </w:p>
        </w:tc>
        <w:tc>
          <w:tcPr>
            <w:tcW w:w="1250" w:type="dxa"/>
          </w:tcPr>
          <w:p w14:paraId="0F9C882C" w14:textId="77777777" w:rsidR="00E6637B" w:rsidRDefault="00000000">
            <w:pPr>
              <w:pStyle w:val="Compact"/>
            </w:pPr>
            <w:r>
              <w:t>All items</w:t>
            </w:r>
          </w:p>
        </w:tc>
        <w:tc>
          <w:tcPr>
            <w:tcW w:w="1250" w:type="dxa"/>
          </w:tcPr>
          <w:p w14:paraId="0320AD05" w14:textId="77777777" w:rsidR="00E6637B" w:rsidRDefault="00000000">
            <w:pPr>
              <w:pStyle w:val="Compact"/>
              <w:jc w:val="right"/>
            </w:pPr>
            <w:r>
              <w:t>12</w:t>
            </w:r>
          </w:p>
        </w:tc>
        <w:tc>
          <w:tcPr>
            <w:tcW w:w="1250" w:type="dxa"/>
          </w:tcPr>
          <w:p w14:paraId="179A52AA" w14:textId="77777777" w:rsidR="00E6637B" w:rsidRDefault="00000000">
            <w:pPr>
              <w:pStyle w:val="Compact"/>
              <w:jc w:val="right"/>
            </w:pPr>
            <w:r>
              <w:t>8300.740</w:t>
            </w:r>
          </w:p>
        </w:tc>
        <w:tc>
          <w:tcPr>
            <w:tcW w:w="1250" w:type="dxa"/>
          </w:tcPr>
          <w:p w14:paraId="1661FFEE" w14:textId="77777777" w:rsidR="00E6637B" w:rsidRDefault="00000000">
            <w:pPr>
              <w:pStyle w:val="Compact"/>
              <w:jc w:val="right"/>
            </w:pPr>
            <w:r>
              <w:t>16625.480</w:t>
            </w:r>
          </w:p>
        </w:tc>
        <w:tc>
          <w:tcPr>
            <w:tcW w:w="1250" w:type="dxa"/>
          </w:tcPr>
          <w:p w14:paraId="48A41278" w14:textId="77777777" w:rsidR="00E6637B" w:rsidRDefault="00000000">
            <w:pPr>
              <w:pStyle w:val="Compact"/>
              <w:jc w:val="right"/>
            </w:pPr>
            <w:r>
              <w:t>118.861</w:t>
            </w:r>
          </w:p>
        </w:tc>
      </w:tr>
      <w:tr w:rsidR="00E6637B" w14:paraId="29A03842" w14:textId="77777777">
        <w:tc>
          <w:tcPr>
            <w:tcW w:w="1667" w:type="dxa"/>
          </w:tcPr>
          <w:p w14:paraId="22B743BB" w14:textId="77777777" w:rsidR="00E6637B" w:rsidRDefault="00000000">
            <w:pPr>
              <w:pStyle w:val="Compact"/>
              <w:jc w:val="center"/>
            </w:pPr>
            <w:r>
              <w:t>No</w:t>
            </w:r>
          </w:p>
        </w:tc>
        <w:tc>
          <w:tcPr>
            <w:tcW w:w="1250" w:type="dxa"/>
          </w:tcPr>
          <w:p w14:paraId="6BAE0FBC" w14:textId="77777777" w:rsidR="00E6637B" w:rsidRDefault="00000000">
            <w:pPr>
              <w:pStyle w:val="Compact"/>
            </w:pPr>
            <w:r>
              <w:t>Negative items only</w:t>
            </w:r>
          </w:p>
        </w:tc>
        <w:tc>
          <w:tcPr>
            <w:tcW w:w="1250" w:type="dxa"/>
          </w:tcPr>
          <w:p w14:paraId="0F9E7EFC" w14:textId="77777777" w:rsidR="00E6637B" w:rsidRDefault="00000000">
            <w:pPr>
              <w:pStyle w:val="Compact"/>
              <w:jc w:val="right"/>
            </w:pPr>
            <w:r>
              <w:t>12</w:t>
            </w:r>
          </w:p>
        </w:tc>
        <w:tc>
          <w:tcPr>
            <w:tcW w:w="1250" w:type="dxa"/>
          </w:tcPr>
          <w:p w14:paraId="4E7A3B60" w14:textId="77777777" w:rsidR="00E6637B" w:rsidRDefault="00000000">
            <w:pPr>
              <w:pStyle w:val="Compact"/>
              <w:jc w:val="right"/>
            </w:pPr>
            <w:r>
              <w:t>8280.693</w:t>
            </w:r>
          </w:p>
        </w:tc>
        <w:tc>
          <w:tcPr>
            <w:tcW w:w="1250" w:type="dxa"/>
          </w:tcPr>
          <w:p w14:paraId="4244A3B2" w14:textId="77777777" w:rsidR="00E6637B" w:rsidRDefault="00000000">
            <w:pPr>
              <w:pStyle w:val="Compact"/>
              <w:jc w:val="right"/>
            </w:pPr>
            <w:r>
              <w:t>16585.387</w:t>
            </w:r>
          </w:p>
        </w:tc>
        <w:tc>
          <w:tcPr>
            <w:tcW w:w="1250" w:type="dxa"/>
          </w:tcPr>
          <w:p w14:paraId="5E48CAFD" w14:textId="77777777" w:rsidR="00E6637B" w:rsidRDefault="00000000">
            <w:pPr>
              <w:pStyle w:val="Compact"/>
              <w:jc w:val="right"/>
            </w:pPr>
            <w:r>
              <w:t>78.768</w:t>
            </w:r>
          </w:p>
        </w:tc>
      </w:tr>
      <w:tr w:rsidR="00E6637B" w14:paraId="305D8C6A" w14:textId="77777777">
        <w:tc>
          <w:tcPr>
            <w:tcW w:w="1667" w:type="dxa"/>
          </w:tcPr>
          <w:p w14:paraId="029B087C" w14:textId="77777777" w:rsidR="00E6637B" w:rsidRDefault="00000000">
            <w:pPr>
              <w:pStyle w:val="Compact"/>
              <w:jc w:val="center"/>
            </w:pPr>
            <w:r>
              <w:t>Yes</w:t>
            </w:r>
          </w:p>
        </w:tc>
        <w:tc>
          <w:tcPr>
            <w:tcW w:w="1250" w:type="dxa"/>
          </w:tcPr>
          <w:p w14:paraId="10A11B9F" w14:textId="77777777" w:rsidR="00E6637B" w:rsidRDefault="00000000">
            <w:pPr>
              <w:pStyle w:val="Compact"/>
            </w:pPr>
            <w:r>
              <w:t>None</w:t>
            </w:r>
          </w:p>
        </w:tc>
        <w:tc>
          <w:tcPr>
            <w:tcW w:w="1250" w:type="dxa"/>
          </w:tcPr>
          <w:p w14:paraId="0FAD5A70" w14:textId="77777777" w:rsidR="00E6637B" w:rsidRDefault="00000000">
            <w:pPr>
              <w:pStyle w:val="Compact"/>
              <w:jc w:val="right"/>
            </w:pPr>
            <w:r>
              <w:t>12</w:t>
            </w:r>
          </w:p>
        </w:tc>
        <w:tc>
          <w:tcPr>
            <w:tcW w:w="1250" w:type="dxa"/>
          </w:tcPr>
          <w:p w14:paraId="08734399" w14:textId="77777777" w:rsidR="00E6637B" w:rsidRDefault="00000000">
            <w:pPr>
              <w:pStyle w:val="Compact"/>
              <w:jc w:val="right"/>
            </w:pPr>
            <w:r>
              <w:t>8255.712</w:t>
            </w:r>
          </w:p>
        </w:tc>
        <w:tc>
          <w:tcPr>
            <w:tcW w:w="1250" w:type="dxa"/>
          </w:tcPr>
          <w:p w14:paraId="48F4EDF1" w14:textId="77777777" w:rsidR="00E6637B" w:rsidRDefault="00000000">
            <w:pPr>
              <w:pStyle w:val="Compact"/>
              <w:jc w:val="right"/>
            </w:pPr>
            <w:r>
              <w:t>16535.424</w:t>
            </w:r>
          </w:p>
        </w:tc>
        <w:tc>
          <w:tcPr>
            <w:tcW w:w="1250" w:type="dxa"/>
          </w:tcPr>
          <w:p w14:paraId="77591A94" w14:textId="77777777" w:rsidR="00E6637B" w:rsidRDefault="00000000">
            <w:pPr>
              <w:pStyle w:val="Compact"/>
              <w:jc w:val="right"/>
            </w:pPr>
            <w:r>
              <w:t>28.805</w:t>
            </w:r>
          </w:p>
        </w:tc>
      </w:tr>
      <w:tr w:rsidR="00E6637B" w14:paraId="630087D1" w14:textId="77777777">
        <w:tc>
          <w:tcPr>
            <w:tcW w:w="1667" w:type="dxa"/>
          </w:tcPr>
          <w:p w14:paraId="0FE08086" w14:textId="77777777" w:rsidR="00E6637B" w:rsidRDefault="00000000">
            <w:pPr>
              <w:pStyle w:val="Compact"/>
              <w:jc w:val="center"/>
            </w:pPr>
            <w:r>
              <w:t>Yes</w:t>
            </w:r>
          </w:p>
        </w:tc>
        <w:tc>
          <w:tcPr>
            <w:tcW w:w="1250" w:type="dxa"/>
          </w:tcPr>
          <w:p w14:paraId="32AF4921" w14:textId="77777777" w:rsidR="00E6637B" w:rsidRDefault="00000000">
            <w:pPr>
              <w:pStyle w:val="Compact"/>
            </w:pPr>
            <w:r>
              <w:t>All items</w:t>
            </w:r>
          </w:p>
        </w:tc>
        <w:tc>
          <w:tcPr>
            <w:tcW w:w="1250" w:type="dxa"/>
          </w:tcPr>
          <w:p w14:paraId="09955687" w14:textId="77777777" w:rsidR="00E6637B" w:rsidRDefault="00000000">
            <w:pPr>
              <w:pStyle w:val="Compact"/>
              <w:jc w:val="right"/>
            </w:pPr>
            <w:r>
              <w:t>13</w:t>
            </w:r>
          </w:p>
        </w:tc>
        <w:tc>
          <w:tcPr>
            <w:tcW w:w="1250" w:type="dxa"/>
          </w:tcPr>
          <w:p w14:paraId="41251CDC" w14:textId="77777777" w:rsidR="00E6637B" w:rsidRDefault="00000000">
            <w:pPr>
              <w:pStyle w:val="Compact"/>
              <w:jc w:val="right"/>
            </w:pPr>
            <w:r>
              <w:t>8251.121</w:t>
            </w:r>
          </w:p>
        </w:tc>
        <w:tc>
          <w:tcPr>
            <w:tcW w:w="1250" w:type="dxa"/>
          </w:tcPr>
          <w:p w14:paraId="47D0F704" w14:textId="77777777" w:rsidR="00E6637B" w:rsidRDefault="00000000">
            <w:pPr>
              <w:pStyle w:val="Compact"/>
              <w:jc w:val="right"/>
            </w:pPr>
            <w:r>
              <w:t>16528.242</w:t>
            </w:r>
          </w:p>
        </w:tc>
        <w:tc>
          <w:tcPr>
            <w:tcW w:w="1250" w:type="dxa"/>
          </w:tcPr>
          <w:p w14:paraId="36A13F27" w14:textId="77777777" w:rsidR="00E6637B" w:rsidRDefault="00000000">
            <w:pPr>
              <w:pStyle w:val="Compact"/>
              <w:jc w:val="right"/>
            </w:pPr>
            <w:r>
              <w:t>21.623</w:t>
            </w:r>
          </w:p>
        </w:tc>
      </w:tr>
      <w:tr w:rsidR="00E6637B" w14:paraId="5F31222D" w14:textId="77777777">
        <w:tc>
          <w:tcPr>
            <w:tcW w:w="1667" w:type="dxa"/>
          </w:tcPr>
          <w:p w14:paraId="26675629" w14:textId="77777777" w:rsidR="00E6637B" w:rsidRDefault="00000000">
            <w:pPr>
              <w:pStyle w:val="Compact"/>
              <w:jc w:val="center"/>
            </w:pPr>
            <w:r>
              <w:t>Yes</w:t>
            </w:r>
          </w:p>
        </w:tc>
        <w:tc>
          <w:tcPr>
            <w:tcW w:w="1250" w:type="dxa"/>
          </w:tcPr>
          <w:p w14:paraId="656138AF" w14:textId="77777777" w:rsidR="00E6637B" w:rsidRDefault="00000000">
            <w:pPr>
              <w:pStyle w:val="Compact"/>
            </w:pPr>
            <w:r>
              <w:t>Negative items only</w:t>
            </w:r>
          </w:p>
        </w:tc>
        <w:tc>
          <w:tcPr>
            <w:tcW w:w="1250" w:type="dxa"/>
          </w:tcPr>
          <w:p w14:paraId="5DC890F3" w14:textId="77777777" w:rsidR="00E6637B" w:rsidRDefault="00000000">
            <w:pPr>
              <w:pStyle w:val="Compact"/>
              <w:jc w:val="right"/>
            </w:pPr>
            <w:r>
              <w:t>13</w:t>
            </w:r>
          </w:p>
        </w:tc>
        <w:tc>
          <w:tcPr>
            <w:tcW w:w="1250" w:type="dxa"/>
          </w:tcPr>
          <w:p w14:paraId="726DB262" w14:textId="77777777" w:rsidR="00E6637B" w:rsidRDefault="00000000">
            <w:pPr>
              <w:pStyle w:val="Compact"/>
              <w:jc w:val="right"/>
            </w:pPr>
            <w:r>
              <w:rPr>
                <w:b/>
                <w:bCs/>
              </w:rPr>
              <w:t>8240.310</w:t>
            </w:r>
          </w:p>
        </w:tc>
        <w:tc>
          <w:tcPr>
            <w:tcW w:w="1250" w:type="dxa"/>
          </w:tcPr>
          <w:p w14:paraId="75616052" w14:textId="77777777" w:rsidR="00E6637B" w:rsidRDefault="00000000">
            <w:pPr>
              <w:pStyle w:val="Compact"/>
              <w:jc w:val="right"/>
            </w:pPr>
            <w:r>
              <w:rPr>
                <w:b/>
                <w:bCs/>
              </w:rPr>
              <w:t>16506.619</w:t>
            </w:r>
          </w:p>
        </w:tc>
        <w:tc>
          <w:tcPr>
            <w:tcW w:w="1250" w:type="dxa"/>
          </w:tcPr>
          <w:p w14:paraId="33B91A42" w14:textId="77777777" w:rsidR="00E6637B" w:rsidRDefault="00000000">
            <w:pPr>
              <w:pStyle w:val="Compact"/>
              <w:jc w:val="right"/>
            </w:pPr>
            <w:r>
              <w:rPr>
                <w:b/>
                <w:bCs/>
              </w:rPr>
              <w:t>0.000</w:t>
            </w:r>
          </w:p>
        </w:tc>
      </w:tr>
    </w:tbl>
    <w:bookmarkEnd w:id="12"/>
    <w:p w14:paraId="7AF90E22" w14:textId="77777777" w:rsidR="00E6637B" w:rsidRDefault="00000000">
      <w:pPr>
        <w:pStyle w:val="AfterWithoutNote"/>
      </w:pPr>
      <w:r>
        <w:t>The fit statistics compare conditional prediction, whereas the simulations show which empirical patterns accompanied those differences. The figures contrast the observed data with each focal mechanism alone and with their combination; the tables report all six models.</w:t>
      </w:r>
    </w:p>
    <w:p w14:paraId="3FA01CDF" w14:textId="77777777" w:rsidR="00E6637B" w:rsidRDefault="00000000">
      <w:pPr>
        <w:pStyle w:val="Heading3"/>
      </w:pPr>
      <w:bookmarkStart w:id="13" w:name="Xf7c77b450b19db15d8651c255d36fd1fe0bb90e"/>
      <w:bookmarkEnd w:id="11"/>
      <w:r>
        <w:lastRenderedPageBreak/>
        <w:t>Contribution of preferential emotional learning</w:t>
      </w:r>
    </w:p>
    <w:p w14:paraId="7C806DDA" w14:textId="77777777" w:rsidR="00E6637B" w:rsidRDefault="00000000">
      <w:pPr>
        <w:pStyle w:val="FirstParagraph"/>
      </w:pPr>
      <w:r>
        <w:t xml:space="preserve">Freeing the emotional-learning multiplier lowered AIC under every Early-LPP specification: by 113.639 points with no LPP, by 97.238 points with General LPP, and by 78.768 points with Emotion-dependent LPP. The fitted multiplier exceeded 1 in all three models. In </w:t>
      </w:r>
      <w:hyperlink w:anchor="fig-model-recall-rates">
        <w:r>
          <w:rPr>
            <w:rStyle w:val="Hyperlink"/>
          </w:rPr>
          <w:t>Figure 1</w:t>
        </w:r>
      </w:hyperlink>
      <w:r>
        <w:t>, models with preferential emotional learning reproduced the observed negative-minus-neutral recall difference (predicted 0.118–0.134; observed 0.124), whereas models without it produced differences of only 0.001–0.019.</w:t>
      </w:r>
    </w:p>
    <w:p w14:paraId="6603320A" w14:textId="77777777" w:rsidR="00E6637B" w:rsidRDefault="00000000">
      <w:pPr>
        <w:pStyle w:val="BodyText"/>
      </w:pPr>
      <w:r>
        <w:t>Because every model represented both source categories, this advantage reflects preferential emotional learning rather than the presence of category information alone.</w:t>
      </w:r>
    </w:p>
    <w:p w14:paraId="23A38E6A" w14:textId="77777777" w:rsidR="00E6637B" w:rsidRDefault="00000000">
      <w:pPr>
        <w:pStyle w:val="Heading3"/>
      </w:pPr>
      <w:bookmarkStart w:id="14" w:name="contribution-of-early-lpp"/>
      <w:bookmarkEnd w:id="13"/>
      <w:r>
        <w:t>Contribution of Early LPP</w:t>
      </w:r>
    </w:p>
    <w:p w14:paraId="549B37BF" w14:textId="77777777" w:rsidR="00E6637B" w:rsidRDefault="00000000">
      <w:pPr>
        <w:pStyle w:val="FirstParagraph"/>
      </w:pPr>
      <w:r>
        <w:t>Without preferential emotional learning, General LPP lowered AIC by 23.582 points and Emotion-dependent LPP lowered it by 63.676 points relative to the source-context baseline. With preferential emotional learning, the corresponding AIC improvements were 7.182 and 28.805 points. Thus, Early LPP improved conditional prediction whether the emotional-learning multiplier was fixed or estimated.</w:t>
      </w:r>
    </w:p>
    <w:p w14:paraId="61B67FEA" w14:textId="77777777" w:rsidR="00E6637B" w:rsidRDefault="00000000">
      <w:pPr>
        <w:pStyle w:val="BodyText"/>
      </w:pPr>
      <w:r>
        <w:t>The Preferential-learning model had an AIC 90.057 points lower than the General-LPP model and 49.963 points lower than the Emotion-dependent-LPP model; all three models had 12 free parameters. Neither LPP mapping therefore replaced the category-wide multiplier, even though both added predictive information to models with or without it.</w:t>
      </w:r>
    </w:p>
    <w:p w14:paraId="31561292" w14:textId="77777777" w:rsidR="00E6637B" w:rsidRDefault="00000000">
      <w:pPr>
        <w:pStyle w:val="BodyText"/>
      </w:pPr>
      <w:r>
        <w:t xml:space="preserve">In the observed data, remembered items had a 0.455 larger mean Early-LPP z score than forgotten items within the negative category, whereas the corresponding neutral-item difference was 0.035. Models without Early-LPP modulation produced little remembered-versus-forgotten separation in either category. Because simulations kept each item’s Early-LPP value fixed, the </w:t>
      </w:r>
      <w:r>
        <w:lastRenderedPageBreak/>
        <w:t xml:space="preserve">separation in </w:t>
      </w:r>
      <w:hyperlink w:anchor="fig-model-early-lpp">
        <w:r>
          <w:rPr>
            <w:rStyle w:val="Hyperlink"/>
          </w:rPr>
          <w:t>Figure 2</w:t>
        </w:r>
      </w:hyperlink>
      <w:r>
        <w:t xml:space="preserve"> arose only when a model preferentially recalled items with larger values. Early-LPP modulation therefore supplied item-level information absent from the category-wide multiplier.</w:t>
      </w:r>
    </w:p>
    <w:p w14:paraId="4E13275B" w14:textId="77777777" w:rsidR="00E6637B" w:rsidRDefault="00000000">
      <w:pPr>
        <w:pStyle w:val="Heading3"/>
      </w:pPr>
      <w:bookmarkStart w:id="15" w:name="X96d402c89431e8b6c468cc1f240a0efb24c1fea"/>
      <w:bookmarkEnd w:id="14"/>
      <w:r>
        <w:t>General versus Emotion-dependent Early LPP</w:t>
      </w:r>
    </w:p>
    <w:p w14:paraId="4FD9B05D" w14:textId="77777777" w:rsidR="00E6637B" w:rsidRDefault="00000000">
      <w:pPr>
        <w:pStyle w:val="FirstParagraph"/>
      </w:pPr>
      <w:r>
        <w:t>Emotion-dependent LPP lowered AIC by 40.094 points relative to General LPP when preferential emotional learning was absent and by 21.623 points when preferential emotional learning was present. Because the alternatives had equal numbers of parameters, these differences reflected fit rather than complexity penalties.</w:t>
      </w:r>
    </w:p>
    <w:p w14:paraId="6D4FC59C" w14:textId="77777777" w:rsidR="00E6637B" w:rsidRDefault="00000000">
      <w:pPr>
        <w:pStyle w:val="FigureTitle"/>
      </w:pPr>
      <w:bookmarkStart w:id="16" w:name="tbl-model-diagnostic-effects"/>
      <w:r>
        <w:t>Table 4</w:t>
      </w:r>
    </w:p>
    <w:p w14:paraId="285CEC1B" w14:textId="77777777" w:rsidR="00E6637B" w:rsidRDefault="00000000">
      <w:pPr>
        <w:pStyle w:val="Caption"/>
      </w:pPr>
      <w:r>
        <w:t>Observed and model-predicted recall-rate and original-z Early-LPP contrasts. Parentheses give prediction minus observed; predictions are means across 200 complete simulated datasets. The Early-LPP contrasts were not separately fitted.</w:t>
      </w:r>
    </w:p>
    <w:tbl>
      <w:tblPr>
        <w:tblStyle w:val="Table"/>
        <w:tblW w:w="5000" w:type="pct"/>
        <w:tblLayout w:type="fixed"/>
        <w:tblLook w:val="0020" w:firstRow="1" w:lastRow="0" w:firstColumn="0" w:lastColumn="0" w:noHBand="0" w:noVBand="0"/>
      </w:tblPr>
      <w:tblGrid>
        <w:gridCol w:w="1872"/>
        <w:gridCol w:w="1872"/>
        <w:gridCol w:w="1872"/>
        <w:gridCol w:w="1872"/>
        <w:gridCol w:w="1872"/>
      </w:tblGrid>
      <w:tr w:rsidR="00E6637B" w14:paraId="458EDB3A" w14:textId="77777777" w:rsidTr="00E6637B">
        <w:trPr>
          <w:cnfStyle w:val="100000000000" w:firstRow="1" w:lastRow="0" w:firstColumn="0" w:lastColumn="0" w:oddVBand="0" w:evenVBand="0" w:oddHBand="0" w:evenHBand="0" w:firstRowFirstColumn="0" w:firstRowLastColumn="0" w:lastRowFirstColumn="0" w:lastRowLastColumn="0"/>
          <w:tblHeader/>
        </w:trPr>
        <w:tc>
          <w:tcPr>
            <w:tcW w:w="1584" w:type="dxa"/>
          </w:tcPr>
          <w:p w14:paraId="0FDA9A02" w14:textId="77777777" w:rsidR="00E6637B" w:rsidRDefault="00000000">
            <w:pPr>
              <w:pStyle w:val="Compact"/>
            </w:pPr>
            <w:r>
              <w:t>eCMR specification</w:t>
            </w:r>
          </w:p>
        </w:tc>
        <w:tc>
          <w:tcPr>
            <w:tcW w:w="1584" w:type="dxa"/>
          </w:tcPr>
          <w:p w14:paraId="5052FC2B" w14:textId="77777777" w:rsidR="00E6637B" w:rsidRDefault="00000000">
            <w:pPr>
              <w:pStyle w:val="Compact"/>
              <w:jc w:val="right"/>
            </w:pPr>
            <w:r>
              <w:t xml:space="preserve">Recall rate: Negative </w:t>
            </w:r>
            <m:oMath>
              <m:r>
                <m:rPr>
                  <m:sty m:val="p"/>
                </m:rPr>
                <w:rPr>
                  <w:rFonts w:ascii="Cambria Math" w:hAnsi="Cambria Math"/>
                </w:rPr>
                <m:t>-</m:t>
              </m:r>
            </m:oMath>
            <w:r>
              <w:t xml:space="preserve"> Neutral</w:t>
            </w:r>
          </w:p>
        </w:tc>
        <w:tc>
          <w:tcPr>
            <w:tcW w:w="1584" w:type="dxa"/>
          </w:tcPr>
          <w:p w14:paraId="1AA0D55D" w14:textId="77777777" w:rsidR="00E6637B" w:rsidRDefault="00000000">
            <w:pPr>
              <w:pStyle w:val="Compact"/>
              <w:jc w:val="right"/>
            </w:pPr>
            <w:r>
              <w:t xml:space="preserve">Early LPP: Remembered </w:t>
            </w:r>
            <m:oMath>
              <m:r>
                <m:rPr>
                  <m:sty m:val="p"/>
                </m:rPr>
                <w:rPr>
                  <w:rFonts w:ascii="Cambria Math" w:hAnsi="Cambria Math"/>
                </w:rPr>
                <m:t>-</m:t>
              </m:r>
            </m:oMath>
            <w:r>
              <w:t xml:space="preserve"> Forgotten, Negative items</w:t>
            </w:r>
          </w:p>
        </w:tc>
        <w:tc>
          <w:tcPr>
            <w:tcW w:w="1584" w:type="dxa"/>
          </w:tcPr>
          <w:p w14:paraId="27261F29" w14:textId="77777777" w:rsidR="00E6637B" w:rsidRDefault="00000000">
            <w:pPr>
              <w:pStyle w:val="Compact"/>
              <w:jc w:val="right"/>
            </w:pPr>
            <w:r>
              <w:t xml:space="preserve">Early LPP: Remembered </w:t>
            </w:r>
            <m:oMath>
              <m:r>
                <m:rPr>
                  <m:sty m:val="p"/>
                </m:rPr>
                <w:rPr>
                  <w:rFonts w:ascii="Cambria Math" w:hAnsi="Cambria Math"/>
                </w:rPr>
                <m:t>-</m:t>
              </m:r>
            </m:oMath>
            <w:r>
              <w:t xml:space="preserve"> Forgotten, Neutral items</w:t>
            </w:r>
          </w:p>
        </w:tc>
        <w:tc>
          <w:tcPr>
            <w:tcW w:w="1584" w:type="dxa"/>
          </w:tcPr>
          <w:p w14:paraId="7C864195" w14:textId="77777777" w:rsidR="00E6637B" w:rsidRDefault="00000000">
            <w:pPr>
              <w:pStyle w:val="Compact"/>
              <w:jc w:val="right"/>
            </w:pPr>
            <w:r>
              <w:t xml:space="preserve">Early LPP: Negative items (Remembered </w:t>
            </w:r>
            <m:oMath>
              <m:r>
                <m:rPr>
                  <m:sty m:val="p"/>
                </m:rPr>
                <w:rPr>
                  <w:rFonts w:ascii="Cambria Math" w:hAnsi="Cambria Math"/>
                </w:rPr>
                <m:t>-</m:t>
              </m:r>
            </m:oMath>
            <w:r>
              <w:t xml:space="preserve"> Forgotten) </w:t>
            </w:r>
            <m:oMath>
              <m:r>
                <m:rPr>
                  <m:sty m:val="p"/>
                </m:rPr>
                <w:rPr>
                  <w:rFonts w:ascii="Cambria Math" w:hAnsi="Cambria Math"/>
                </w:rPr>
                <m:t>-</m:t>
              </m:r>
            </m:oMath>
            <w:r>
              <w:t xml:space="preserve"> Neutral items (Remembered </w:t>
            </w:r>
            <m:oMath>
              <m:r>
                <m:rPr>
                  <m:sty m:val="p"/>
                </m:rPr>
                <w:rPr>
                  <w:rFonts w:ascii="Cambria Math" w:hAnsi="Cambria Math"/>
                </w:rPr>
                <m:t>-</m:t>
              </m:r>
            </m:oMath>
            <w:r>
              <w:t xml:space="preserve"> Forgotten)</w:t>
            </w:r>
          </w:p>
        </w:tc>
      </w:tr>
      <w:tr w:rsidR="00E6637B" w14:paraId="631D3BFB" w14:textId="77777777">
        <w:tc>
          <w:tcPr>
            <w:tcW w:w="1584" w:type="dxa"/>
          </w:tcPr>
          <w:p w14:paraId="147D21B4" w14:textId="77777777" w:rsidR="00E6637B" w:rsidRDefault="00000000">
            <w:pPr>
              <w:pStyle w:val="Compact"/>
            </w:pPr>
            <w:r>
              <w:rPr>
                <w:b/>
                <w:bCs/>
              </w:rPr>
              <w:t>Observed data</w:t>
            </w:r>
          </w:p>
        </w:tc>
        <w:tc>
          <w:tcPr>
            <w:tcW w:w="1584" w:type="dxa"/>
          </w:tcPr>
          <w:p w14:paraId="1F82C3DE" w14:textId="77777777" w:rsidR="00E6637B" w:rsidRDefault="00000000">
            <w:pPr>
              <w:pStyle w:val="Compact"/>
              <w:jc w:val="right"/>
            </w:pPr>
            <w:r>
              <w:rPr>
                <w:b/>
                <w:bCs/>
              </w:rPr>
              <w:t>0.124</w:t>
            </w:r>
          </w:p>
        </w:tc>
        <w:tc>
          <w:tcPr>
            <w:tcW w:w="1584" w:type="dxa"/>
          </w:tcPr>
          <w:p w14:paraId="76A0EE71" w14:textId="77777777" w:rsidR="00E6637B" w:rsidRDefault="00000000">
            <w:pPr>
              <w:pStyle w:val="Compact"/>
              <w:jc w:val="right"/>
            </w:pPr>
            <w:r>
              <w:rPr>
                <w:b/>
                <w:bCs/>
              </w:rPr>
              <w:t>0.455</w:t>
            </w:r>
          </w:p>
        </w:tc>
        <w:tc>
          <w:tcPr>
            <w:tcW w:w="1584" w:type="dxa"/>
          </w:tcPr>
          <w:p w14:paraId="16E85A3E" w14:textId="77777777" w:rsidR="00E6637B" w:rsidRDefault="00000000">
            <w:pPr>
              <w:pStyle w:val="Compact"/>
              <w:jc w:val="right"/>
            </w:pPr>
            <w:r>
              <w:rPr>
                <w:b/>
                <w:bCs/>
              </w:rPr>
              <w:t>0.035</w:t>
            </w:r>
          </w:p>
        </w:tc>
        <w:tc>
          <w:tcPr>
            <w:tcW w:w="1584" w:type="dxa"/>
          </w:tcPr>
          <w:p w14:paraId="6ADAB34B" w14:textId="77777777" w:rsidR="00E6637B" w:rsidRDefault="00000000">
            <w:pPr>
              <w:pStyle w:val="Compact"/>
              <w:jc w:val="right"/>
            </w:pPr>
            <w:r>
              <w:rPr>
                <w:b/>
                <w:bCs/>
              </w:rPr>
              <w:t>0.420</w:t>
            </w:r>
          </w:p>
        </w:tc>
      </w:tr>
      <w:tr w:rsidR="00E6637B" w14:paraId="00E2561A" w14:textId="77777777">
        <w:tc>
          <w:tcPr>
            <w:tcW w:w="1584" w:type="dxa"/>
          </w:tcPr>
          <w:p w14:paraId="7392F00F" w14:textId="77777777" w:rsidR="00E6637B" w:rsidRDefault="00000000">
            <w:pPr>
              <w:pStyle w:val="Compact"/>
            </w:pPr>
            <w:r>
              <w:t>Baseline</w:t>
            </w:r>
          </w:p>
        </w:tc>
        <w:tc>
          <w:tcPr>
            <w:tcW w:w="1584" w:type="dxa"/>
          </w:tcPr>
          <w:p w14:paraId="67107485" w14:textId="77777777" w:rsidR="00E6637B" w:rsidRDefault="00000000">
            <w:pPr>
              <w:pStyle w:val="Compact"/>
              <w:jc w:val="right"/>
            </w:pPr>
            <w:r>
              <w:t xml:space="preserve">0.001 </w:t>
            </w:r>
            <w:r>
              <w:rPr>
                <w:i/>
                <w:iCs/>
              </w:rPr>
              <w:t>(−0.123)</w:t>
            </w:r>
          </w:p>
        </w:tc>
        <w:tc>
          <w:tcPr>
            <w:tcW w:w="1584" w:type="dxa"/>
          </w:tcPr>
          <w:p w14:paraId="7D5302EE" w14:textId="77777777" w:rsidR="00E6637B" w:rsidRDefault="00000000">
            <w:pPr>
              <w:pStyle w:val="Compact"/>
              <w:jc w:val="right"/>
            </w:pPr>
            <w:r>
              <w:t xml:space="preserve">0.029 </w:t>
            </w:r>
            <w:r>
              <w:rPr>
                <w:i/>
                <w:iCs/>
              </w:rPr>
              <w:t>(−0.425)</w:t>
            </w:r>
          </w:p>
        </w:tc>
        <w:tc>
          <w:tcPr>
            <w:tcW w:w="1584" w:type="dxa"/>
          </w:tcPr>
          <w:p w14:paraId="74A464E3" w14:textId="77777777" w:rsidR="00E6637B" w:rsidRDefault="00000000">
            <w:pPr>
              <w:pStyle w:val="Compact"/>
              <w:jc w:val="right"/>
            </w:pPr>
            <w:r>
              <w:t xml:space="preserve">0.015 </w:t>
            </w:r>
            <w:r>
              <w:rPr>
                <w:i/>
                <w:iCs/>
              </w:rPr>
              <w:t>(−0.020)</w:t>
            </w:r>
          </w:p>
        </w:tc>
        <w:tc>
          <w:tcPr>
            <w:tcW w:w="1584" w:type="dxa"/>
          </w:tcPr>
          <w:p w14:paraId="61BF3F0A" w14:textId="77777777" w:rsidR="00E6637B" w:rsidRDefault="00000000">
            <w:pPr>
              <w:pStyle w:val="Compact"/>
              <w:jc w:val="right"/>
            </w:pPr>
            <w:r>
              <w:t xml:space="preserve">0.014 </w:t>
            </w:r>
            <w:r>
              <w:rPr>
                <w:i/>
                <w:iCs/>
              </w:rPr>
              <w:t>(−0.406)</w:t>
            </w:r>
          </w:p>
        </w:tc>
      </w:tr>
      <w:tr w:rsidR="00E6637B" w14:paraId="490840F5" w14:textId="77777777">
        <w:tc>
          <w:tcPr>
            <w:tcW w:w="1584" w:type="dxa"/>
          </w:tcPr>
          <w:p w14:paraId="060DD367" w14:textId="77777777" w:rsidR="00E6637B" w:rsidRDefault="00000000">
            <w:pPr>
              <w:pStyle w:val="Compact"/>
            </w:pPr>
            <w:r>
              <w:t>All-item LPP boost</w:t>
            </w:r>
          </w:p>
        </w:tc>
        <w:tc>
          <w:tcPr>
            <w:tcW w:w="1584" w:type="dxa"/>
          </w:tcPr>
          <w:p w14:paraId="5B73D37C" w14:textId="77777777" w:rsidR="00E6637B" w:rsidRDefault="00000000">
            <w:pPr>
              <w:pStyle w:val="Compact"/>
              <w:jc w:val="right"/>
            </w:pPr>
            <w:r>
              <w:t xml:space="preserve">0.007 </w:t>
            </w:r>
            <w:r>
              <w:rPr>
                <w:i/>
                <w:iCs/>
              </w:rPr>
              <w:t>(−0.117)</w:t>
            </w:r>
          </w:p>
        </w:tc>
        <w:tc>
          <w:tcPr>
            <w:tcW w:w="1584" w:type="dxa"/>
          </w:tcPr>
          <w:p w14:paraId="058522D1" w14:textId="77777777" w:rsidR="00E6637B" w:rsidRDefault="00000000">
            <w:pPr>
              <w:pStyle w:val="Compact"/>
              <w:jc w:val="right"/>
            </w:pPr>
            <w:r>
              <w:t xml:space="preserve">0.260 </w:t>
            </w:r>
            <w:r>
              <w:rPr>
                <w:i/>
                <w:iCs/>
              </w:rPr>
              <w:t>(−0.194)</w:t>
            </w:r>
          </w:p>
        </w:tc>
        <w:tc>
          <w:tcPr>
            <w:tcW w:w="1584" w:type="dxa"/>
          </w:tcPr>
          <w:p w14:paraId="5F9550DD" w14:textId="77777777" w:rsidR="00E6637B" w:rsidRDefault="00000000">
            <w:pPr>
              <w:pStyle w:val="Compact"/>
              <w:jc w:val="right"/>
            </w:pPr>
            <w:r>
              <w:t xml:space="preserve">0.214 </w:t>
            </w:r>
            <w:r>
              <w:rPr>
                <w:i/>
                <w:iCs/>
              </w:rPr>
              <w:t>(+0.179)</w:t>
            </w:r>
          </w:p>
        </w:tc>
        <w:tc>
          <w:tcPr>
            <w:tcW w:w="1584" w:type="dxa"/>
          </w:tcPr>
          <w:p w14:paraId="7E4C1D2D" w14:textId="77777777" w:rsidR="00E6637B" w:rsidRDefault="00000000">
            <w:pPr>
              <w:pStyle w:val="Compact"/>
              <w:jc w:val="right"/>
            </w:pPr>
            <w:r>
              <w:t xml:space="preserve">0.046 </w:t>
            </w:r>
            <w:r>
              <w:rPr>
                <w:i/>
                <w:iCs/>
              </w:rPr>
              <w:t>(−0.374)</w:t>
            </w:r>
          </w:p>
        </w:tc>
      </w:tr>
      <w:tr w:rsidR="00E6637B" w14:paraId="0949CA55" w14:textId="77777777">
        <w:tc>
          <w:tcPr>
            <w:tcW w:w="1584" w:type="dxa"/>
          </w:tcPr>
          <w:p w14:paraId="5CB0C959" w14:textId="77777777" w:rsidR="00E6637B" w:rsidRDefault="00000000">
            <w:pPr>
              <w:pStyle w:val="Compact"/>
            </w:pPr>
            <w:r>
              <w:t>Negative-item LPP boost</w:t>
            </w:r>
          </w:p>
        </w:tc>
        <w:tc>
          <w:tcPr>
            <w:tcW w:w="1584" w:type="dxa"/>
          </w:tcPr>
          <w:p w14:paraId="05294D14" w14:textId="77777777" w:rsidR="00E6637B" w:rsidRDefault="00000000">
            <w:pPr>
              <w:pStyle w:val="Compact"/>
              <w:jc w:val="right"/>
            </w:pPr>
            <w:r>
              <w:t xml:space="preserve">0.019 </w:t>
            </w:r>
            <w:r>
              <w:rPr>
                <w:i/>
                <w:iCs/>
              </w:rPr>
              <w:t>(−0.105)</w:t>
            </w:r>
          </w:p>
        </w:tc>
        <w:tc>
          <w:tcPr>
            <w:tcW w:w="1584" w:type="dxa"/>
          </w:tcPr>
          <w:p w14:paraId="1C7EA167" w14:textId="77777777" w:rsidR="00E6637B" w:rsidRDefault="00000000">
            <w:pPr>
              <w:pStyle w:val="Compact"/>
              <w:jc w:val="right"/>
            </w:pPr>
            <w:r>
              <w:t xml:space="preserve">0.524 </w:t>
            </w:r>
            <w:r>
              <w:rPr>
                <w:i/>
                <w:iCs/>
              </w:rPr>
              <w:t>(+0.069)</w:t>
            </w:r>
          </w:p>
        </w:tc>
        <w:tc>
          <w:tcPr>
            <w:tcW w:w="1584" w:type="dxa"/>
          </w:tcPr>
          <w:p w14:paraId="4102BB8B" w14:textId="77777777" w:rsidR="00E6637B" w:rsidRDefault="00000000">
            <w:pPr>
              <w:pStyle w:val="Compact"/>
              <w:jc w:val="right"/>
            </w:pPr>
            <w:r>
              <w:t xml:space="preserve">0.022 </w:t>
            </w:r>
            <w:r>
              <w:rPr>
                <w:i/>
                <w:iCs/>
              </w:rPr>
              <w:t>(−0.013)</w:t>
            </w:r>
          </w:p>
        </w:tc>
        <w:tc>
          <w:tcPr>
            <w:tcW w:w="1584" w:type="dxa"/>
          </w:tcPr>
          <w:p w14:paraId="20E19625" w14:textId="77777777" w:rsidR="00E6637B" w:rsidRDefault="00000000">
            <w:pPr>
              <w:pStyle w:val="Compact"/>
              <w:jc w:val="right"/>
            </w:pPr>
            <w:r>
              <w:t xml:space="preserve">0.502 </w:t>
            </w:r>
            <w:r>
              <w:rPr>
                <w:i/>
                <w:iCs/>
              </w:rPr>
              <w:t>(+0.083)</w:t>
            </w:r>
          </w:p>
        </w:tc>
      </w:tr>
      <w:tr w:rsidR="00E6637B" w14:paraId="771EC6D7" w14:textId="77777777">
        <w:tc>
          <w:tcPr>
            <w:tcW w:w="1584" w:type="dxa"/>
          </w:tcPr>
          <w:p w14:paraId="6EE3DDE4" w14:textId="77777777" w:rsidR="00E6637B" w:rsidRDefault="00000000">
            <w:pPr>
              <w:pStyle w:val="Compact"/>
            </w:pPr>
            <w:r>
              <w:t>Emotion-based boost</w:t>
            </w:r>
          </w:p>
        </w:tc>
        <w:tc>
          <w:tcPr>
            <w:tcW w:w="1584" w:type="dxa"/>
          </w:tcPr>
          <w:p w14:paraId="36C46AD1" w14:textId="77777777" w:rsidR="00E6637B" w:rsidRDefault="00000000">
            <w:pPr>
              <w:pStyle w:val="Compact"/>
              <w:jc w:val="right"/>
            </w:pPr>
            <w:r>
              <w:t xml:space="preserve">0.118 </w:t>
            </w:r>
            <w:r>
              <w:rPr>
                <w:i/>
                <w:iCs/>
              </w:rPr>
              <w:t>(−0.006)</w:t>
            </w:r>
          </w:p>
        </w:tc>
        <w:tc>
          <w:tcPr>
            <w:tcW w:w="1584" w:type="dxa"/>
          </w:tcPr>
          <w:p w14:paraId="2842987D" w14:textId="77777777" w:rsidR="00E6637B" w:rsidRDefault="00000000">
            <w:pPr>
              <w:pStyle w:val="Compact"/>
              <w:jc w:val="right"/>
            </w:pPr>
            <w:r>
              <w:t xml:space="preserve">0.030 </w:t>
            </w:r>
            <w:r>
              <w:rPr>
                <w:i/>
                <w:iCs/>
              </w:rPr>
              <w:t>(−0.425)</w:t>
            </w:r>
          </w:p>
        </w:tc>
        <w:tc>
          <w:tcPr>
            <w:tcW w:w="1584" w:type="dxa"/>
          </w:tcPr>
          <w:p w14:paraId="1DE0AE9B" w14:textId="77777777" w:rsidR="00E6637B" w:rsidRDefault="00000000">
            <w:pPr>
              <w:pStyle w:val="Compact"/>
              <w:jc w:val="right"/>
            </w:pPr>
            <w:r>
              <w:t xml:space="preserve">0.008 </w:t>
            </w:r>
            <w:r>
              <w:rPr>
                <w:i/>
                <w:iCs/>
              </w:rPr>
              <w:t>(−0.027)</w:t>
            </w:r>
          </w:p>
        </w:tc>
        <w:tc>
          <w:tcPr>
            <w:tcW w:w="1584" w:type="dxa"/>
          </w:tcPr>
          <w:p w14:paraId="4F9736D1" w14:textId="77777777" w:rsidR="00E6637B" w:rsidRDefault="00000000">
            <w:pPr>
              <w:pStyle w:val="Compact"/>
              <w:jc w:val="right"/>
            </w:pPr>
            <w:r>
              <w:t xml:space="preserve">0.021 </w:t>
            </w:r>
            <w:r>
              <w:rPr>
                <w:i/>
                <w:iCs/>
              </w:rPr>
              <w:t>(−0.398)</w:t>
            </w:r>
          </w:p>
        </w:tc>
      </w:tr>
      <w:tr w:rsidR="00E6637B" w14:paraId="1E5BDDF0" w14:textId="77777777">
        <w:tc>
          <w:tcPr>
            <w:tcW w:w="1584" w:type="dxa"/>
          </w:tcPr>
          <w:p w14:paraId="72BF1AEA" w14:textId="77777777" w:rsidR="00E6637B" w:rsidRDefault="00000000">
            <w:pPr>
              <w:pStyle w:val="Compact"/>
            </w:pPr>
            <w:r>
              <w:lastRenderedPageBreak/>
              <w:t>Emotion-based + all-item LPP boosts</w:t>
            </w:r>
          </w:p>
        </w:tc>
        <w:tc>
          <w:tcPr>
            <w:tcW w:w="1584" w:type="dxa"/>
          </w:tcPr>
          <w:p w14:paraId="28788A1B" w14:textId="77777777" w:rsidR="00E6637B" w:rsidRDefault="00000000">
            <w:pPr>
              <w:pStyle w:val="Compact"/>
              <w:jc w:val="right"/>
            </w:pPr>
            <w:r>
              <w:t xml:space="preserve">0.134 </w:t>
            </w:r>
            <w:r>
              <w:rPr>
                <w:i/>
                <w:iCs/>
              </w:rPr>
              <w:t>(+0.010)</w:t>
            </w:r>
          </w:p>
        </w:tc>
        <w:tc>
          <w:tcPr>
            <w:tcW w:w="1584" w:type="dxa"/>
          </w:tcPr>
          <w:p w14:paraId="3356F478" w14:textId="77777777" w:rsidR="00E6637B" w:rsidRDefault="00000000">
            <w:pPr>
              <w:pStyle w:val="Compact"/>
              <w:jc w:val="right"/>
            </w:pPr>
            <w:r>
              <w:t xml:space="preserve">0.372 </w:t>
            </w:r>
            <w:r>
              <w:rPr>
                <w:i/>
                <w:iCs/>
              </w:rPr>
              <w:t>(−0.082)</w:t>
            </w:r>
          </w:p>
        </w:tc>
        <w:tc>
          <w:tcPr>
            <w:tcW w:w="1584" w:type="dxa"/>
          </w:tcPr>
          <w:p w14:paraId="29ED5E16" w14:textId="77777777" w:rsidR="00E6637B" w:rsidRDefault="00000000">
            <w:pPr>
              <w:pStyle w:val="Compact"/>
              <w:jc w:val="right"/>
            </w:pPr>
            <w:r>
              <w:t xml:space="preserve">0.076 </w:t>
            </w:r>
            <w:r>
              <w:rPr>
                <w:i/>
                <w:iCs/>
              </w:rPr>
              <w:t>(+0.041)</w:t>
            </w:r>
          </w:p>
        </w:tc>
        <w:tc>
          <w:tcPr>
            <w:tcW w:w="1584" w:type="dxa"/>
          </w:tcPr>
          <w:p w14:paraId="123F3834" w14:textId="77777777" w:rsidR="00E6637B" w:rsidRDefault="00000000">
            <w:pPr>
              <w:pStyle w:val="Compact"/>
              <w:jc w:val="right"/>
            </w:pPr>
            <w:r>
              <w:t xml:space="preserve">0.297 </w:t>
            </w:r>
            <w:r>
              <w:rPr>
                <w:i/>
                <w:iCs/>
              </w:rPr>
              <w:t>(−0.123)</w:t>
            </w:r>
          </w:p>
        </w:tc>
      </w:tr>
      <w:tr w:rsidR="00E6637B" w14:paraId="16FD2707" w14:textId="77777777">
        <w:tc>
          <w:tcPr>
            <w:tcW w:w="1584" w:type="dxa"/>
          </w:tcPr>
          <w:p w14:paraId="455DF8C2" w14:textId="77777777" w:rsidR="00E6637B" w:rsidRDefault="00000000">
            <w:pPr>
              <w:pStyle w:val="Compact"/>
            </w:pPr>
            <w:r>
              <w:t>Emotion-based + negative-item LPP boosts</w:t>
            </w:r>
          </w:p>
        </w:tc>
        <w:tc>
          <w:tcPr>
            <w:tcW w:w="1584" w:type="dxa"/>
          </w:tcPr>
          <w:p w14:paraId="411D09A3" w14:textId="77777777" w:rsidR="00E6637B" w:rsidRDefault="00000000">
            <w:pPr>
              <w:pStyle w:val="Compact"/>
              <w:jc w:val="right"/>
            </w:pPr>
            <w:r>
              <w:t xml:space="preserve">0.130 </w:t>
            </w:r>
            <w:r>
              <w:rPr>
                <w:i/>
                <w:iCs/>
              </w:rPr>
              <w:t>(+0.006)</w:t>
            </w:r>
          </w:p>
        </w:tc>
        <w:tc>
          <w:tcPr>
            <w:tcW w:w="1584" w:type="dxa"/>
          </w:tcPr>
          <w:p w14:paraId="12077FEB" w14:textId="77777777" w:rsidR="00E6637B" w:rsidRDefault="00000000">
            <w:pPr>
              <w:pStyle w:val="Compact"/>
              <w:jc w:val="right"/>
            </w:pPr>
            <w:r>
              <w:t xml:space="preserve">0.395 </w:t>
            </w:r>
            <w:r>
              <w:rPr>
                <w:i/>
                <w:iCs/>
              </w:rPr>
              <w:t>(−0.059)</w:t>
            </w:r>
          </w:p>
        </w:tc>
        <w:tc>
          <w:tcPr>
            <w:tcW w:w="1584" w:type="dxa"/>
          </w:tcPr>
          <w:p w14:paraId="44C31BB5" w14:textId="77777777" w:rsidR="00E6637B" w:rsidRDefault="00000000">
            <w:pPr>
              <w:pStyle w:val="Compact"/>
              <w:jc w:val="right"/>
            </w:pPr>
            <w:r>
              <w:t xml:space="preserve">0.015 </w:t>
            </w:r>
            <w:r>
              <w:rPr>
                <w:i/>
                <w:iCs/>
              </w:rPr>
              <w:t>(−0.020)</w:t>
            </w:r>
          </w:p>
        </w:tc>
        <w:tc>
          <w:tcPr>
            <w:tcW w:w="1584" w:type="dxa"/>
          </w:tcPr>
          <w:p w14:paraId="0C0AD795" w14:textId="77777777" w:rsidR="00E6637B" w:rsidRDefault="00000000">
            <w:pPr>
              <w:pStyle w:val="Compact"/>
              <w:jc w:val="right"/>
            </w:pPr>
            <w:r>
              <w:t xml:space="preserve">0.380 </w:t>
            </w:r>
            <w:r>
              <w:rPr>
                <w:i/>
                <w:iCs/>
              </w:rPr>
              <w:t>(−0.040)</w:t>
            </w:r>
          </w:p>
        </w:tc>
      </w:tr>
    </w:tbl>
    <w:bookmarkEnd w:id="16"/>
    <w:p w14:paraId="08CEFE5B" w14:textId="77777777" w:rsidR="00E6637B" w:rsidRDefault="00000000">
      <w:pPr>
        <w:pStyle w:val="AfterWithoutNote"/>
      </w:pPr>
      <w:r>
        <w:t>General LPP separated remembered and forgotten items in both categories, whereas Emotion-dependent LPP concentrated the separation among negative items. With preferential emotional learning, the predicted negative-minus-neutral difference between the two memory contrasts was 0.297 under General LPP and 0.380 under Emotion-dependent LPP, compared with 0.420 observed. The General coefficient approached its upper bound (</w:t>
      </w:r>
      <m:oMath>
        <m:acc>
          <m:accPr>
            <m:ctrlPr>
              <w:rPr>
                <w:rFonts w:ascii="Cambria Math" w:hAnsi="Cambria Math"/>
              </w:rPr>
            </m:ctrlPr>
          </m:accPr>
          <m:e>
            <m:r>
              <w:rPr>
                <w:rFonts w:ascii="Cambria Math" w:hAnsi="Cambria Math"/>
              </w:rPr>
              <m:t>κ</m:t>
            </m:r>
          </m:e>
        </m:acc>
        <m:r>
          <m:rPr>
            <m:sty m:val="p"/>
          </m:rPr>
          <w:rPr>
            <w:rFonts w:ascii="Cambria Math" w:hAnsi="Cambria Math"/>
          </w:rPr>
          <m:t>=</m:t>
        </m:r>
        <m:r>
          <w:rPr>
            <w:rFonts w:ascii="Cambria Math" w:hAnsi="Cambria Math"/>
          </w:rPr>
          <m:t>0.208</m:t>
        </m:r>
      </m:oMath>
      <w:r>
        <w:t xml:space="preserve"> of 0.2145), and no wider-bound sensitivity was conducted; the preference for Emotion-dependent LPP is therefore conditional on the declared range.</w:t>
      </w:r>
    </w:p>
    <w:p w14:paraId="08008F20" w14:textId="77777777" w:rsidR="00E6637B" w:rsidRDefault="00000000">
      <w:pPr>
        <w:pStyle w:val="BodyText"/>
      </w:pPr>
      <w:r>
        <w:t>The preferred model used both proposed mechanisms. It estimated a source-learning scale of 0.930, an emotional-learning multiplier of 1.946, and an emotion-dependent log-learning slope of 0.128. Because these parameters were estimated jointly with the remaining model, their isolated magnitudes should not be assigned direct psychological meanings.</w:t>
      </w:r>
    </w:p>
    <w:p w14:paraId="187F7C98" w14:textId="77777777" w:rsidR="00E6637B" w:rsidRDefault="00000000">
      <w:pPr>
        <w:pStyle w:val="Heading3"/>
      </w:pPr>
      <w:bookmarkStart w:id="17" w:name="summary-and-scope"/>
      <w:bookmarkEnd w:id="15"/>
      <w:r>
        <w:t>Summary and scope</w:t>
      </w:r>
    </w:p>
    <w:p w14:paraId="6DDB8F02" w14:textId="77777777" w:rsidR="00E6637B" w:rsidRDefault="00000000">
      <w:pPr>
        <w:pStyle w:val="FirstParagraph"/>
      </w:pPr>
      <w:r>
        <w:t xml:space="preserve">Taken together, the comparisons support complementary roles for preferential emotional learning and Early-LPP modulation. The category-wide multiplier reproduced the negative-item recall advantage, whereas Emotion-dependent Early LPP distinguished which negative items </w:t>
      </w:r>
      <w:r>
        <w:lastRenderedPageBreak/>
        <w:t>were recalled. Their combination was preferred, implementing the proposed pathway from Early LPP through source learning strength to the conditional probability of entering the recalled set. LPP-derived scaling therefore complemented rather than replaced preferential emotional learning.</w:t>
      </w:r>
    </w:p>
    <w:p w14:paraId="1B0A3DFC" w14:textId="77777777" w:rsidR="00E6637B" w:rsidRDefault="00000000">
      <w:pPr>
        <w:pStyle w:val="BodyText"/>
      </w:pPr>
      <w:r>
        <w:t>This conclusion concerns within-list Early-LPP variation and recalled-item identity conditional on observed recall count, using one parameter vector across participants. It does not explain stopping, between-list LPP effects, participant-specific mechanisms, or whether LPP acts specifically through source rather than temporal learning. The numerical ranking is also conditional on the sampled-order approximation, declared bounds, and optimization search.</w:t>
      </w:r>
    </w:p>
    <w:p w14:paraId="72F8A291" w14:textId="77777777" w:rsidR="00E6637B" w:rsidRDefault="00000000">
      <w:pPr>
        <w:pStyle w:val="Heading1"/>
      </w:pPr>
      <w:bookmarkStart w:id="18" w:name="supplementary-material"/>
      <w:bookmarkEnd w:id="2"/>
      <w:bookmarkEnd w:id="10"/>
      <w:bookmarkEnd w:id="17"/>
      <w:r>
        <w:t>Supplementary material</w:t>
      </w:r>
    </w:p>
    <w:p w14:paraId="47819374" w14:textId="77777777" w:rsidR="00E6637B" w:rsidRDefault="00000000">
      <w:pPr>
        <w:pStyle w:val="Heading2"/>
      </w:pPr>
      <w:bookmarkStart w:id="19" w:name="model-label-mapping"/>
      <w:r>
        <w:t>Model-label mapping</w:t>
      </w:r>
    </w:p>
    <w:p w14:paraId="5102AFDE" w14:textId="77777777" w:rsidR="00E6637B" w:rsidRDefault="00000000">
      <w:pPr>
        <w:pStyle w:val="FigureTitle"/>
      </w:pPr>
      <w:bookmarkStart w:id="20" w:name="tbl-registry-mapping"/>
      <w:r>
        <w:t>Table 5</w:t>
      </w:r>
    </w:p>
    <w:p w14:paraId="6F21B29C" w14:textId="77777777" w:rsidR="00E6637B" w:rsidRDefault="00000000">
      <w:pPr>
        <w:pStyle w:val="Caption"/>
      </w:pPr>
      <w:r>
        <w:t>Mapping between the manuscript-facing labels and the executable model registry.</w:t>
      </w:r>
    </w:p>
    <w:tbl>
      <w:tblPr>
        <w:tblStyle w:val="Table"/>
        <w:tblW w:w="5000" w:type="pct"/>
        <w:tblLayout w:type="fixed"/>
        <w:tblLook w:val="0020" w:firstRow="1" w:lastRow="0" w:firstColumn="0" w:lastColumn="0" w:noHBand="0" w:noVBand="0"/>
      </w:tblPr>
      <w:tblGrid>
        <w:gridCol w:w="4680"/>
        <w:gridCol w:w="4680"/>
      </w:tblGrid>
      <w:tr w:rsidR="00E6637B" w14:paraId="2C01EE08" w14:textId="77777777" w:rsidTr="00E6637B">
        <w:trPr>
          <w:cnfStyle w:val="100000000000" w:firstRow="1" w:lastRow="0" w:firstColumn="0" w:lastColumn="0" w:oddVBand="0" w:evenVBand="0" w:oddHBand="0" w:evenHBand="0" w:firstRowFirstColumn="0" w:firstRowLastColumn="0" w:lastRowFirstColumn="0" w:lastRowLastColumn="0"/>
          <w:tblHeader/>
        </w:trPr>
        <w:tc>
          <w:tcPr>
            <w:tcW w:w="3960" w:type="dxa"/>
          </w:tcPr>
          <w:p w14:paraId="7ACDF824" w14:textId="77777777" w:rsidR="00E6637B" w:rsidRDefault="00000000">
            <w:pPr>
              <w:pStyle w:val="Compact"/>
            </w:pPr>
            <w:r>
              <w:t>Manuscript label</w:t>
            </w:r>
          </w:p>
        </w:tc>
        <w:tc>
          <w:tcPr>
            <w:tcW w:w="3960" w:type="dxa"/>
          </w:tcPr>
          <w:p w14:paraId="4AB56574" w14:textId="77777777" w:rsidR="00E6637B" w:rsidRDefault="00000000">
            <w:pPr>
              <w:pStyle w:val="Compact"/>
            </w:pPr>
            <w:r>
              <w:t>Canonical registry identifier</w:t>
            </w:r>
          </w:p>
        </w:tc>
      </w:tr>
      <w:tr w:rsidR="00E6637B" w14:paraId="78685757" w14:textId="77777777">
        <w:tc>
          <w:tcPr>
            <w:tcW w:w="3960" w:type="dxa"/>
          </w:tcPr>
          <w:p w14:paraId="6115690B" w14:textId="77777777" w:rsidR="00E6637B" w:rsidRDefault="00000000">
            <w:pPr>
              <w:pStyle w:val="Compact"/>
            </w:pPr>
            <w:r>
              <w:t>Source-context baseline</w:t>
            </w:r>
          </w:p>
        </w:tc>
        <w:tc>
          <w:tcPr>
            <w:tcW w:w="3960" w:type="dxa"/>
          </w:tcPr>
          <w:p w14:paraId="0D6BB76C" w14:textId="77777777" w:rsidR="00E6637B" w:rsidRDefault="00000000">
            <w:pPr>
              <w:pStyle w:val="Compact"/>
            </w:pPr>
            <w:r>
              <w:rPr>
                <w:rStyle w:val="VerbatimChar"/>
              </w:rPr>
              <w:t>CategoryOnly_eCMR</w:t>
            </w:r>
          </w:p>
        </w:tc>
      </w:tr>
      <w:tr w:rsidR="00E6637B" w14:paraId="661B7ECA" w14:textId="77777777">
        <w:tc>
          <w:tcPr>
            <w:tcW w:w="3960" w:type="dxa"/>
          </w:tcPr>
          <w:p w14:paraId="55EB8BC8" w14:textId="77777777" w:rsidR="00E6637B" w:rsidRDefault="00000000">
            <w:pPr>
              <w:pStyle w:val="Compact"/>
            </w:pPr>
            <w:r>
              <w:t>General-LPP model</w:t>
            </w:r>
          </w:p>
        </w:tc>
        <w:tc>
          <w:tcPr>
            <w:tcW w:w="3960" w:type="dxa"/>
          </w:tcPr>
          <w:p w14:paraId="485E5624" w14:textId="77777777" w:rsidR="00E6637B" w:rsidRDefault="00000000">
            <w:pPr>
              <w:pStyle w:val="Compact"/>
            </w:pPr>
            <w:r>
              <w:rPr>
                <w:rStyle w:val="VerbatimChar"/>
              </w:rPr>
              <w:t>CategoryOnly_eCMR_LPP_General</w:t>
            </w:r>
          </w:p>
        </w:tc>
      </w:tr>
      <w:tr w:rsidR="00E6637B" w14:paraId="1A731943" w14:textId="77777777">
        <w:tc>
          <w:tcPr>
            <w:tcW w:w="3960" w:type="dxa"/>
          </w:tcPr>
          <w:p w14:paraId="47DBF1CF" w14:textId="77777777" w:rsidR="00E6637B" w:rsidRDefault="00000000">
            <w:pPr>
              <w:pStyle w:val="Compact"/>
            </w:pPr>
            <w:r>
              <w:t>Emotion-dependent-LPP model</w:t>
            </w:r>
          </w:p>
        </w:tc>
        <w:tc>
          <w:tcPr>
            <w:tcW w:w="3960" w:type="dxa"/>
          </w:tcPr>
          <w:p w14:paraId="5BD877A7" w14:textId="77777777" w:rsidR="00E6637B" w:rsidRDefault="00000000">
            <w:pPr>
              <w:pStyle w:val="Compact"/>
            </w:pPr>
            <w:r>
              <w:rPr>
                <w:rStyle w:val="VerbatimChar"/>
              </w:rPr>
              <w:t>CategoryOnly_eCMR_LPP_EmotionalOnly</w:t>
            </w:r>
          </w:p>
        </w:tc>
      </w:tr>
      <w:tr w:rsidR="00E6637B" w14:paraId="291EEF0F" w14:textId="77777777">
        <w:tc>
          <w:tcPr>
            <w:tcW w:w="3960" w:type="dxa"/>
          </w:tcPr>
          <w:p w14:paraId="4C9CDFC7" w14:textId="77777777" w:rsidR="00E6637B" w:rsidRDefault="00000000">
            <w:pPr>
              <w:pStyle w:val="Compact"/>
            </w:pPr>
            <w:r>
              <w:t>Preferential-learning model</w:t>
            </w:r>
          </w:p>
        </w:tc>
        <w:tc>
          <w:tcPr>
            <w:tcW w:w="3960" w:type="dxa"/>
          </w:tcPr>
          <w:p w14:paraId="3941B73A" w14:textId="77777777" w:rsidR="00E6637B" w:rsidRDefault="00000000">
            <w:pPr>
              <w:pStyle w:val="Compact"/>
            </w:pPr>
            <w:r>
              <w:rPr>
                <w:rStyle w:val="VerbatimChar"/>
              </w:rPr>
              <w:t>EEM_eCMR</w:t>
            </w:r>
          </w:p>
        </w:tc>
      </w:tr>
      <w:tr w:rsidR="00E6637B" w14:paraId="3D85D34F" w14:textId="77777777">
        <w:tc>
          <w:tcPr>
            <w:tcW w:w="3960" w:type="dxa"/>
          </w:tcPr>
          <w:p w14:paraId="22C5D4C3" w14:textId="77777777" w:rsidR="00E6637B" w:rsidRDefault="00000000">
            <w:pPr>
              <w:pStyle w:val="Compact"/>
            </w:pPr>
            <w:r>
              <w:t>Preferential learning + General-LPP model</w:t>
            </w:r>
          </w:p>
        </w:tc>
        <w:tc>
          <w:tcPr>
            <w:tcW w:w="3960" w:type="dxa"/>
          </w:tcPr>
          <w:p w14:paraId="1A800D2A" w14:textId="77777777" w:rsidR="00E6637B" w:rsidRDefault="00000000">
            <w:pPr>
              <w:pStyle w:val="Compact"/>
            </w:pPr>
            <w:r>
              <w:rPr>
                <w:rStyle w:val="VerbatimChar"/>
              </w:rPr>
              <w:t>EEM_eCMR_LPP_General</w:t>
            </w:r>
          </w:p>
        </w:tc>
      </w:tr>
      <w:tr w:rsidR="00E6637B" w14:paraId="7EFBFCE3" w14:textId="77777777">
        <w:tc>
          <w:tcPr>
            <w:tcW w:w="3960" w:type="dxa"/>
          </w:tcPr>
          <w:p w14:paraId="52084960" w14:textId="77777777" w:rsidR="00E6637B" w:rsidRDefault="00000000">
            <w:pPr>
              <w:pStyle w:val="Compact"/>
            </w:pPr>
            <w:r>
              <w:t>Preferential learning + Emotion-dependent-LPP model</w:t>
            </w:r>
          </w:p>
        </w:tc>
        <w:tc>
          <w:tcPr>
            <w:tcW w:w="3960" w:type="dxa"/>
          </w:tcPr>
          <w:p w14:paraId="22F3D340" w14:textId="77777777" w:rsidR="00E6637B" w:rsidRDefault="00000000">
            <w:pPr>
              <w:pStyle w:val="Compact"/>
            </w:pPr>
            <w:r>
              <w:rPr>
                <w:rStyle w:val="VerbatimChar"/>
              </w:rPr>
              <w:t>EEM_eCMR_LPP_EmotionalOnly</w:t>
            </w:r>
          </w:p>
        </w:tc>
      </w:tr>
    </w:tbl>
    <w:p w14:paraId="24218AFA" w14:textId="77777777" w:rsidR="00E6637B" w:rsidRDefault="00000000">
      <w:pPr>
        <w:pStyle w:val="Heading2"/>
      </w:pPr>
      <w:bookmarkStart w:id="21" w:name="core-notation"/>
      <w:bookmarkEnd w:id="19"/>
      <w:bookmarkEnd w:id="20"/>
      <w:r>
        <w:t>Core notation</w:t>
      </w:r>
    </w:p>
    <w:p w14:paraId="35DD4BB3" w14:textId="77777777" w:rsidR="00E6637B" w:rsidRDefault="00000000">
      <w:pPr>
        <w:pStyle w:val="FirstParagraph"/>
      </w:pPr>
      <w:hyperlink w:anchor="tbl-model-notation">
        <w:r>
          <w:rPr>
            <w:rStyle w:val="Hyperlink"/>
          </w:rPr>
          <w:t>Table 6</w:t>
        </w:r>
      </w:hyperlink>
      <w:r>
        <w:t xml:space="preserve"> collects the formal objects that recur across the specification. The fitted parameters and their roles are listed separately in </w:t>
      </w:r>
      <w:hyperlink w:anchor="tbl-model-parameter-spec">
        <w:r>
          <w:rPr>
            <w:rStyle w:val="Hyperlink"/>
          </w:rPr>
          <w:t>Table 2</w:t>
        </w:r>
      </w:hyperlink>
      <w:r>
        <w:t>.</w:t>
      </w:r>
    </w:p>
    <w:p w14:paraId="05ADD252" w14:textId="77777777" w:rsidR="00E6637B" w:rsidRDefault="00000000">
      <w:pPr>
        <w:pStyle w:val="FigureTitle"/>
      </w:pPr>
      <w:bookmarkStart w:id="22" w:name="tbl-model-notation"/>
      <w:r>
        <w:lastRenderedPageBreak/>
        <w:t>Table 6</w:t>
      </w:r>
    </w:p>
    <w:p w14:paraId="786A416B" w14:textId="77777777" w:rsidR="00E6637B" w:rsidRDefault="00000000">
      <w:pPr>
        <w:pStyle w:val="Caption"/>
      </w:pPr>
      <w:r>
        <w:t>Core notation used in the model specification and recalled-set likelihood.</w:t>
      </w:r>
    </w:p>
    <w:tbl>
      <w:tblPr>
        <w:tblStyle w:val="Table"/>
        <w:tblW w:w="5000" w:type="pct"/>
        <w:tblLayout w:type="fixed"/>
        <w:tblLook w:val="0020" w:firstRow="1" w:lastRow="0" w:firstColumn="0" w:lastColumn="0" w:noHBand="0" w:noVBand="0"/>
      </w:tblPr>
      <w:tblGrid>
        <w:gridCol w:w="4680"/>
        <w:gridCol w:w="4680"/>
      </w:tblGrid>
      <w:tr w:rsidR="00E6637B" w14:paraId="23B9501D" w14:textId="77777777" w:rsidTr="00E6637B">
        <w:trPr>
          <w:cnfStyle w:val="100000000000" w:firstRow="1" w:lastRow="0" w:firstColumn="0" w:lastColumn="0" w:oddVBand="0" w:evenVBand="0" w:oddHBand="0" w:evenHBand="0" w:firstRowFirstColumn="0" w:firstRowLastColumn="0" w:lastRowFirstColumn="0" w:lastRowLastColumn="0"/>
          <w:tblHeader/>
        </w:trPr>
        <w:tc>
          <w:tcPr>
            <w:tcW w:w="3960" w:type="dxa"/>
          </w:tcPr>
          <w:p w14:paraId="1F5C9777" w14:textId="77777777" w:rsidR="00E6637B" w:rsidRDefault="00000000">
            <w:pPr>
              <w:pStyle w:val="Compact"/>
            </w:pPr>
            <w:r>
              <w:t>Symbol</w:t>
            </w:r>
          </w:p>
        </w:tc>
        <w:tc>
          <w:tcPr>
            <w:tcW w:w="3960" w:type="dxa"/>
          </w:tcPr>
          <w:p w14:paraId="3E2B71CB" w14:textId="77777777" w:rsidR="00E6637B" w:rsidRDefault="00000000">
            <w:pPr>
              <w:pStyle w:val="Compact"/>
            </w:pPr>
            <w:r>
              <w:t>Meaning</w:t>
            </w:r>
          </w:p>
        </w:tc>
      </w:tr>
      <w:tr w:rsidR="00E6637B" w14:paraId="7E1CB1D6" w14:textId="77777777">
        <w:tc>
          <w:tcPr>
            <w:tcW w:w="3960" w:type="dxa"/>
          </w:tcPr>
          <w:p w14:paraId="17433A6F" w14:textId="77777777" w:rsidR="00E6637B" w:rsidRDefault="00000000">
            <w:pPr>
              <w:pStyle w:val="Compact"/>
            </w:pPr>
            <m:oMath>
              <m:r>
                <w:rPr>
                  <w:rFonts w:ascii="Cambria Math" w:hAnsi="Cambria Math"/>
                </w:rPr>
                <m:t>i</m:t>
              </m:r>
            </m:oMath>
            <w:r>
              <w:t xml:space="preserve">, </w:t>
            </w:r>
            <m:oMath>
              <m:r>
                <w:rPr>
                  <w:rFonts w:ascii="Cambria Math" w:hAnsi="Cambria Math"/>
                </w:rPr>
                <m:t>j</m:t>
              </m:r>
            </m:oMath>
            <w:r>
              <w:t xml:space="preserve">, </w:t>
            </w:r>
            <m:oMath>
              <m:r>
                <w:rPr>
                  <w:rFonts w:ascii="Cambria Math" w:hAnsi="Cambria Math"/>
                </w:rPr>
                <m:t>t</m:t>
              </m:r>
            </m:oMath>
          </w:p>
        </w:tc>
        <w:tc>
          <w:tcPr>
            <w:tcW w:w="3960" w:type="dxa"/>
          </w:tcPr>
          <w:p w14:paraId="09257C42" w14:textId="77777777" w:rsidR="00E6637B" w:rsidRDefault="00000000">
            <w:pPr>
              <w:pStyle w:val="Compact"/>
            </w:pPr>
            <w:r>
              <w:t>Studied item, study-test list, and recall-output position, respectively</w:t>
            </w:r>
          </w:p>
        </w:tc>
      </w:tr>
      <w:tr w:rsidR="00E6637B" w14:paraId="4E4733CC" w14:textId="77777777">
        <w:tc>
          <w:tcPr>
            <w:tcW w:w="3960" w:type="dxa"/>
          </w:tcPr>
          <w:p w14:paraId="2DDF51FC" w14:textId="77777777" w:rsidR="00E6637B" w:rsidRDefault="00000000">
            <w:pPr>
              <w:pStyle w:val="Compact"/>
            </w:pPr>
            <m:oMathPara>
              <m:oMath>
                <m:sSub>
                  <m:sSubPr>
                    <m:ctrlPr>
                      <w:rPr>
                        <w:rFonts w:ascii="Cambria Math" w:hAnsi="Cambria Math"/>
                      </w:rPr>
                    </m:ctrlPr>
                  </m:sSubPr>
                  <m:e>
                    <m:r>
                      <m:rPr>
                        <m:sty m:val="b"/>
                      </m:rPr>
                      <w:rPr>
                        <w:rFonts w:ascii="Cambria Math" w:hAnsi="Cambria Math"/>
                      </w:rPr>
                      <m:t>f</m:t>
                    </m:r>
                  </m:e>
                  <m:sub>
                    <m:r>
                      <w:rPr>
                        <w:rFonts w:ascii="Cambria Math" w:hAnsi="Cambria Math"/>
                      </w:rPr>
                      <m:t>i</m:t>
                    </m:r>
                  </m:sub>
                </m:sSub>
              </m:oMath>
            </m:oMathPara>
          </w:p>
        </w:tc>
        <w:tc>
          <w:tcPr>
            <w:tcW w:w="3960" w:type="dxa"/>
          </w:tcPr>
          <w:p w14:paraId="6B58F1F5" w14:textId="77777777" w:rsidR="00E6637B" w:rsidRDefault="00000000">
            <w:pPr>
              <w:pStyle w:val="Compact"/>
            </w:pPr>
            <w:r>
              <w:t xml:space="preserve">One-hot feature vector identifying studied item </w:t>
            </w:r>
            <m:oMath>
              <m:r>
                <w:rPr>
                  <w:rFonts w:ascii="Cambria Math" w:hAnsi="Cambria Math"/>
                </w:rPr>
                <m:t>i</m:t>
              </m:r>
            </m:oMath>
          </w:p>
        </w:tc>
      </w:tr>
      <w:tr w:rsidR="00E6637B" w14:paraId="6C415C3A" w14:textId="77777777">
        <w:tc>
          <w:tcPr>
            <w:tcW w:w="3960" w:type="dxa"/>
          </w:tcPr>
          <w:p w14:paraId="1C9AF340" w14:textId="77777777" w:rsidR="00E6637B" w:rsidRDefault="00000000">
            <w:pPr>
              <w:pStyle w:val="Compact"/>
            </w:pPr>
            <m:oMath>
              <m:r>
                <m:rPr>
                  <m:sty m:val="b"/>
                </m:rPr>
                <w:rPr>
                  <w:rFonts w:ascii="Cambria Math" w:hAnsi="Cambria Math"/>
                </w:rPr>
                <m:t>c</m:t>
              </m:r>
            </m:oMath>
            <w:r>
              <w:t xml:space="preserve">, </w:t>
            </w:r>
            <m:oMath>
              <m:sSup>
                <m:sSupPr>
                  <m:ctrlPr>
                    <w:rPr>
                      <w:rFonts w:ascii="Cambria Math" w:hAnsi="Cambria Math"/>
                    </w:rPr>
                  </m:ctrlPr>
                </m:sSupPr>
                <m:e>
                  <m:r>
                    <m:rPr>
                      <m:sty m:val="b"/>
                    </m:rPr>
                    <w:rPr>
                      <w:rFonts w:ascii="Cambria Math" w:hAnsi="Cambria Math"/>
                    </w:rPr>
                    <m:t>c</m:t>
                  </m:r>
                </m:e>
                <m:sup>
                  <m:r>
                    <w:rPr>
                      <w:rFonts w:ascii="Cambria Math" w:hAnsi="Cambria Math"/>
                    </w:rPr>
                    <m:t>T</m:t>
                  </m:r>
                </m:sup>
              </m:sSup>
            </m:oMath>
            <w:r>
              <w:t xml:space="preserve">, </w:t>
            </w:r>
            <m:oMath>
              <m:sSup>
                <m:sSupPr>
                  <m:ctrlPr>
                    <w:rPr>
                      <w:rFonts w:ascii="Cambria Math" w:hAnsi="Cambria Math"/>
                    </w:rPr>
                  </m:ctrlPr>
                </m:sSupPr>
                <m:e>
                  <m:r>
                    <m:rPr>
                      <m:sty m:val="b"/>
                    </m:rPr>
                    <w:rPr>
                      <w:rFonts w:ascii="Cambria Math" w:hAnsi="Cambria Math"/>
                    </w:rPr>
                    <m:t>c</m:t>
                  </m:r>
                </m:e>
                <m:sup>
                  <m:r>
                    <w:rPr>
                      <w:rFonts w:ascii="Cambria Math" w:hAnsi="Cambria Math"/>
                    </w:rPr>
                    <m:t>S</m:t>
                  </m:r>
                </m:sup>
              </m:sSup>
            </m:oMath>
          </w:p>
        </w:tc>
        <w:tc>
          <w:tcPr>
            <w:tcW w:w="3960" w:type="dxa"/>
          </w:tcPr>
          <w:p w14:paraId="7F72A56E" w14:textId="77777777" w:rsidR="00E6637B" w:rsidRDefault="00000000">
            <w:pPr>
              <w:pStyle w:val="Compact"/>
            </w:pPr>
            <w:r>
              <w:t>Complete context state and its temporal and source components</w:t>
            </w:r>
          </w:p>
        </w:tc>
      </w:tr>
      <w:tr w:rsidR="00E6637B" w14:paraId="0745A95C" w14:textId="77777777">
        <w:tc>
          <w:tcPr>
            <w:tcW w:w="3960" w:type="dxa"/>
          </w:tcPr>
          <w:p w14:paraId="227C133C" w14:textId="77777777" w:rsidR="00E6637B" w:rsidRDefault="00000000">
            <w:pPr>
              <w:pStyle w:val="Compact"/>
            </w:pPr>
            <m:oMathPara>
              <m:oMath>
                <m:sSubSup>
                  <m:sSubSupPr>
                    <m:ctrlPr>
                      <w:rPr>
                        <w:rFonts w:ascii="Cambria Math" w:hAnsi="Cambria Math"/>
                      </w:rPr>
                    </m:ctrlPr>
                  </m:sSubSupPr>
                  <m:e>
                    <m:r>
                      <m:rPr>
                        <m:sty m:val="b"/>
                      </m:rPr>
                      <w:rPr>
                        <w:rFonts w:ascii="Cambria Math" w:hAnsi="Cambria Math"/>
                      </w:rPr>
                      <m:t>c</m:t>
                    </m:r>
                  </m:e>
                  <m:sub>
                    <m:r>
                      <w:rPr>
                        <w:rFonts w:ascii="Cambria Math" w:hAnsi="Cambria Math"/>
                      </w:rPr>
                      <m:t>i</m:t>
                    </m:r>
                  </m:sub>
                  <m:sup>
                    <m:r>
                      <m:rPr>
                        <m:sty m:val="p"/>
                      </m:rPr>
                      <w:rPr>
                        <w:rFonts w:ascii="Cambria Math" w:hAnsi="Cambria Math"/>
                      </w:rPr>
                      <m:t>IN</m:t>
                    </m:r>
                  </m:sup>
                </m:sSubSup>
              </m:oMath>
            </m:oMathPara>
          </w:p>
        </w:tc>
        <w:tc>
          <w:tcPr>
            <w:tcW w:w="3960" w:type="dxa"/>
          </w:tcPr>
          <w:p w14:paraId="0CFAA982" w14:textId="77777777" w:rsidR="00E6637B" w:rsidRDefault="00000000">
            <w:pPr>
              <w:pStyle w:val="Compact"/>
            </w:pPr>
            <w:r>
              <w:t xml:space="preserve">Unit-length contextual input generated by item </w:t>
            </w:r>
            <m:oMath>
              <m:r>
                <w:rPr>
                  <w:rFonts w:ascii="Cambria Math" w:hAnsi="Cambria Math"/>
                </w:rPr>
                <m:t>i</m:t>
              </m:r>
            </m:oMath>
          </w:p>
        </w:tc>
      </w:tr>
      <w:tr w:rsidR="00E6637B" w14:paraId="3C7048B7" w14:textId="77777777">
        <w:tc>
          <w:tcPr>
            <w:tcW w:w="3960" w:type="dxa"/>
          </w:tcPr>
          <w:p w14:paraId="167EECB1" w14:textId="77777777" w:rsidR="00E6637B" w:rsidRDefault="00000000">
            <w:pPr>
              <w:pStyle w:val="Compact"/>
            </w:pPr>
            <m:oMath>
              <m:sSup>
                <m:sSupPr>
                  <m:ctrlPr>
                    <w:rPr>
                      <w:rFonts w:ascii="Cambria Math" w:hAnsi="Cambria Math"/>
                    </w:rPr>
                  </m:ctrlPr>
                </m:sSupPr>
                <m:e>
                  <m:r>
                    <w:rPr>
                      <w:rFonts w:ascii="Cambria Math" w:hAnsi="Cambria Math"/>
                    </w:rPr>
                    <m:t>M</m:t>
                  </m:r>
                </m:e>
                <m:sup>
                  <m:r>
                    <w:rPr>
                      <w:rFonts w:ascii="Cambria Math" w:hAnsi="Cambria Math"/>
                    </w:rPr>
                    <m:t>FC</m:t>
                  </m:r>
                </m:sup>
              </m:sSup>
            </m:oMath>
            <w:r>
              <w:t xml:space="preserve">, </w:t>
            </w:r>
            <m:oMath>
              <m:sSup>
                <m:sSupPr>
                  <m:ctrlPr>
                    <w:rPr>
                      <w:rFonts w:ascii="Cambria Math" w:hAnsi="Cambria Math"/>
                    </w:rPr>
                  </m:ctrlPr>
                </m:sSupPr>
                <m:e>
                  <m:r>
                    <w:rPr>
                      <w:rFonts w:ascii="Cambria Math" w:hAnsi="Cambria Math"/>
                    </w:rPr>
                    <m:t>M</m:t>
                  </m:r>
                </m:e>
                <m:sup>
                  <m:r>
                    <w:rPr>
                      <w:rFonts w:ascii="Cambria Math" w:hAnsi="Cambria Math"/>
                    </w:rPr>
                    <m:t>CF</m:t>
                  </m:r>
                </m:sup>
              </m:sSup>
            </m:oMath>
          </w:p>
        </w:tc>
        <w:tc>
          <w:tcPr>
            <w:tcW w:w="3960" w:type="dxa"/>
          </w:tcPr>
          <w:p w14:paraId="1E4AF39B" w14:textId="77777777" w:rsidR="00E6637B" w:rsidRDefault="00000000">
            <w:pPr>
              <w:pStyle w:val="Compact"/>
            </w:pPr>
            <w:r>
              <w:t>Complete feature-to-context and context-to-feature associative mappings</w:t>
            </w:r>
          </w:p>
        </w:tc>
      </w:tr>
      <w:tr w:rsidR="00E6637B" w14:paraId="0891A177" w14:textId="77777777">
        <w:tc>
          <w:tcPr>
            <w:tcW w:w="3960" w:type="dxa"/>
          </w:tcPr>
          <w:p w14:paraId="3AA2724B" w14:textId="77777777" w:rsidR="00E6637B" w:rsidRDefault="00000000">
            <w:pPr>
              <w:pStyle w:val="Compact"/>
            </w:pPr>
            <m:oMath>
              <m:sSubSup>
                <m:sSubSupPr>
                  <m:ctrlPr>
                    <w:rPr>
                      <w:rFonts w:ascii="Cambria Math" w:hAnsi="Cambria Math"/>
                    </w:rPr>
                  </m:ctrlPr>
                </m:sSubSupPr>
                <m:e>
                  <m:r>
                    <w:rPr>
                      <w:rFonts w:ascii="Cambria Math" w:hAnsi="Cambria Math"/>
                    </w:rPr>
                    <m:t>M</m:t>
                  </m:r>
                </m:e>
                <m:sub>
                  <m:r>
                    <w:rPr>
                      <w:rFonts w:ascii="Cambria Math" w:hAnsi="Cambria Math"/>
                    </w:rPr>
                    <m:t>T</m:t>
                  </m:r>
                </m:sub>
                <m:sup>
                  <m:r>
                    <w:rPr>
                      <w:rFonts w:ascii="Cambria Math" w:hAnsi="Cambria Math"/>
                    </w:rPr>
                    <m:t>FC</m:t>
                  </m:r>
                </m:sup>
              </m:sSubSup>
            </m:oMath>
            <w:r>
              <w:t xml:space="preserve">, </w:t>
            </w:r>
            <m:oMath>
              <m:sSubSup>
                <m:sSubSupPr>
                  <m:ctrlPr>
                    <w:rPr>
                      <w:rFonts w:ascii="Cambria Math" w:hAnsi="Cambria Math"/>
                    </w:rPr>
                  </m:ctrlPr>
                </m:sSubSupPr>
                <m:e>
                  <m:r>
                    <w:rPr>
                      <w:rFonts w:ascii="Cambria Math" w:hAnsi="Cambria Math"/>
                    </w:rPr>
                    <m:t>M</m:t>
                  </m:r>
                </m:e>
                <m:sub>
                  <m:r>
                    <w:rPr>
                      <w:rFonts w:ascii="Cambria Math" w:hAnsi="Cambria Math"/>
                    </w:rPr>
                    <m:t>S</m:t>
                  </m:r>
                </m:sub>
                <m:sup>
                  <m:r>
                    <w:rPr>
                      <w:rFonts w:ascii="Cambria Math" w:hAnsi="Cambria Math"/>
                    </w:rPr>
                    <m:t>FC</m:t>
                  </m:r>
                </m:sup>
              </m:sSubSup>
            </m:oMath>
            <w:r>
              <w:t xml:space="preserve">, </w:t>
            </w:r>
            <m:oMath>
              <m:sSubSup>
                <m:sSubSupPr>
                  <m:ctrlPr>
                    <w:rPr>
                      <w:rFonts w:ascii="Cambria Math" w:hAnsi="Cambria Math"/>
                    </w:rPr>
                  </m:ctrlPr>
                </m:sSubSupPr>
                <m:e>
                  <m:r>
                    <w:rPr>
                      <w:rFonts w:ascii="Cambria Math" w:hAnsi="Cambria Math"/>
                    </w:rPr>
                    <m:t>M</m:t>
                  </m:r>
                </m:e>
                <m:sub>
                  <m:r>
                    <w:rPr>
                      <w:rFonts w:ascii="Cambria Math" w:hAnsi="Cambria Math"/>
                    </w:rPr>
                    <m:t>T</m:t>
                  </m:r>
                </m:sub>
                <m:sup>
                  <m:r>
                    <w:rPr>
                      <w:rFonts w:ascii="Cambria Math" w:hAnsi="Cambria Math"/>
                    </w:rPr>
                    <m:t>CF</m:t>
                  </m:r>
                </m:sup>
              </m:sSubSup>
            </m:oMath>
            <w:r>
              <w:t xml:space="preserve">, </w:t>
            </w:r>
            <m:oMath>
              <m:sSubSup>
                <m:sSubSupPr>
                  <m:ctrlPr>
                    <w:rPr>
                      <w:rFonts w:ascii="Cambria Math" w:hAnsi="Cambria Math"/>
                    </w:rPr>
                  </m:ctrlPr>
                </m:sSubSupPr>
                <m:e>
                  <m:r>
                    <w:rPr>
                      <w:rFonts w:ascii="Cambria Math" w:hAnsi="Cambria Math"/>
                    </w:rPr>
                    <m:t>M</m:t>
                  </m:r>
                </m:e>
                <m:sub>
                  <m:r>
                    <w:rPr>
                      <w:rFonts w:ascii="Cambria Math" w:hAnsi="Cambria Math"/>
                    </w:rPr>
                    <m:t>S</m:t>
                  </m:r>
                </m:sub>
                <m:sup>
                  <m:r>
                    <w:rPr>
                      <w:rFonts w:ascii="Cambria Math" w:hAnsi="Cambria Math"/>
                    </w:rPr>
                    <m:t>CF</m:t>
                  </m:r>
                </m:sup>
              </m:sSubSup>
            </m:oMath>
          </w:p>
        </w:tc>
        <w:tc>
          <w:tcPr>
            <w:tcW w:w="3960" w:type="dxa"/>
          </w:tcPr>
          <w:p w14:paraId="05076A9C" w14:textId="77777777" w:rsidR="00E6637B" w:rsidRDefault="00000000">
            <w:pPr>
              <w:pStyle w:val="Compact"/>
            </w:pPr>
            <w:r>
              <w:t>Temporal and source blocks of the two associative mappings</w:t>
            </w:r>
          </w:p>
        </w:tc>
      </w:tr>
      <w:tr w:rsidR="00E6637B" w14:paraId="39A828F6" w14:textId="77777777">
        <w:tc>
          <w:tcPr>
            <w:tcW w:w="3960" w:type="dxa"/>
          </w:tcPr>
          <w:p w14:paraId="55EC0DF3" w14:textId="77777777" w:rsidR="00E6637B" w:rsidRDefault="00000000">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i</m:t>
                    </m:r>
                  </m:sub>
                </m:sSub>
              </m:oMath>
            </m:oMathPara>
          </w:p>
        </w:tc>
        <w:tc>
          <w:tcPr>
            <w:tcW w:w="3960" w:type="dxa"/>
          </w:tcPr>
          <w:p w14:paraId="5BDFF433" w14:textId="77777777" w:rsidR="00E6637B" w:rsidRDefault="00000000">
            <w:pPr>
              <w:pStyle w:val="Compact"/>
            </w:pPr>
            <w:r>
              <w:t xml:space="preserve">Serial-position-dependent primacy multiplier for item </w:t>
            </w:r>
            <m:oMath>
              <m:r>
                <w:rPr>
                  <w:rFonts w:ascii="Cambria Math" w:hAnsi="Cambria Math"/>
                </w:rPr>
                <m:t>i</m:t>
              </m:r>
            </m:oMath>
          </w:p>
        </w:tc>
      </w:tr>
      <w:tr w:rsidR="00E6637B" w14:paraId="2F04E949" w14:textId="77777777">
        <w:tc>
          <w:tcPr>
            <w:tcW w:w="3960" w:type="dxa"/>
          </w:tcPr>
          <w:p w14:paraId="03383672" w14:textId="77777777" w:rsidR="00E6637B" w:rsidRDefault="00000000">
            <w:pPr>
              <w:pStyle w:val="Compact"/>
            </w:pPr>
            <m:oMathPara>
              <m:oMath>
                <m:sSubSup>
                  <m:sSubSupPr>
                    <m:ctrlPr>
                      <w:rPr>
                        <w:rFonts w:ascii="Cambria Math" w:hAnsi="Cambria Math"/>
                      </w:rPr>
                    </m:ctrlPr>
                  </m:sSubSupPr>
                  <m:e>
                    <m:r>
                      <w:rPr>
                        <w:rFonts w:ascii="Cambria Math" w:hAnsi="Cambria Math"/>
                      </w:rPr>
                      <m:t>S</m:t>
                    </m:r>
                  </m:e>
                  <m:sub>
                    <m:r>
                      <w:rPr>
                        <w:rFonts w:ascii="Cambria Math" w:hAnsi="Cambria Math"/>
                      </w:rPr>
                      <m:t>ij</m:t>
                    </m:r>
                  </m:sub>
                  <m:sup>
                    <m:r>
                      <w:rPr>
                        <w:rFonts w:ascii="Cambria Math" w:hAnsi="Cambria Math"/>
                      </w:rPr>
                      <m:t>S</m:t>
                    </m:r>
                  </m:sup>
                </m:sSubSup>
              </m:oMath>
            </m:oMathPara>
          </w:p>
        </w:tc>
        <w:tc>
          <w:tcPr>
            <w:tcW w:w="3960" w:type="dxa"/>
          </w:tcPr>
          <w:p w14:paraId="1E8D550F" w14:textId="77777777" w:rsidR="00E6637B" w:rsidRDefault="00000000">
            <w:pPr>
              <w:pStyle w:val="Compact"/>
            </w:pPr>
            <w:r>
              <w:t xml:space="preserve">Completed source context-to-item learning strength for item </w:t>
            </w:r>
            <m:oMath>
              <m:r>
                <w:rPr>
                  <w:rFonts w:ascii="Cambria Math" w:hAnsi="Cambria Math"/>
                </w:rPr>
                <m:t>i</m:t>
              </m:r>
            </m:oMath>
            <w:r>
              <w:t xml:space="preserve"> on list </w:t>
            </w:r>
            <m:oMath>
              <m:r>
                <w:rPr>
                  <w:rFonts w:ascii="Cambria Math" w:hAnsi="Cambria Math"/>
                </w:rPr>
                <m:t>j</m:t>
              </m:r>
            </m:oMath>
          </w:p>
        </w:tc>
      </w:tr>
      <w:tr w:rsidR="00E6637B" w14:paraId="3993CD74" w14:textId="77777777">
        <w:tc>
          <w:tcPr>
            <w:tcW w:w="3960" w:type="dxa"/>
          </w:tcPr>
          <w:p w14:paraId="6A764EEA" w14:textId="77777777" w:rsidR="00E6637B" w:rsidRDefault="00000000">
            <w:pPr>
              <w:pStyle w:val="Compact"/>
            </w:pPr>
            <m:oMathPara>
              <m:oMath>
                <m:sSub>
                  <m:sSubPr>
                    <m:ctrlPr>
                      <w:rPr>
                        <w:rFonts w:ascii="Cambria Math" w:hAnsi="Cambria Math"/>
                      </w:rPr>
                    </m:ctrlPr>
                  </m:sSubPr>
                  <m:e>
                    <m:r>
                      <w:rPr>
                        <w:rFonts w:ascii="Cambria Math" w:hAnsi="Cambria Math"/>
                      </w:rPr>
                      <m:t>e</m:t>
                    </m:r>
                  </m:e>
                  <m:sub>
                    <m:r>
                      <w:rPr>
                        <w:rFonts w:ascii="Cambria Math" w:hAnsi="Cambria Math"/>
                      </w:rPr>
                      <m:t>i</m:t>
                    </m:r>
                  </m:sub>
                </m:sSub>
              </m:oMath>
            </m:oMathPara>
          </w:p>
        </w:tc>
        <w:tc>
          <w:tcPr>
            <w:tcW w:w="3960" w:type="dxa"/>
          </w:tcPr>
          <w:p w14:paraId="57BE4617" w14:textId="77777777" w:rsidR="00E6637B" w:rsidRDefault="00000000">
            <w:pPr>
              <w:pStyle w:val="Compact"/>
            </w:pPr>
            <w:r>
              <w:t>Negative-item indicator: 1 for negative and 0 for neutral</w:t>
            </w:r>
          </w:p>
        </w:tc>
      </w:tr>
      <w:tr w:rsidR="00E6637B" w14:paraId="7E5972AF" w14:textId="77777777">
        <w:tc>
          <w:tcPr>
            <w:tcW w:w="3960" w:type="dxa"/>
          </w:tcPr>
          <w:p w14:paraId="763DA099" w14:textId="77777777" w:rsidR="00E6637B" w:rsidRDefault="00000000">
            <w:pPr>
              <w:pStyle w:val="Compact"/>
            </w:pPr>
            <m:oMathPara>
              <m:oMath>
                <m:sSub>
                  <m:sSubPr>
                    <m:ctrlPr>
                      <w:rPr>
                        <w:rFonts w:ascii="Cambria Math" w:hAnsi="Cambria Math"/>
                      </w:rPr>
                    </m:ctrlPr>
                  </m:sSubPr>
                  <m:e>
                    <m:r>
                      <w:rPr>
                        <w:rFonts w:ascii="Cambria Math" w:hAnsi="Cambria Math"/>
                      </w:rPr>
                      <m:t>z</m:t>
                    </m:r>
                  </m:e>
                  <m:sub>
                    <m:r>
                      <w:rPr>
                        <w:rFonts w:ascii="Cambria Math" w:hAnsi="Cambria Math"/>
                      </w:rPr>
                      <m:t>ij</m:t>
                    </m:r>
                  </m:sub>
                </m:sSub>
              </m:oMath>
            </m:oMathPara>
          </w:p>
        </w:tc>
        <w:tc>
          <w:tcPr>
            <w:tcW w:w="3960" w:type="dxa"/>
          </w:tcPr>
          <w:p w14:paraId="3546F608" w14:textId="77777777" w:rsidR="00E6637B" w:rsidRDefault="00000000">
            <w:pPr>
              <w:pStyle w:val="Compact"/>
            </w:pPr>
            <w:r>
              <w:t xml:space="preserve">Within-list mean-centered Early LPP for item </w:t>
            </w:r>
            <m:oMath>
              <m:r>
                <w:rPr>
                  <w:rFonts w:ascii="Cambria Math" w:hAnsi="Cambria Math"/>
                </w:rPr>
                <m:t>i</m:t>
              </m:r>
            </m:oMath>
            <w:r>
              <w:t xml:space="preserve"> on list </w:t>
            </w:r>
            <m:oMath>
              <m:r>
                <w:rPr>
                  <w:rFonts w:ascii="Cambria Math" w:hAnsi="Cambria Math"/>
                </w:rPr>
                <m:t>j</m:t>
              </m:r>
            </m:oMath>
          </w:p>
        </w:tc>
      </w:tr>
      <w:tr w:rsidR="00E6637B" w14:paraId="7657BED2" w14:textId="77777777">
        <w:tc>
          <w:tcPr>
            <w:tcW w:w="3960" w:type="dxa"/>
          </w:tcPr>
          <w:p w14:paraId="4891A55A" w14:textId="77777777" w:rsidR="00E6637B" w:rsidRDefault="00000000">
            <w:pPr>
              <w:pStyle w:val="Compact"/>
            </w:pPr>
            <m:oMathPara>
              <m:oMath>
                <m:sSub>
                  <m:sSubPr>
                    <m:ctrlPr>
                      <w:rPr>
                        <w:rFonts w:ascii="Cambria Math" w:hAnsi="Cambria Math"/>
                      </w:rPr>
                    </m:ctrlPr>
                  </m:sSubPr>
                  <m:e>
                    <m:r>
                      <w:rPr>
                        <w:rFonts w:ascii="Cambria Math" w:hAnsi="Cambria Math"/>
                      </w:rPr>
                      <m:t>a</m:t>
                    </m:r>
                  </m:e>
                  <m:sub>
                    <m:r>
                      <w:rPr>
                        <w:rFonts w:ascii="Cambria Math" w:hAnsi="Cambria Math"/>
                      </w:rPr>
                      <m:t>i</m:t>
                    </m:r>
                  </m:sub>
                </m:sSub>
              </m:oMath>
            </m:oMathPara>
          </w:p>
        </w:tc>
        <w:tc>
          <w:tcPr>
            <w:tcW w:w="3960" w:type="dxa"/>
          </w:tcPr>
          <w:p w14:paraId="16813840" w14:textId="77777777" w:rsidR="00E6637B" w:rsidRDefault="00000000">
            <w:pPr>
              <w:pStyle w:val="Compact"/>
            </w:pPr>
            <w:r>
              <w:t xml:space="preserve">Context-derived support for item </w:t>
            </w:r>
            <m:oMath>
              <m:r>
                <w:rPr>
                  <w:rFonts w:ascii="Cambria Math" w:hAnsi="Cambria Math"/>
                </w:rPr>
                <m:t>i</m:t>
              </m:r>
            </m:oMath>
          </w:p>
        </w:tc>
      </w:tr>
      <w:tr w:rsidR="00E6637B" w14:paraId="491F1524" w14:textId="77777777">
        <w:tc>
          <w:tcPr>
            <w:tcW w:w="3960" w:type="dxa"/>
          </w:tcPr>
          <w:p w14:paraId="1F407ABF" w14:textId="77777777" w:rsidR="00E6637B" w:rsidRDefault="00000000">
            <w:pPr>
              <w:pStyle w:val="Compact"/>
            </w:pPr>
            <m:oMathPara>
              <m:oMath>
                <m:sSub>
                  <m:sSubPr>
                    <m:ctrlPr>
                      <w:rPr>
                        <w:rFonts w:ascii="Cambria Math" w:hAnsi="Cambria Math"/>
                      </w:rPr>
                    </m:ctrlPr>
                  </m:sSubPr>
                  <m:e>
                    <m:r>
                      <m:rPr>
                        <m:scr m:val="script"/>
                        <m:sty m:val="p"/>
                      </m:rPr>
                      <w:rPr>
                        <w:rFonts w:ascii="Cambria Math" w:hAnsi="Cambria Math"/>
                      </w:rPr>
                      <m:t>A</m:t>
                    </m:r>
                  </m:e>
                  <m:sub>
                    <m:r>
                      <w:rPr>
                        <w:rFonts w:ascii="Cambria Math" w:hAnsi="Cambria Math"/>
                      </w:rPr>
                      <m:t>t</m:t>
                    </m:r>
                  </m:sub>
                </m:sSub>
              </m:oMath>
            </m:oMathPara>
          </w:p>
        </w:tc>
        <w:tc>
          <w:tcPr>
            <w:tcW w:w="3960" w:type="dxa"/>
          </w:tcPr>
          <w:p w14:paraId="07B1BFFE" w14:textId="77777777" w:rsidR="00E6637B" w:rsidRDefault="00000000">
            <w:pPr>
              <w:pStyle w:val="Compact"/>
            </w:pPr>
            <w:r>
              <w:t xml:space="preserve">Studied items still available at recall position </w:t>
            </w:r>
            <m:oMath>
              <m:r>
                <w:rPr>
                  <w:rFonts w:ascii="Cambria Math" w:hAnsi="Cambria Math"/>
                </w:rPr>
                <m:t>t</m:t>
              </m:r>
            </m:oMath>
          </w:p>
        </w:tc>
      </w:tr>
      <w:tr w:rsidR="00E6637B" w14:paraId="03415DB4" w14:textId="77777777">
        <w:tc>
          <w:tcPr>
            <w:tcW w:w="3960" w:type="dxa"/>
          </w:tcPr>
          <w:p w14:paraId="487AE3D0" w14:textId="77777777" w:rsidR="00E6637B" w:rsidRDefault="00000000">
            <w:pPr>
              <w:pStyle w:val="Compact"/>
            </w:pP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j</m:t>
                  </m:r>
                </m:sub>
              </m:sSub>
            </m:oMath>
            <w:r>
              <w:t xml:space="preserve">, </w:t>
            </w:r>
            <m:oMath>
              <m:sSub>
                <m:sSubPr>
                  <m:ctrlPr>
                    <w:rPr>
                      <w:rFonts w:ascii="Cambria Math" w:hAnsi="Cambria Math"/>
                    </w:rPr>
                  </m:ctrlPr>
                </m:sSubPr>
                <m:e>
                  <m:r>
                    <w:rPr>
                      <w:rFonts w:ascii="Cambria Math" w:hAnsi="Cambria Math"/>
                    </w:rPr>
                    <m:t>n</m:t>
                  </m:r>
                </m:e>
                <m:sub>
                  <m:r>
                    <w:rPr>
                      <w:rFonts w:ascii="Cambria Math" w:hAnsi="Cambria Math"/>
                    </w:rPr>
                    <m:t>j</m:t>
                  </m:r>
                </m:sub>
              </m:sSub>
            </m:oMath>
          </w:p>
        </w:tc>
        <w:tc>
          <w:tcPr>
            <w:tcW w:w="3960" w:type="dxa"/>
          </w:tcPr>
          <w:p w14:paraId="2D828552" w14:textId="77777777" w:rsidR="00E6637B" w:rsidRDefault="00000000">
            <w:pPr>
              <w:pStyle w:val="Compact"/>
            </w:pPr>
            <w:r>
              <w:t xml:space="preserve">Observed recalled set from list </w:t>
            </w:r>
            <m:oMath>
              <m:r>
                <w:rPr>
                  <w:rFonts w:ascii="Cambria Math" w:hAnsi="Cambria Math"/>
                </w:rPr>
                <m:t>j</m:t>
              </m:r>
            </m:oMath>
            <w:r>
              <w:t xml:space="preserve"> and its size</w:t>
            </w:r>
          </w:p>
        </w:tc>
      </w:tr>
      <w:tr w:rsidR="00E6637B" w14:paraId="450D83B3" w14:textId="77777777">
        <w:tc>
          <w:tcPr>
            <w:tcW w:w="3960" w:type="dxa"/>
          </w:tcPr>
          <w:p w14:paraId="7DB47DBB" w14:textId="77777777" w:rsidR="00E6637B" w:rsidRDefault="00000000">
            <w:pPr>
              <w:pStyle w:val="Compact"/>
            </w:pPr>
            <m:oMathPara>
              <m:oMath>
                <m:r>
                  <m:rPr>
                    <m:sty m:val="b"/>
                  </m:rPr>
                  <w:rPr>
                    <w:rFonts w:ascii="Cambria Math" w:hAnsi="Cambria Math"/>
                  </w:rPr>
                  <m:t>θ</m:t>
                </m:r>
              </m:oMath>
            </m:oMathPara>
          </w:p>
        </w:tc>
        <w:tc>
          <w:tcPr>
            <w:tcW w:w="3960" w:type="dxa"/>
          </w:tcPr>
          <w:p w14:paraId="104869BF" w14:textId="77777777" w:rsidR="00E6637B" w:rsidRDefault="00000000">
            <w:pPr>
              <w:pStyle w:val="Compact"/>
            </w:pPr>
            <w:r>
              <w:t>Complete fitted parameter vector for one model</w:t>
            </w:r>
          </w:p>
        </w:tc>
      </w:tr>
    </w:tbl>
    <w:p w14:paraId="32825686" w14:textId="77777777" w:rsidR="00E6637B" w:rsidRDefault="00000000">
      <w:pPr>
        <w:pStyle w:val="Heading2"/>
      </w:pPr>
      <w:bookmarkStart w:id="23" w:name="complete-pooled-parameter-estimates"/>
      <w:bookmarkEnd w:id="21"/>
      <w:bookmarkEnd w:id="22"/>
      <w:r>
        <w:t>Complete pooled parameter estimates</w:t>
      </w:r>
    </w:p>
    <w:p w14:paraId="4D3E2D1E" w14:textId="77777777" w:rsidR="00E6637B" w:rsidRDefault="00000000">
      <w:pPr>
        <w:pStyle w:val="FirstParagraph"/>
      </w:pPr>
      <w:hyperlink w:anchor="tbl-primary-model-key">
        <w:r>
          <w:rPr>
            <w:rStyle w:val="Hyperlink"/>
          </w:rPr>
          <w:t>Table 7</w:t>
        </w:r>
      </w:hyperlink>
      <w:r>
        <w:t xml:space="preserve"> defines the compact model codes used in </w:t>
      </w:r>
      <w:hyperlink w:anchor="tbl-model-parameters">
        <w:r>
          <w:rPr>
            <w:rStyle w:val="Hyperlink"/>
          </w:rPr>
          <w:t>Table 8</w:t>
        </w:r>
      </w:hyperlink>
      <w:r>
        <w:t>.</w:t>
      </w:r>
    </w:p>
    <w:p w14:paraId="6555BAF4" w14:textId="77777777" w:rsidR="00E6637B" w:rsidRDefault="00000000">
      <w:pPr>
        <w:pStyle w:val="FigureTitle"/>
      </w:pPr>
      <w:bookmarkStart w:id="24" w:name="tbl-primary-model-key"/>
      <w:r>
        <w:lastRenderedPageBreak/>
        <w:t>Table 7</w:t>
      </w:r>
    </w:p>
    <w:p w14:paraId="24F2016D" w14:textId="77777777" w:rsidR="00E6637B" w:rsidRDefault="00000000">
      <w:pPr>
        <w:pStyle w:val="Caption"/>
      </w:pPr>
      <w:r>
        <w:t xml:space="preserve">Key for the six primary model columns in </w:t>
      </w:r>
      <w:hyperlink w:anchor="tbl-model-parameters">
        <w:r>
          <w:rPr>
            <w:rStyle w:val="Hyperlink"/>
          </w:rPr>
          <w:t>Table 8</w:t>
        </w:r>
      </w:hyperlink>
      <w:r>
        <w:t>.</w:t>
      </w:r>
    </w:p>
    <w:tbl>
      <w:tblPr>
        <w:tblStyle w:val="Table"/>
        <w:tblW w:w="5000" w:type="pct"/>
        <w:tblLayout w:type="fixed"/>
        <w:tblLook w:val="0020" w:firstRow="1" w:lastRow="0" w:firstColumn="0" w:lastColumn="0" w:noHBand="0" w:noVBand="0"/>
      </w:tblPr>
      <w:tblGrid>
        <w:gridCol w:w="2880"/>
        <w:gridCol w:w="2160"/>
        <w:gridCol w:w="2160"/>
        <w:gridCol w:w="2160"/>
      </w:tblGrid>
      <w:tr w:rsidR="00E6637B" w14:paraId="360AB098" w14:textId="77777777" w:rsidTr="00E6637B">
        <w:trPr>
          <w:cnfStyle w:val="100000000000" w:firstRow="1" w:lastRow="0" w:firstColumn="0" w:lastColumn="0" w:oddVBand="0" w:evenVBand="0" w:oddHBand="0" w:evenHBand="0" w:firstRowFirstColumn="0" w:firstRowLastColumn="0" w:lastRowFirstColumn="0" w:lastRowLastColumn="0"/>
          <w:tblHeader/>
        </w:trPr>
        <w:tc>
          <w:tcPr>
            <w:tcW w:w="2436" w:type="dxa"/>
          </w:tcPr>
          <w:p w14:paraId="732D83D1" w14:textId="77777777" w:rsidR="00E6637B" w:rsidRDefault="00000000">
            <w:pPr>
              <w:pStyle w:val="Compact"/>
              <w:jc w:val="center"/>
            </w:pPr>
            <w:r>
              <w:t>Code</w:t>
            </w:r>
          </w:p>
        </w:tc>
        <w:tc>
          <w:tcPr>
            <w:tcW w:w="1827" w:type="dxa"/>
          </w:tcPr>
          <w:p w14:paraId="3426E53C" w14:textId="77777777" w:rsidR="00E6637B" w:rsidRDefault="00000000">
            <w:pPr>
              <w:pStyle w:val="Compact"/>
            </w:pPr>
            <w:r>
              <w:t>Emotional-learning multiplier</w:t>
            </w:r>
          </w:p>
        </w:tc>
        <w:tc>
          <w:tcPr>
            <w:tcW w:w="1827" w:type="dxa"/>
          </w:tcPr>
          <w:p w14:paraId="5334EF76" w14:textId="77777777" w:rsidR="00E6637B" w:rsidRDefault="00000000">
            <w:pPr>
              <w:pStyle w:val="Compact"/>
            </w:pPr>
            <w:r>
              <w:t>Early-LPP mapping</w:t>
            </w:r>
          </w:p>
        </w:tc>
        <w:tc>
          <w:tcPr>
            <w:tcW w:w="1827" w:type="dxa"/>
          </w:tcPr>
          <w:p w14:paraId="30D35257" w14:textId="77777777" w:rsidR="00E6637B" w:rsidRDefault="00000000">
            <w:pPr>
              <w:pStyle w:val="Compact"/>
            </w:pPr>
            <w:r>
              <w:t>Manuscript label</w:t>
            </w:r>
          </w:p>
        </w:tc>
      </w:tr>
      <w:tr w:rsidR="00E6637B" w14:paraId="72E1399D" w14:textId="77777777">
        <w:tc>
          <w:tcPr>
            <w:tcW w:w="2436" w:type="dxa"/>
          </w:tcPr>
          <w:p w14:paraId="53257AA7" w14:textId="77777777" w:rsidR="00E6637B" w:rsidRDefault="00000000">
            <w:pPr>
              <w:pStyle w:val="Compact"/>
              <w:jc w:val="center"/>
            </w:pPr>
            <w:r>
              <w:t>A</w:t>
            </w:r>
          </w:p>
        </w:tc>
        <w:tc>
          <w:tcPr>
            <w:tcW w:w="1827" w:type="dxa"/>
          </w:tcPr>
          <w:p w14:paraId="5FDF44CA" w14:textId="77777777" w:rsidR="00E6637B" w:rsidRDefault="00000000">
            <w:pPr>
              <w:pStyle w:val="Compact"/>
            </w:pPr>
            <w:r>
              <w:t>Fixed at 1</w:t>
            </w:r>
          </w:p>
        </w:tc>
        <w:tc>
          <w:tcPr>
            <w:tcW w:w="1827" w:type="dxa"/>
          </w:tcPr>
          <w:p w14:paraId="135ED759" w14:textId="77777777" w:rsidR="00E6637B" w:rsidRDefault="00000000">
            <w:pPr>
              <w:pStyle w:val="Compact"/>
            </w:pPr>
            <w:r>
              <w:t>None</w:t>
            </w:r>
          </w:p>
        </w:tc>
        <w:tc>
          <w:tcPr>
            <w:tcW w:w="1827" w:type="dxa"/>
          </w:tcPr>
          <w:p w14:paraId="38781C44" w14:textId="77777777" w:rsidR="00E6637B" w:rsidRDefault="00000000">
            <w:pPr>
              <w:pStyle w:val="Compact"/>
            </w:pPr>
            <w:r>
              <w:t>Source-context baseline</w:t>
            </w:r>
          </w:p>
        </w:tc>
      </w:tr>
      <w:tr w:rsidR="00E6637B" w14:paraId="15108F0F" w14:textId="77777777">
        <w:tc>
          <w:tcPr>
            <w:tcW w:w="2436" w:type="dxa"/>
          </w:tcPr>
          <w:p w14:paraId="456C1EDE" w14:textId="77777777" w:rsidR="00E6637B" w:rsidRDefault="00000000">
            <w:pPr>
              <w:pStyle w:val="Compact"/>
              <w:jc w:val="center"/>
            </w:pPr>
            <w:r>
              <w:t>B</w:t>
            </w:r>
          </w:p>
        </w:tc>
        <w:tc>
          <w:tcPr>
            <w:tcW w:w="1827" w:type="dxa"/>
          </w:tcPr>
          <w:p w14:paraId="5FE8F49A" w14:textId="77777777" w:rsidR="00E6637B" w:rsidRDefault="00000000">
            <w:pPr>
              <w:pStyle w:val="Compact"/>
            </w:pPr>
            <w:r>
              <w:t>Fixed at 1</w:t>
            </w:r>
          </w:p>
        </w:tc>
        <w:tc>
          <w:tcPr>
            <w:tcW w:w="1827" w:type="dxa"/>
          </w:tcPr>
          <w:p w14:paraId="06FC9C81" w14:textId="77777777" w:rsidR="00E6637B" w:rsidRDefault="00000000">
            <w:pPr>
              <w:pStyle w:val="Compact"/>
            </w:pPr>
            <w:r>
              <w:t>General</w:t>
            </w:r>
          </w:p>
        </w:tc>
        <w:tc>
          <w:tcPr>
            <w:tcW w:w="1827" w:type="dxa"/>
          </w:tcPr>
          <w:p w14:paraId="240CAB33" w14:textId="77777777" w:rsidR="00E6637B" w:rsidRDefault="00000000">
            <w:pPr>
              <w:pStyle w:val="Compact"/>
            </w:pPr>
            <w:r>
              <w:t>General-LPP model</w:t>
            </w:r>
          </w:p>
        </w:tc>
      </w:tr>
      <w:tr w:rsidR="00E6637B" w14:paraId="60E6C1E5" w14:textId="77777777">
        <w:tc>
          <w:tcPr>
            <w:tcW w:w="2436" w:type="dxa"/>
          </w:tcPr>
          <w:p w14:paraId="374CE986" w14:textId="77777777" w:rsidR="00E6637B" w:rsidRDefault="00000000">
            <w:pPr>
              <w:pStyle w:val="Compact"/>
              <w:jc w:val="center"/>
            </w:pPr>
            <w:r>
              <w:t>C</w:t>
            </w:r>
          </w:p>
        </w:tc>
        <w:tc>
          <w:tcPr>
            <w:tcW w:w="1827" w:type="dxa"/>
          </w:tcPr>
          <w:p w14:paraId="1CA78090" w14:textId="77777777" w:rsidR="00E6637B" w:rsidRDefault="00000000">
            <w:pPr>
              <w:pStyle w:val="Compact"/>
            </w:pPr>
            <w:r>
              <w:t>Fixed at 1</w:t>
            </w:r>
          </w:p>
        </w:tc>
        <w:tc>
          <w:tcPr>
            <w:tcW w:w="1827" w:type="dxa"/>
          </w:tcPr>
          <w:p w14:paraId="60FBE7B5" w14:textId="77777777" w:rsidR="00E6637B" w:rsidRDefault="00000000">
            <w:pPr>
              <w:pStyle w:val="Compact"/>
            </w:pPr>
            <w:r>
              <w:t>Emotion-dependent</w:t>
            </w:r>
          </w:p>
        </w:tc>
        <w:tc>
          <w:tcPr>
            <w:tcW w:w="1827" w:type="dxa"/>
          </w:tcPr>
          <w:p w14:paraId="3AF4EAF6" w14:textId="77777777" w:rsidR="00E6637B" w:rsidRDefault="00000000">
            <w:pPr>
              <w:pStyle w:val="Compact"/>
            </w:pPr>
            <w:r>
              <w:t>Emotion-dependent-LPP model</w:t>
            </w:r>
          </w:p>
        </w:tc>
      </w:tr>
      <w:tr w:rsidR="00E6637B" w14:paraId="2854A838" w14:textId="77777777">
        <w:tc>
          <w:tcPr>
            <w:tcW w:w="2436" w:type="dxa"/>
          </w:tcPr>
          <w:p w14:paraId="0FA968ED" w14:textId="77777777" w:rsidR="00E6637B" w:rsidRDefault="00000000">
            <w:pPr>
              <w:pStyle w:val="Compact"/>
              <w:jc w:val="center"/>
            </w:pPr>
            <w:r>
              <w:t>D</w:t>
            </w:r>
          </w:p>
        </w:tc>
        <w:tc>
          <w:tcPr>
            <w:tcW w:w="1827" w:type="dxa"/>
          </w:tcPr>
          <w:p w14:paraId="712B13CD" w14:textId="77777777" w:rsidR="00E6637B" w:rsidRDefault="00000000">
            <w:pPr>
              <w:pStyle w:val="Compact"/>
            </w:pPr>
            <w:r>
              <w:t>Estimated</w:t>
            </w:r>
          </w:p>
        </w:tc>
        <w:tc>
          <w:tcPr>
            <w:tcW w:w="1827" w:type="dxa"/>
          </w:tcPr>
          <w:p w14:paraId="1CA39929" w14:textId="77777777" w:rsidR="00E6637B" w:rsidRDefault="00000000">
            <w:pPr>
              <w:pStyle w:val="Compact"/>
            </w:pPr>
            <w:r>
              <w:t>None</w:t>
            </w:r>
          </w:p>
        </w:tc>
        <w:tc>
          <w:tcPr>
            <w:tcW w:w="1827" w:type="dxa"/>
          </w:tcPr>
          <w:p w14:paraId="4B376CC5" w14:textId="77777777" w:rsidR="00E6637B" w:rsidRDefault="00000000">
            <w:pPr>
              <w:pStyle w:val="Compact"/>
            </w:pPr>
            <w:r>
              <w:t>Preferential-learning model</w:t>
            </w:r>
          </w:p>
        </w:tc>
      </w:tr>
      <w:tr w:rsidR="00E6637B" w14:paraId="3ACEE54A" w14:textId="77777777">
        <w:tc>
          <w:tcPr>
            <w:tcW w:w="2436" w:type="dxa"/>
          </w:tcPr>
          <w:p w14:paraId="52C64056" w14:textId="77777777" w:rsidR="00E6637B" w:rsidRDefault="00000000">
            <w:pPr>
              <w:pStyle w:val="Compact"/>
              <w:jc w:val="center"/>
            </w:pPr>
            <w:r>
              <w:t>E</w:t>
            </w:r>
          </w:p>
        </w:tc>
        <w:tc>
          <w:tcPr>
            <w:tcW w:w="1827" w:type="dxa"/>
          </w:tcPr>
          <w:p w14:paraId="1A9F14D6" w14:textId="77777777" w:rsidR="00E6637B" w:rsidRDefault="00000000">
            <w:pPr>
              <w:pStyle w:val="Compact"/>
            </w:pPr>
            <w:r>
              <w:t>Estimated</w:t>
            </w:r>
          </w:p>
        </w:tc>
        <w:tc>
          <w:tcPr>
            <w:tcW w:w="1827" w:type="dxa"/>
          </w:tcPr>
          <w:p w14:paraId="63EF174D" w14:textId="77777777" w:rsidR="00E6637B" w:rsidRDefault="00000000">
            <w:pPr>
              <w:pStyle w:val="Compact"/>
            </w:pPr>
            <w:r>
              <w:t>General</w:t>
            </w:r>
          </w:p>
        </w:tc>
        <w:tc>
          <w:tcPr>
            <w:tcW w:w="1827" w:type="dxa"/>
          </w:tcPr>
          <w:p w14:paraId="665DE2B3" w14:textId="77777777" w:rsidR="00E6637B" w:rsidRDefault="00000000">
            <w:pPr>
              <w:pStyle w:val="Compact"/>
            </w:pPr>
            <w:r>
              <w:t>Preferential learning + General-LPP model</w:t>
            </w:r>
          </w:p>
        </w:tc>
      </w:tr>
      <w:tr w:rsidR="00E6637B" w14:paraId="03E7348C" w14:textId="77777777">
        <w:tc>
          <w:tcPr>
            <w:tcW w:w="2436" w:type="dxa"/>
          </w:tcPr>
          <w:p w14:paraId="2E3F0FD1" w14:textId="77777777" w:rsidR="00E6637B" w:rsidRDefault="00000000">
            <w:pPr>
              <w:pStyle w:val="Compact"/>
              <w:jc w:val="center"/>
            </w:pPr>
            <w:r>
              <w:t>F</w:t>
            </w:r>
          </w:p>
        </w:tc>
        <w:tc>
          <w:tcPr>
            <w:tcW w:w="1827" w:type="dxa"/>
          </w:tcPr>
          <w:p w14:paraId="444E86CA" w14:textId="77777777" w:rsidR="00E6637B" w:rsidRDefault="00000000">
            <w:pPr>
              <w:pStyle w:val="Compact"/>
            </w:pPr>
            <w:r>
              <w:t>Estimated</w:t>
            </w:r>
          </w:p>
        </w:tc>
        <w:tc>
          <w:tcPr>
            <w:tcW w:w="1827" w:type="dxa"/>
          </w:tcPr>
          <w:p w14:paraId="1395C043" w14:textId="77777777" w:rsidR="00E6637B" w:rsidRDefault="00000000">
            <w:pPr>
              <w:pStyle w:val="Compact"/>
            </w:pPr>
            <w:r>
              <w:t>Emotion-dependent</w:t>
            </w:r>
          </w:p>
        </w:tc>
        <w:tc>
          <w:tcPr>
            <w:tcW w:w="1827" w:type="dxa"/>
          </w:tcPr>
          <w:p w14:paraId="72FD8BC0" w14:textId="77777777" w:rsidR="00E6637B" w:rsidRDefault="00000000">
            <w:pPr>
              <w:pStyle w:val="Compact"/>
            </w:pPr>
            <w:r>
              <w:t>Preferential learning + Emotion-dependent-LPP model</w:t>
            </w:r>
          </w:p>
        </w:tc>
      </w:tr>
    </w:tbl>
    <w:bookmarkEnd w:id="24"/>
    <w:p w14:paraId="57D792A2" w14:textId="77777777" w:rsidR="00E6637B" w:rsidRDefault="00000000">
      <w:pPr>
        <w:pStyle w:val="AfterWithoutNote"/>
      </w:pPr>
      <w:r>
        <w:t xml:space="preserve"> </w:t>
      </w:r>
    </w:p>
    <w:p w14:paraId="04213E67" w14:textId="77777777" w:rsidR="00E6637B" w:rsidRDefault="00000000">
      <w:pPr>
        <w:pStyle w:val="FigureTitle"/>
      </w:pPr>
      <w:bookmarkStart w:id="25" w:name="tbl-model-parameters"/>
      <w:r>
        <w:t>Table 8</w:t>
      </w:r>
    </w:p>
    <w:p w14:paraId="0A6397F7" w14:textId="77777777" w:rsidR="00E6637B" w:rsidRDefault="00000000">
      <w:pPr>
        <w:pStyle w:val="Caption"/>
      </w:pPr>
      <w:r>
        <w:t xml:space="preserve">Best-found pooled parameter estimates for the six primary models. Values are rounded for presentation; square brackets identify fixed values. Parameter roles and fitted ranges are reported in </w:t>
      </w:r>
      <w:hyperlink w:anchor="tbl-model-parameter-spec">
        <w:r>
          <w:rPr>
            <w:rStyle w:val="Hyperlink"/>
          </w:rPr>
          <w:t>Table 2</w:t>
        </w:r>
      </w:hyperlink>
      <w:r>
        <w:t>.</w:t>
      </w:r>
    </w:p>
    <w:tbl>
      <w:tblPr>
        <w:tblStyle w:val="Table"/>
        <w:tblW w:w="5000" w:type="pct"/>
        <w:tblLayout w:type="fixed"/>
        <w:tblLook w:val="0020" w:firstRow="1" w:lastRow="0" w:firstColumn="0" w:lastColumn="0" w:noHBand="0" w:noVBand="0"/>
      </w:tblPr>
      <w:tblGrid>
        <w:gridCol w:w="1338"/>
        <w:gridCol w:w="1337"/>
        <w:gridCol w:w="1337"/>
        <w:gridCol w:w="1337"/>
        <w:gridCol w:w="1337"/>
        <w:gridCol w:w="1337"/>
        <w:gridCol w:w="1337"/>
      </w:tblGrid>
      <w:tr w:rsidR="00E6637B" w14:paraId="011FA657" w14:textId="77777777" w:rsidTr="00E6637B">
        <w:trPr>
          <w:cnfStyle w:val="100000000000" w:firstRow="1" w:lastRow="0" w:firstColumn="0" w:lastColumn="0" w:oddVBand="0" w:evenVBand="0" w:oddHBand="0" w:evenHBand="0" w:firstRowFirstColumn="0" w:firstRowLastColumn="0" w:lastRowFirstColumn="0" w:lastRowLastColumn="0"/>
          <w:tblHeader/>
        </w:trPr>
        <w:tc>
          <w:tcPr>
            <w:tcW w:w="1131" w:type="dxa"/>
          </w:tcPr>
          <w:p w14:paraId="29C98818" w14:textId="77777777" w:rsidR="00E6637B" w:rsidRDefault="00000000">
            <w:pPr>
              <w:pStyle w:val="Compact"/>
            </w:pPr>
            <w:r>
              <w:t>Parameter</w:t>
            </w:r>
          </w:p>
        </w:tc>
        <w:tc>
          <w:tcPr>
            <w:tcW w:w="1131" w:type="dxa"/>
          </w:tcPr>
          <w:p w14:paraId="3376BE63" w14:textId="77777777" w:rsidR="00E6637B" w:rsidRDefault="00000000">
            <w:pPr>
              <w:pStyle w:val="Compact"/>
              <w:jc w:val="right"/>
            </w:pPr>
            <w:r>
              <w:t>A</w:t>
            </w:r>
          </w:p>
        </w:tc>
        <w:tc>
          <w:tcPr>
            <w:tcW w:w="1131" w:type="dxa"/>
          </w:tcPr>
          <w:p w14:paraId="6D72A23F" w14:textId="77777777" w:rsidR="00E6637B" w:rsidRDefault="00000000">
            <w:pPr>
              <w:pStyle w:val="Compact"/>
              <w:jc w:val="right"/>
            </w:pPr>
            <w:r>
              <w:t>B</w:t>
            </w:r>
          </w:p>
        </w:tc>
        <w:tc>
          <w:tcPr>
            <w:tcW w:w="1131" w:type="dxa"/>
          </w:tcPr>
          <w:p w14:paraId="61C73343" w14:textId="77777777" w:rsidR="00E6637B" w:rsidRDefault="00000000">
            <w:pPr>
              <w:pStyle w:val="Compact"/>
              <w:jc w:val="right"/>
            </w:pPr>
            <w:r>
              <w:t>C</w:t>
            </w:r>
          </w:p>
        </w:tc>
        <w:tc>
          <w:tcPr>
            <w:tcW w:w="1131" w:type="dxa"/>
          </w:tcPr>
          <w:p w14:paraId="32066C3B" w14:textId="77777777" w:rsidR="00E6637B" w:rsidRDefault="00000000">
            <w:pPr>
              <w:pStyle w:val="Compact"/>
              <w:jc w:val="right"/>
            </w:pPr>
            <w:r>
              <w:t>D</w:t>
            </w:r>
          </w:p>
        </w:tc>
        <w:tc>
          <w:tcPr>
            <w:tcW w:w="1131" w:type="dxa"/>
          </w:tcPr>
          <w:p w14:paraId="3B72D393" w14:textId="77777777" w:rsidR="00E6637B" w:rsidRDefault="00000000">
            <w:pPr>
              <w:pStyle w:val="Compact"/>
              <w:jc w:val="right"/>
            </w:pPr>
            <w:r>
              <w:t>E</w:t>
            </w:r>
          </w:p>
        </w:tc>
        <w:tc>
          <w:tcPr>
            <w:tcW w:w="1131" w:type="dxa"/>
          </w:tcPr>
          <w:p w14:paraId="3F2B7476" w14:textId="77777777" w:rsidR="00E6637B" w:rsidRDefault="00000000">
            <w:pPr>
              <w:pStyle w:val="Compact"/>
              <w:jc w:val="right"/>
            </w:pPr>
            <w:r>
              <w:t>F</w:t>
            </w:r>
          </w:p>
        </w:tc>
      </w:tr>
      <w:tr w:rsidR="00E6637B" w14:paraId="02999658" w14:textId="77777777">
        <w:tc>
          <w:tcPr>
            <w:tcW w:w="1131" w:type="dxa"/>
          </w:tcPr>
          <w:p w14:paraId="363D186B" w14:textId="77777777" w:rsidR="00E6637B" w:rsidRDefault="00000000">
            <w:pPr>
              <w:pStyle w:val="Compact"/>
            </w:pPr>
            <m:oMathPara>
              <m:oMath>
                <m:sSubSup>
                  <m:sSubSupPr>
                    <m:ctrlPr>
                      <w:rPr>
                        <w:rFonts w:ascii="Cambria Math" w:hAnsi="Cambria Math"/>
                      </w:rPr>
                    </m:ctrlPr>
                  </m:sSubSupPr>
                  <m:e>
                    <m:r>
                      <w:rPr>
                        <w:rFonts w:ascii="Cambria Math" w:hAnsi="Cambria Math"/>
                      </w:rPr>
                      <m:t>β</m:t>
                    </m:r>
                  </m:e>
                  <m:sub>
                    <m:r>
                      <m:rPr>
                        <m:sty m:val="p"/>
                      </m:rPr>
                      <w:rPr>
                        <w:rFonts w:ascii="Cambria Math" w:hAnsi="Cambria Math"/>
                      </w:rPr>
                      <m:t>enc</m:t>
                    </m:r>
                  </m:sub>
                  <m:sup>
                    <m:r>
                      <w:rPr>
                        <w:rFonts w:ascii="Cambria Math" w:hAnsi="Cambria Math"/>
                      </w:rPr>
                      <m:t>T</m:t>
                    </m:r>
                  </m:sup>
                </m:sSubSup>
              </m:oMath>
            </m:oMathPara>
          </w:p>
        </w:tc>
        <w:tc>
          <w:tcPr>
            <w:tcW w:w="1131" w:type="dxa"/>
          </w:tcPr>
          <w:p w14:paraId="60DE9F48" w14:textId="77777777" w:rsidR="00E6637B" w:rsidRDefault="00000000">
            <w:pPr>
              <w:pStyle w:val="Compact"/>
              <w:jc w:val="right"/>
            </w:pPr>
            <w:r>
              <w:t>0.86396</w:t>
            </w:r>
          </w:p>
        </w:tc>
        <w:tc>
          <w:tcPr>
            <w:tcW w:w="1131" w:type="dxa"/>
          </w:tcPr>
          <w:p w14:paraId="57916D5D" w14:textId="77777777" w:rsidR="00E6637B" w:rsidRDefault="00000000">
            <w:pPr>
              <w:pStyle w:val="Compact"/>
              <w:jc w:val="right"/>
            </w:pPr>
            <w:r>
              <w:t>0.73472</w:t>
            </w:r>
          </w:p>
        </w:tc>
        <w:tc>
          <w:tcPr>
            <w:tcW w:w="1131" w:type="dxa"/>
          </w:tcPr>
          <w:p w14:paraId="011D6B52" w14:textId="77777777" w:rsidR="00E6637B" w:rsidRDefault="00000000">
            <w:pPr>
              <w:pStyle w:val="Compact"/>
              <w:jc w:val="right"/>
            </w:pPr>
            <w:r>
              <w:t>0.75960</w:t>
            </w:r>
          </w:p>
        </w:tc>
        <w:tc>
          <w:tcPr>
            <w:tcW w:w="1131" w:type="dxa"/>
          </w:tcPr>
          <w:p w14:paraId="60AAD6CB" w14:textId="77777777" w:rsidR="00E6637B" w:rsidRDefault="00000000">
            <w:pPr>
              <w:pStyle w:val="Compact"/>
              <w:jc w:val="right"/>
            </w:pPr>
            <w:r>
              <w:t>0.83243</w:t>
            </w:r>
          </w:p>
        </w:tc>
        <w:tc>
          <w:tcPr>
            <w:tcW w:w="1131" w:type="dxa"/>
          </w:tcPr>
          <w:p w14:paraId="14FF17D2" w14:textId="77777777" w:rsidR="00E6637B" w:rsidRDefault="00000000">
            <w:pPr>
              <w:pStyle w:val="Compact"/>
              <w:jc w:val="right"/>
            </w:pPr>
            <w:r>
              <w:t>0.00084</w:t>
            </w:r>
          </w:p>
        </w:tc>
        <w:tc>
          <w:tcPr>
            <w:tcW w:w="1131" w:type="dxa"/>
          </w:tcPr>
          <w:p w14:paraId="19418BB6" w14:textId="77777777" w:rsidR="00E6637B" w:rsidRDefault="00000000">
            <w:pPr>
              <w:pStyle w:val="Compact"/>
              <w:jc w:val="right"/>
            </w:pPr>
            <w:r>
              <w:t>0.80907</w:t>
            </w:r>
          </w:p>
        </w:tc>
      </w:tr>
      <w:tr w:rsidR="00E6637B" w14:paraId="0126C63E" w14:textId="77777777">
        <w:tc>
          <w:tcPr>
            <w:tcW w:w="1131" w:type="dxa"/>
          </w:tcPr>
          <w:p w14:paraId="59295D8C" w14:textId="77777777" w:rsidR="00E6637B" w:rsidRDefault="00000000">
            <w:pPr>
              <w:pStyle w:val="Compact"/>
            </w:pPr>
            <m:oMathPara>
              <m:oMath>
                <m:sSubSup>
                  <m:sSubSupPr>
                    <m:ctrlPr>
                      <w:rPr>
                        <w:rFonts w:ascii="Cambria Math" w:hAnsi="Cambria Math"/>
                      </w:rPr>
                    </m:ctrlPr>
                  </m:sSubSupPr>
                  <m:e>
                    <m:r>
                      <w:rPr>
                        <w:rFonts w:ascii="Cambria Math" w:hAnsi="Cambria Math"/>
                      </w:rPr>
                      <m:t>β</m:t>
                    </m:r>
                  </m:e>
                  <m:sub>
                    <m:r>
                      <m:rPr>
                        <m:sty m:val="p"/>
                      </m:rPr>
                      <w:rPr>
                        <w:rFonts w:ascii="Cambria Math" w:hAnsi="Cambria Math"/>
                      </w:rPr>
                      <m:t>enc</m:t>
                    </m:r>
                  </m:sub>
                  <m:sup>
                    <m:r>
                      <w:rPr>
                        <w:rFonts w:ascii="Cambria Math" w:hAnsi="Cambria Math"/>
                      </w:rPr>
                      <m:t>S</m:t>
                    </m:r>
                  </m:sup>
                </m:sSubSup>
              </m:oMath>
            </m:oMathPara>
          </w:p>
        </w:tc>
        <w:tc>
          <w:tcPr>
            <w:tcW w:w="1131" w:type="dxa"/>
          </w:tcPr>
          <w:p w14:paraId="22F6AAD1" w14:textId="77777777" w:rsidR="00E6637B" w:rsidRDefault="00000000">
            <w:pPr>
              <w:pStyle w:val="Compact"/>
              <w:jc w:val="right"/>
            </w:pPr>
            <w:r>
              <w:t>0.18153</w:t>
            </w:r>
          </w:p>
        </w:tc>
        <w:tc>
          <w:tcPr>
            <w:tcW w:w="1131" w:type="dxa"/>
          </w:tcPr>
          <w:p w14:paraId="6C03CE11" w14:textId="77777777" w:rsidR="00E6637B" w:rsidRDefault="00000000">
            <w:pPr>
              <w:pStyle w:val="Compact"/>
              <w:jc w:val="right"/>
            </w:pPr>
            <w:r>
              <w:t>0.02849</w:t>
            </w:r>
          </w:p>
        </w:tc>
        <w:tc>
          <w:tcPr>
            <w:tcW w:w="1131" w:type="dxa"/>
          </w:tcPr>
          <w:p w14:paraId="69056094" w14:textId="77777777" w:rsidR="00E6637B" w:rsidRDefault="00000000">
            <w:pPr>
              <w:pStyle w:val="Compact"/>
              <w:jc w:val="right"/>
            </w:pPr>
            <w:r>
              <w:t>0.11016</w:t>
            </w:r>
          </w:p>
        </w:tc>
        <w:tc>
          <w:tcPr>
            <w:tcW w:w="1131" w:type="dxa"/>
          </w:tcPr>
          <w:p w14:paraId="0E56F818" w14:textId="77777777" w:rsidR="00E6637B" w:rsidRDefault="00000000">
            <w:pPr>
              <w:pStyle w:val="Compact"/>
              <w:jc w:val="right"/>
            </w:pPr>
            <w:r>
              <w:t>0.04012</w:t>
            </w:r>
          </w:p>
        </w:tc>
        <w:tc>
          <w:tcPr>
            <w:tcW w:w="1131" w:type="dxa"/>
          </w:tcPr>
          <w:p w14:paraId="39785A88" w14:textId="77777777" w:rsidR="00E6637B" w:rsidRDefault="00000000">
            <w:pPr>
              <w:pStyle w:val="Compact"/>
              <w:jc w:val="right"/>
            </w:pPr>
            <w:r>
              <w:t>0.72584</w:t>
            </w:r>
          </w:p>
        </w:tc>
        <w:tc>
          <w:tcPr>
            <w:tcW w:w="1131" w:type="dxa"/>
          </w:tcPr>
          <w:p w14:paraId="5935D485" w14:textId="77777777" w:rsidR="00E6637B" w:rsidRDefault="00000000">
            <w:pPr>
              <w:pStyle w:val="Compact"/>
              <w:jc w:val="right"/>
            </w:pPr>
            <w:r>
              <w:t>0.08675</w:t>
            </w:r>
          </w:p>
        </w:tc>
      </w:tr>
      <w:tr w:rsidR="00E6637B" w14:paraId="760DFC3C" w14:textId="77777777">
        <w:tc>
          <w:tcPr>
            <w:tcW w:w="1131" w:type="dxa"/>
          </w:tcPr>
          <w:p w14:paraId="478FD66B" w14:textId="77777777" w:rsidR="00E6637B" w:rsidRDefault="00000000">
            <w:pPr>
              <w:pStyle w:val="Compact"/>
            </w:pPr>
            <m:oMathPara>
              <m:oMath>
                <m:sSub>
                  <m:sSubPr>
                    <m:ctrlPr>
                      <w:rPr>
                        <w:rFonts w:ascii="Cambria Math" w:hAnsi="Cambria Math"/>
                      </w:rPr>
                    </m:ctrlPr>
                  </m:sSubPr>
                  <m:e>
                    <m:r>
                      <w:rPr>
                        <w:rFonts w:ascii="Cambria Math" w:hAnsi="Cambria Math"/>
                      </w:rPr>
                      <m:t>β</m:t>
                    </m:r>
                  </m:e>
                  <m:sub>
                    <m:r>
                      <m:rPr>
                        <m:sty m:val="p"/>
                      </m:rPr>
                      <w:rPr>
                        <w:rFonts w:ascii="Cambria Math" w:hAnsi="Cambria Math"/>
                      </w:rPr>
                      <m:t>start</m:t>
                    </m:r>
                  </m:sub>
                </m:sSub>
              </m:oMath>
            </m:oMathPara>
          </w:p>
        </w:tc>
        <w:tc>
          <w:tcPr>
            <w:tcW w:w="1131" w:type="dxa"/>
          </w:tcPr>
          <w:p w14:paraId="7421B2EA" w14:textId="77777777" w:rsidR="00E6637B" w:rsidRDefault="00000000">
            <w:pPr>
              <w:pStyle w:val="Compact"/>
              <w:jc w:val="right"/>
            </w:pPr>
            <w:r>
              <w:t>0.97321</w:t>
            </w:r>
          </w:p>
        </w:tc>
        <w:tc>
          <w:tcPr>
            <w:tcW w:w="1131" w:type="dxa"/>
          </w:tcPr>
          <w:p w14:paraId="4BD9C3D4" w14:textId="77777777" w:rsidR="00E6637B" w:rsidRDefault="00000000">
            <w:pPr>
              <w:pStyle w:val="Compact"/>
              <w:jc w:val="right"/>
            </w:pPr>
            <w:r>
              <w:t>0.98771</w:t>
            </w:r>
          </w:p>
        </w:tc>
        <w:tc>
          <w:tcPr>
            <w:tcW w:w="1131" w:type="dxa"/>
          </w:tcPr>
          <w:p w14:paraId="7C3A696A" w14:textId="77777777" w:rsidR="00E6637B" w:rsidRDefault="00000000">
            <w:pPr>
              <w:pStyle w:val="Compact"/>
              <w:jc w:val="right"/>
            </w:pPr>
            <w:r>
              <w:t>0.99999</w:t>
            </w:r>
          </w:p>
        </w:tc>
        <w:tc>
          <w:tcPr>
            <w:tcW w:w="1131" w:type="dxa"/>
          </w:tcPr>
          <w:p w14:paraId="67EAF9B2" w14:textId="77777777" w:rsidR="00E6637B" w:rsidRDefault="00000000">
            <w:pPr>
              <w:pStyle w:val="Compact"/>
              <w:jc w:val="right"/>
            </w:pPr>
            <w:r>
              <w:t>0.99999</w:t>
            </w:r>
          </w:p>
        </w:tc>
        <w:tc>
          <w:tcPr>
            <w:tcW w:w="1131" w:type="dxa"/>
          </w:tcPr>
          <w:p w14:paraId="3C7A1AF9" w14:textId="77777777" w:rsidR="00E6637B" w:rsidRDefault="00000000">
            <w:pPr>
              <w:pStyle w:val="Compact"/>
              <w:jc w:val="right"/>
            </w:pPr>
            <w:r>
              <w:t>0.03122</w:t>
            </w:r>
          </w:p>
        </w:tc>
        <w:tc>
          <w:tcPr>
            <w:tcW w:w="1131" w:type="dxa"/>
          </w:tcPr>
          <w:p w14:paraId="33699F38" w14:textId="77777777" w:rsidR="00E6637B" w:rsidRDefault="00000000">
            <w:pPr>
              <w:pStyle w:val="Compact"/>
              <w:jc w:val="right"/>
            </w:pPr>
            <w:r>
              <w:t>0.99999</w:t>
            </w:r>
          </w:p>
        </w:tc>
      </w:tr>
      <w:tr w:rsidR="00E6637B" w14:paraId="503CEC53" w14:textId="77777777">
        <w:tc>
          <w:tcPr>
            <w:tcW w:w="1131" w:type="dxa"/>
          </w:tcPr>
          <w:p w14:paraId="11928249" w14:textId="77777777" w:rsidR="00E6637B" w:rsidRDefault="00000000">
            <w:pPr>
              <w:pStyle w:val="Compact"/>
            </w:pPr>
            <m:oMathPara>
              <m:oMath>
                <m:sSubSup>
                  <m:sSubSupPr>
                    <m:ctrlPr>
                      <w:rPr>
                        <w:rFonts w:ascii="Cambria Math" w:hAnsi="Cambria Math"/>
                      </w:rPr>
                    </m:ctrlPr>
                  </m:sSubSupPr>
                  <m:e>
                    <m:r>
                      <w:rPr>
                        <w:rFonts w:ascii="Cambria Math" w:hAnsi="Cambria Math"/>
                      </w:rPr>
                      <m:t>β</m:t>
                    </m:r>
                  </m:e>
                  <m:sub>
                    <m:r>
                      <m:rPr>
                        <m:sty m:val="p"/>
                      </m:rPr>
                      <w:rPr>
                        <w:rFonts w:ascii="Cambria Math" w:hAnsi="Cambria Math"/>
                      </w:rPr>
                      <m:t>rec</m:t>
                    </m:r>
                  </m:sub>
                  <m:sup>
                    <m:r>
                      <w:rPr>
                        <w:rFonts w:ascii="Cambria Math" w:hAnsi="Cambria Math"/>
                      </w:rPr>
                      <m:t>T</m:t>
                    </m:r>
                  </m:sup>
                </m:sSubSup>
              </m:oMath>
            </m:oMathPara>
          </w:p>
        </w:tc>
        <w:tc>
          <w:tcPr>
            <w:tcW w:w="1131" w:type="dxa"/>
          </w:tcPr>
          <w:p w14:paraId="3C9CE0FE" w14:textId="77777777" w:rsidR="00E6637B" w:rsidRDefault="00000000">
            <w:pPr>
              <w:pStyle w:val="Compact"/>
              <w:jc w:val="right"/>
            </w:pPr>
            <w:r>
              <w:t>0.70721</w:t>
            </w:r>
          </w:p>
        </w:tc>
        <w:tc>
          <w:tcPr>
            <w:tcW w:w="1131" w:type="dxa"/>
          </w:tcPr>
          <w:p w14:paraId="69704C22" w14:textId="77777777" w:rsidR="00E6637B" w:rsidRDefault="00000000">
            <w:pPr>
              <w:pStyle w:val="Compact"/>
              <w:jc w:val="right"/>
            </w:pPr>
            <w:r>
              <w:t>0.67079</w:t>
            </w:r>
          </w:p>
        </w:tc>
        <w:tc>
          <w:tcPr>
            <w:tcW w:w="1131" w:type="dxa"/>
          </w:tcPr>
          <w:p w14:paraId="1425A8B8" w14:textId="77777777" w:rsidR="00E6637B" w:rsidRDefault="00000000">
            <w:pPr>
              <w:pStyle w:val="Compact"/>
              <w:jc w:val="right"/>
            </w:pPr>
            <w:r>
              <w:t>0.14344</w:t>
            </w:r>
          </w:p>
        </w:tc>
        <w:tc>
          <w:tcPr>
            <w:tcW w:w="1131" w:type="dxa"/>
          </w:tcPr>
          <w:p w14:paraId="03C651B2" w14:textId="77777777" w:rsidR="00E6637B" w:rsidRDefault="00000000">
            <w:pPr>
              <w:pStyle w:val="Compact"/>
              <w:jc w:val="right"/>
            </w:pPr>
            <w:r>
              <w:t>0.18358</w:t>
            </w:r>
          </w:p>
        </w:tc>
        <w:tc>
          <w:tcPr>
            <w:tcW w:w="1131" w:type="dxa"/>
          </w:tcPr>
          <w:p w14:paraId="6A38CBA4" w14:textId="77777777" w:rsidR="00E6637B" w:rsidRDefault="00000000">
            <w:pPr>
              <w:pStyle w:val="Compact"/>
              <w:jc w:val="right"/>
            </w:pPr>
            <w:r>
              <w:t>0.05141</w:t>
            </w:r>
          </w:p>
        </w:tc>
        <w:tc>
          <w:tcPr>
            <w:tcW w:w="1131" w:type="dxa"/>
          </w:tcPr>
          <w:p w14:paraId="1FE93257" w14:textId="77777777" w:rsidR="00E6637B" w:rsidRDefault="00000000">
            <w:pPr>
              <w:pStyle w:val="Compact"/>
              <w:jc w:val="right"/>
            </w:pPr>
            <w:r>
              <w:t>0.15337</w:t>
            </w:r>
          </w:p>
        </w:tc>
      </w:tr>
      <w:tr w:rsidR="00E6637B" w14:paraId="5205A67B" w14:textId="77777777">
        <w:tc>
          <w:tcPr>
            <w:tcW w:w="1131" w:type="dxa"/>
          </w:tcPr>
          <w:p w14:paraId="4C43193F" w14:textId="77777777" w:rsidR="00E6637B" w:rsidRDefault="00000000">
            <w:pPr>
              <w:pStyle w:val="Compact"/>
            </w:pPr>
            <m:oMathPara>
              <m:oMath>
                <m:sSubSup>
                  <m:sSubSupPr>
                    <m:ctrlPr>
                      <w:rPr>
                        <w:rFonts w:ascii="Cambria Math" w:hAnsi="Cambria Math"/>
                      </w:rPr>
                    </m:ctrlPr>
                  </m:sSubSupPr>
                  <m:e>
                    <m:r>
                      <w:rPr>
                        <w:rFonts w:ascii="Cambria Math" w:hAnsi="Cambria Math"/>
                      </w:rPr>
                      <m:t>β</m:t>
                    </m:r>
                  </m:e>
                  <m:sub>
                    <m:r>
                      <m:rPr>
                        <m:sty m:val="p"/>
                      </m:rPr>
                      <w:rPr>
                        <w:rFonts w:ascii="Cambria Math" w:hAnsi="Cambria Math"/>
                      </w:rPr>
                      <m:t>rec</m:t>
                    </m:r>
                  </m:sub>
                  <m:sup>
                    <m:r>
                      <w:rPr>
                        <w:rFonts w:ascii="Cambria Math" w:hAnsi="Cambria Math"/>
                      </w:rPr>
                      <m:t>S</m:t>
                    </m:r>
                  </m:sup>
                </m:sSubSup>
              </m:oMath>
            </m:oMathPara>
          </w:p>
        </w:tc>
        <w:tc>
          <w:tcPr>
            <w:tcW w:w="1131" w:type="dxa"/>
          </w:tcPr>
          <w:p w14:paraId="452C71B5" w14:textId="77777777" w:rsidR="00E6637B" w:rsidRDefault="00000000">
            <w:pPr>
              <w:pStyle w:val="Compact"/>
              <w:jc w:val="right"/>
            </w:pPr>
            <w:r>
              <w:t>[1]</w:t>
            </w:r>
          </w:p>
        </w:tc>
        <w:tc>
          <w:tcPr>
            <w:tcW w:w="1131" w:type="dxa"/>
          </w:tcPr>
          <w:p w14:paraId="55131534" w14:textId="77777777" w:rsidR="00E6637B" w:rsidRDefault="00000000">
            <w:pPr>
              <w:pStyle w:val="Compact"/>
              <w:jc w:val="right"/>
            </w:pPr>
            <w:r>
              <w:t>[1]</w:t>
            </w:r>
          </w:p>
        </w:tc>
        <w:tc>
          <w:tcPr>
            <w:tcW w:w="1131" w:type="dxa"/>
          </w:tcPr>
          <w:p w14:paraId="58214DAC" w14:textId="77777777" w:rsidR="00E6637B" w:rsidRDefault="00000000">
            <w:pPr>
              <w:pStyle w:val="Compact"/>
              <w:jc w:val="right"/>
            </w:pPr>
            <w:r>
              <w:t>[1]</w:t>
            </w:r>
          </w:p>
        </w:tc>
        <w:tc>
          <w:tcPr>
            <w:tcW w:w="1131" w:type="dxa"/>
          </w:tcPr>
          <w:p w14:paraId="10AD9AE6" w14:textId="77777777" w:rsidR="00E6637B" w:rsidRDefault="00000000">
            <w:pPr>
              <w:pStyle w:val="Compact"/>
              <w:jc w:val="right"/>
            </w:pPr>
            <w:r>
              <w:t>[1]</w:t>
            </w:r>
          </w:p>
        </w:tc>
        <w:tc>
          <w:tcPr>
            <w:tcW w:w="1131" w:type="dxa"/>
          </w:tcPr>
          <w:p w14:paraId="6F1C341B" w14:textId="77777777" w:rsidR="00E6637B" w:rsidRDefault="00000000">
            <w:pPr>
              <w:pStyle w:val="Compact"/>
              <w:jc w:val="right"/>
            </w:pPr>
            <w:r>
              <w:t>[1]</w:t>
            </w:r>
          </w:p>
        </w:tc>
        <w:tc>
          <w:tcPr>
            <w:tcW w:w="1131" w:type="dxa"/>
          </w:tcPr>
          <w:p w14:paraId="2807E5BF" w14:textId="77777777" w:rsidR="00E6637B" w:rsidRDefault="00000000">
            <w:pPr>
              <w:pStyle w:val="Compact"/>
              <w:jc w:val="right"/>
            </w:pPr>
            <w:r>
              <w:t>[1]</w:t>
            </w:r>
          </w:p>
        </w:tc>
      </w:tr>
      <w:tr w:rsidR="00E6637B" w14:paraId="3D40E103" w14:textId="77777777">
        <w:tc>
          <w:tcPr>
            <w:tcW w:w="1131" w:type="dxa"/>
          </w:tcPr>
          <w:p w14:paraId="3DD08B35" w14:textId="77777777" w:rsidR="00E6637B" w:rsidRDefault="00000000">
            <w:pPr>
              <w:pStyle w:val="Compact"/>
            </w:pPr>
            <m:oMathPara>
              <m:oMath>
                <m:r>
                  <w:rPr>
                    <w:rFonts w:ascii="Cambria Math" w:hAnsi="Cambria Math"/>
                  </w:rPr>
                  <m:t>α</m:t>
                </m:r>
              </m:oMath>
            </m:oMathPara>
          </w:p>
        </w:tc>
        <w:tc>
          <w:tcPr>
            <w:tcW w:w="1131" w:type="dxa"/>
          </w:tcPr>
          <w:p w14:paraId="047957E2" w14:textId="77777777" w:rsidR="00E6637B" w:rsidRDefault="00000000">
            <w:pPr>
              <w:pStyle w:val="Compact"/>
              <w:jc w:val="right"/>
            </w:pPr>
            <w:r>
              <w:t>0.24130</w:t>
            </w:r>
          </w:p>
        </w:tc>
        <w:tc>
          <w:tcPr>
            <w:tcW w:w="1131" w:type="dxa"/>
          </w:tcPr>
          <w:p w14:paraId="3E2D3498" w14:textId="77777777" w:rsidR="00E6637B" w:rsidRDefault="00000000">
            <w:pPr>
              <w:pStyle w:val="Compact"/>
              <w:jc w:val="right"/>
            </w:pPr>
            <w:r>
              <w:t>3.53733</w:t>
            </w:r>
          </w:p>
        </w:tc>
        <w:tc>
          <w:tcPr>
            <w:tcW w:w="1131" w:type="dxa"/>
          </w:tcPr>
          <w:p w14:paraId="67478D99" w14:textId="77777777" w:rsidR="00E6637B" w:rsidRDefault="00000000">
            <w:pPr>
              <w:pStyle w:val="Compact"/>
              <w:jc w:val="right"/>
            </w:pPr>
            <w:r>
              <w:t>1.69400</w:t>
            </w:r>
          </w:p>
        </w:tc>
        <w:tc>
          <w:tcPr>
            <w:tcW w:w="1131" w:type="dxa"/>
          </w:tcPr>
          <w:p w14:paraId="3F101361" w14:textId="77777777" w:rsidR="00E6637B" w:rsidRDefault="00000000">
            <w:pPr>
              <w:pStyle w:val="Compact"/>
              <w:jc w:val="right"/>
            </w:pPr>
            <w:r>
              <w:t>3.81835</w:t>
            </w:r>
          </w:p>
        </w:tc>
        <w:tc>
          <w:tcPr>
            <w:tcW w:w="1131" w:type="dxa"/>
          </w:tcPr>
          <w:p w14:paraId="66C4402F" w14:textId="77777777" w:rsidR="00E6637B" w:rsidRDefault="00000000">
            <w:pPr>
              <w:pStyle w:val="Compact"/>
              <w:jc w:val="right"/>
            </w:pPr>
            <w:r>
              <w:t>74.64477</w:t>
            </w:r>
          </w:p>
        </w:tc>
        <w:tc>
          <w:tcPr>
            <w:tcW w:w="1131" w:type="dxa"/>
          </w:tcPr>
          <w:p w14:paraId="11DF4403" w14:textId="77777777" w:rsidR="00E6637B" w:rsidRDefault="00000000">
            <w:pPr>
              <w:pStyle w:val="Compact"/>
              <w:jc w:val="right"/>
            </w:pPr>
            <w:r>
              <w:t>1.85902</w:t>
            </w:r>
          </w:p>
        </w:tc>
      </w:tr>
      <w:tr w:rsidR="00E6637B" w14:paraId="2F430723" w14:textId="77777777">
        <w:tc>
          <w:tcPr>
            <w:tcW w:w="1131" w:type="dxa"/>
          </w:tcPr>
          <w:p w14:paraId="7D04F339" w14:textId="77777777" w:rsidR="00E6637B" w:rsidRDefault="00000000">
            <w:pPr>
              <w:pStyle w:val="Compact"/>
            </w:pPr>
            <m:oMathPara>
              <m:oMath>
                <m:r>
                  <w:rPr>
                    <w:rFonts w:ascii="Cambria Math" w:hAnsi="Cambria Math"/>
                  </w:rPr>
                  <m:t>δ</m:t>
                </m:r>
              </m:oMath>
            </m:oMathPara>
          </w:p>
        </w:tc>
        <w:tc>
          <w:tcPr>
            <w:tcW w:w="1131" w:type="dxa"/>
          </w:tcPr>
          <w:p w14:paraId="41F3C852" w14:textId="77777777" w:rsidR="00E6637B" w:rsidRDefault="00000000">
            <w:pPr>
              <w:pStyle w:val="Compact"/>
              <w:jc w:val="right"/>
            </w:pPr>
            <w:r>
              <w:t>68.959</w:t>
            </w:r>
          </w:p>
        </w:tc>
        <w:tc>
          <w:tcPr>
            <w:tcW w:w="1131" w:type="dxa"/>
          </w:tcPr>
          <w:p w14:paraId="4058B9F2" w14:textId="77777777" w:rsidR="00E6637B" w:rsidRDefault="00000000">
            <w:pPr>
              <w:pStyle w:val="Compact"/>
              <w:jc w:val="right"/>
            </w:pPr>
            <w:r>
              <w:t>28.732</w:t>
            </w:r>
          </w:p>
        </w:tc>
        <w:tc>
          <w:tcPr>
            <w:tcW w:w="1131" w:type="dxa"/>
          </w:tcPr>
          <w:p w14:paraId="26E24FAF" w14:textId="77777777" w:rsidR="00E6637B" w:rsidRDefault="00000000">
            <w:pPr>
              <w:pStyle w:val="Compact"/>
              <w:jc w:val="right"/>
            </w:pPr>
            <w:r>
              <w:t>39.126</w:t>
            </w:r>
          </w:p>
        </w:tc>
        <w:tc>
          <w:tcPr>
            <w:tcW w:w="1131" w:type="dxa"/>
          </w:tcPr>
          <w:p w14:paraId="5317AD16" w14:textId="77777777" w:rsidR="00E6637B" w:rsidRDefault="00000000">
            <w:pPr>
              <w:pStyle w:val="Compact"/>
              <w:jc w:val="right"/>
            </w:pPr>
            <w:r>
              <w:t>18.541</w:t>
            </w:r>
          </w:p>
        </w:tc>
        <w:tc>
          <w:tcPr>
            <w:tcW w:w="1131" w:type="dxa"/>
          </w:tcPr>
          <w:p w14:paraId="4E580DE4" w14:textId="77777777" w:rsidR="00E6637B" w:rsidRDefault="00000000">
            <w:pPr>
              <w:pStyle w:val="Compact"/>
              <w:jc w:val="right"/>
            </w:pPr>
            <w:r>
              <w:t>48.979</w:t>
            </w:r>
          </w:p>
        </w:tc>
        <w:tc>
          <w:tcPr>
            <w:tcW w:w="1131" w:type="dxa"/>
          </w:tcPr>
          <w:p w14:paraId="2319C90F" w14:textId="77777777" w:rsidR="00E6637B" w:rsidRDefault="00000000">
            <w:pPr>
              <w:pStyle w:val="Compact"/>
              <w:jc w:val="right"/>
            </w:pPr>
            <w:r>
              <w:t>27.334</w:t>
            </w:r>
          </w:p>
        </w:tc>
      </w:tr>
      <w:tr w:rsidR="00E6637B" w14:paraId="6508B8CD" w14:textId="77777777">
        <w:tc>
          <w:tcPr>
            <w:tcW w:w="1131" w:type="dxa"/>
          </w:tcPr>
          <w:p w14:paraId="39759684" w14:textId="77777777" w:rsidR="00E6637B" w:rsidRDefault="00000000">
            <w:pPr>
              <w:pStyle w:val="Compact"/>
            </w:pPr>
            <m:oMathPara>
              <m:oMath>
                <m:r>
                  <w:rPr>
                    <w:rFonts w:ascii="Cambria Math" w:hAnsi="Cambria Math"/>
                  </w:rPr>
                  <m:t>γ</m:t>
                </m:r>
              </m:oMath>
            </m:oMathPara>
          </w:p>
        </w:tc>
        <w:tc>
          <w:tcPr>
            <w:tcW w:w="1131" w:type="dxa"/>
          </w:tcPr>
          <w:p w14:paraId="6F1C26C2" w14:textId="77777777" w:rsidR="00E6637B" w:rsidRDefault="00000000">
            <w:pPr>
              <w:pStyle w:val="Compact"/>
              <w:jc w:val="right"/>
            </w:pPr>
            <w:r>
              <w:t>0.79003</w:t>
            </w:r>
          </w:p>
        </w:tc>
        <w:tc>
          <w:tcPr>
            <w:tcW w:w="1131" w:type="dxa"/>
          </w:tcPr>
          <w:p w14:paraId="2607D464" w14:textId="77777777" w:rsidR="00E6637B" w:rsidRDefault="00000000">
            <w:pPr>
              <w:pStyle w:val="Compact"/>
              <w:jc w:val="right"/>
            </w:pPr>
            <w:r>
              <w:t>0.46162</w:t>
            </w:r>
          </w:p>
        </w:tc>
        <w:tc>
          <w:tcPr>
            <w:tcW w:w="1131" w:type="dxa"/>
          </w:tcPr>
          <w:p w14:paraId="156BDA2C" w14:textId="77777777" w:rsidR="00E6637B" w:rsidRDefault="00000000">
            <w:pPr>
              <w:pStyle w:val="Compact"/>
              <w:jc w:val="right"/>
            </w:pPr>
            <w:r>
              <w:t>0.13427</w:t>
            </w:r>
          </w:p>
        </w:tc>
        <w:tc>
          <w:tcPr>
            <w:tcW w:w="1131" w:type="dxa"/>
          </w:tcPr>
          <w:p w14:paraId="659D754A" w14:textId="77777777" w:rsidR="00E6637B" w:rsidRDefault="00000000">
            <w:pPr>
              <w:pStyle w:val="Compact"/>
              <w:jc w:val="right"/>
            </w:pPr>
            <w:r>
              <w:t>0.25922</w:t>
            </w:r>
          </w:p>
        </w:tc>
        <w:tc>
          <w:tcPr>
            <w:tcW w:w="1131" w:type="dxa"/>
          </w:tcPr>
          <w:p w14:paraId="64A997A2" w14:textId="77777777" w:rsidR="00E6637B" w:rsidRDefault="00000000">
            <w:pPr>
              <w:pStyle w:val="Compact"/>
              <w:jc w:val="right"/>
            </w:pPr>
            <w:r>
              <w:t>0.28439</w:t>
            </w:r>
          </w:p>
        </w:tc>
        <w:tc>
          <w:tcPr>
            <w:tcW w:w="1131" w:type="dxa"/>
          </w:tcPr>
          <w:p w14:paraId="592B1670" w14:textId="77777777" w:rsidR="00E6637B" w:rsidRDefault="00000000">
            <w:pPr>
              <w:pStyle w:val="Compact"/>
              <w:jc w:val="right"/>
            </w:pPr>
            <w:r>
              <w:t>0.21391</w:t>
            </w:r>
          </w:p>
        </w:tc>
      </w:tr>
      <w:tr w:rsidR="00E6637B" w14:paraId="244DD0BD" w14:textId="77777777">
        <w:tc>
          <w:tcPr>
            <w:tcW w:w="1131" w:type="dxa"/>
          </w:tcPr>
          <w:p w14:paraId="1AA682D1" w14:textId="77777777" w:rsidR="00E6637B" w:rsidRDefault="00000000">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s</m:t>
                    </m:r>
                  </m:sub>
                </m:sSub>
              </m:oMath>
            </m:oMathPara>
          </w:p>
        </w:tc>
        <w:tc>
          <w:tcPr>
            <w:tcW w:w="1131" w:type="dxa"/>
          </w:tcPr>
          <w:p w14:paraId="00F54673" w14:textId="77777777" w:rsidR="00E6637B" w:rsidRDefault="00000000">
            <w:pPr>
              <w:pStyle w:val="Compact"/>
              <w:jc w:val="right"/>
            </w:pPr>
            <w:r>
              <w:t>28.721</w:t>
            </w:r>
          </w:p>
        </w:tc>
        <w:tc>
          <w:tcPr>
            <w:tcW w:w="1131" w:type="dxa"/>
          </w:tcPr>
          <w:p w14:paraId="5C9C57EF" w14:textId="77777777" w:rsidR="00E6637B" w:rsidRDefault="00000000">
            <w:pPr>
              <w:pStyle w:val="Compact"/>
              <w:jc w:val="right"/>
            </w:pPr>
            <w:r>
              <w:t>0.48668</w:t>
            </w:r>
          </w:p>
        </w:tc>
        <w:tc>
          <w:tcPr>
            <w:tcW w:w="1131" w:type="dxa"/>
          </w:tcPr>
          <w:p w14:paraId="74E64177" w14:textId="77777777" w:rsidR="00E6637B" w:rsidRDefault="00000000">
            <w:pPr>
              <w:pStyle w:val="Compact"/>
              <w:jc w:val="right"/>
            </w:pPr>
            <w:r>
              <w:t>0.19390</w:t>
            </w:r>
          </w:p>
        </w:tc>
        <w:tc>
          <w:tcPr>
            <w:tcW w:w="1131" w:type="dxa"/>
          </w:tcPr>
          <w:p w14:paraId="406A6F23" w14:textId="77777777" w:rsidR="00E6637B" w:rsidRDefault="00000000">
            <w:pPr>
              <w:pStyle w:val="Compact"/>
              <w:jc w:val="right"/>
            </w:pPr>
            <w:r>
              <w:t>0.02896</w:t>
            </w:r>
          </w:p>
        </w:tc>
        <w:tc>
          <w:tcPr>
            <w:tcW w:w="1131" w:type="dxa"/>
          </w:tcPr>
          <w:p w14:paraId="4E3663C3" w14:textId="77777777" w:rsidR="00E6637B" w:rsidRDefault="00000000">
            <w:pPr>
              <w:pStyle w:val="Compact"/>
              <w:jc w:val="right"/>
            </w:pPr>
            <w:r>
              <w:t>2.35576</w:t>
            </w:r>
          </w:p>
        </w:tc>
        <w:tc>
          <w:tcPr>
            <w:tcW w:w="1131" w:type="dxa"/>
          </w:tcPr>
          <w:p w14:paraId="179E05B6" w14:textId="77777777" w:rsidR="00E6637B" w:rsidRDefault="00000000">
            <w:pPr>
              <w:pStyle w:val="Compact"/>
              <w:jc w:val="right"/>
            </w:pPr>
            <w:r>
              <w:t>0.22806</w:t>
            </w:r>
          </w:p>
        </w:tc>
      </w:tr>
      <w:tr w:rsidR="00E6637B" w14:paraId="0DCD59A5" w14:textId="77777777">
        <w:tc>
          <w:tcPr>
            <w:tcW w:w="1131" w:type="dxa"/>
          </w:tcPr>
          <w:p w14:paraId="584DB049" w14:textId="77777777" w:rsidR="00E6637B" w:rsidRDefault="00000000">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d</m:t>
                    </m:r>
                  </m:sub>
                </m:sSub>
              </m:oMath>
            </m:oMathPara>
          </w:p>
        </w:tc>
        <w:tc>
          <w:tcPr>
            <w:tcW w:w="1131" w:type="dxa"/>
          </w:tcPr>
          <w:p w14:paraId="3770C141" w14:textId="77777777" w:rsidR="00E6637B" w:rsidRDefault="00000000">
            <w:pPr>
              <w:pStyle w:val="Compact"/>
              <w:jc w:val="right"/>
            </w:pPr>
            <w:r>
              <w:t>2.20620</w:t>
            </w:r>
          </w:p>
        </w:tc>
        <w:tc>
          <w:tcPr>
            <w:tcW w:w="1131" w:type="dxa"/>
          </w:tcPr>
          <w:p w14:paraId="7BB2A131" w14:textId="77777777" w:rsidR="00E6637B" w:rsidRDefault="00000000">
            <w:pPr>
              <w:pStyle w:val="Compact"/>
              <w:jc w:val="right"/>
            </w:pPr>
            <w:r>
              <w:t>1.38064</w:t>
            </w:r>
          </w:p>
        </w:tc>
        <w:tc>
          <w:tcPr>
            <w:tcW w:w="1131" w:type="dxa"/>
          </w:tcPr>
          <w:p w14:paraId="0EDED90D" w14:textId="77777777" w:rsidR="00E6637B" w:rsidRDefault="00000000">
            <w:pPr>
              <w:pStyle w:val="Compact"/>
              <w:jc w:val="right"/>
            </w:pPr>
            <w:r>
              <w:t>4.43143</w:t>
            </w:r>
          </w:p>
        </w:tc>
        <w:tc>
          <w:tcPr>
            <w:tcW w:w="1131" w:type="dxa"/>
          </w:tcPr>
          <w:p w14:paraId="16399221" w14:textId="77777777" w:rsidR="00E6637B" w:rsidRDefault="00000000">
            <w:pPr>
              <w:pStyle w:val="Compact"/>
              <w:jc w:val="right"/>
            </w:pPr>
            <w:r>
              <w:t>1.40662</w:t>
            </w:r>
          </w:p>
        </w:tc>
        <w:tc>
          <w:tcPr>
            <w:tcW w:w="1131" w:type="dxa"/>
          </w:tcPr>
          <w:p w14:paraId="39A7BDA0" w14:textId="77777777" w:rsidR="00E6637B" w:rsidRDefault="00000000">
            <w:pPr>
              <w:pStyle w:val="Compact"/>
              <w:jc w:val="right"/>
            </w:pPr>
            <w:r>
              <w:t>2.11887</w:t>
            </w:r>
          </w:p>
        </w:tc>
        <w:tc>
          <w:tcPr>
            <w:tcW w:w="1131" w:type="dxa"/>
          </w:tcPr>
          <w:p w14:paraId="73228175" w14:textId="77777777" w:rsidR="00E6637B" w:rsidRDefault="00000000">
            <w:pPr>
              <w:pStyle w:val="Compact"/>
              <w:jc w:val="right"/>
            </w:pPr>
            <w:r>
              <w:t>57.41072</w:t>
            </w:r>
          </w:p>
        </w:tc>
      </w:tr>
      <w:tr w:rsidR="00E6637B" w14:paraId="5E88EDCE" w14:textId="77777777">
        <w:tc>
          <w:tcPr>
            <w:tcW w:w="1131" w:type="dxa"/>
          </w:tcPr>
          <w:p w14:paraId="19F4D740" w14:textId="77777777" w:rsidR="00E6637B" w:rsidRDefault="00000000">
            <w:pPr>
              <w:pStyle w:val="Compact"/>
            </w:pPr>
            <m:oMathPara>
              <m:oMath>
                <m:sSub>
                  <m:sSubPr>
                    <m:ctrlPr>
                      <w:rPr>
                        <w:rFonts w:ascii="Cambria Math" w:hAnsi="Cambria Math"/>
                      </w:rPr>
                    </m:ctrlPr>
                  </m:sSubPr>
                  <m:e>
                    <m:r>
                      <w:rPr>
                        <w:rFonts w:ascii="Cambria Math" w:hAnsi="Cambria Math"/>
                      </w:rPr>
                      <m:t>τ</m:t>
                    </m:r>
                  </m:e>
                  <m:sub>
                    <m:r>
                      <w:rPr>
                        <w:rFonts w:ascii="Cambria Math" w:hAnsi="Cambria Math"/>
                      </w:rPr>
                      <m:t>c</m:t>
                    </m:r>
                  </m:sub>
                </m:sSub>
              </m:oMath>
            </m:oMathPara>
          </w:p>
        </w:tc>
        <w:tc>
          <w:tcPr>
            <w:tcW w:w="1131" w:type="dxa"/>
          </w:tcPr>
          <w:p w14:paraId="60F27097" w14:textId="77777777" w:rsidR="00E6637B" w:rsidRDefault="00000000">
            <w:pPr>
              <w:pStyle w:val="Compact"/>
              <w:jc w:val="right"/>
            </w:pPr>
            <w:r>
              <w:t>0.19046</w:t>
            </w:r>
          </w:p>
        </w:tc>
        <w:tc>
          <w:tcPr>
            <w:tcW w:w="1131" w:type="dxa"/>
          </w:tcPr>
          <w:p w14:paraId="4FD62F7D" w14:textId="77777777" w:rsidR="00E6637B" w:rsidRDefault="00000000">
            <w:pPr>
              <w:pStyle w:val="Compact"/>
              <w:jc w:val="right"/>
            </w:pPr>
            <w:r>
              <w:t>2.17085</w:t>
            </w:r>
          </w:p>
        </w:tc>
        <w:tc>
          <w:tcPr>
            <w:tcW w:w="1131" w:type="dxa"/>
          </w:tcPr>
          <w:p w14:paraId="66E8B80F" w14:textId="77777777" w:rsidR="00E6637B" w:rsidRDefault="00000000">
            <w:pPr>
              <w:pStyle w:val="Compact"/>
              <w:jc w:val="right"/>
            </w:pPr>
            <w:r>
              <w:t>1.75392</w:t>
            </w:r>
          </w:p>
        </w:tc>
        <w:tc>
          <w:tcPr>
            <w:tcW w:w="1131" w:type="dxa"/>
          </w:tcPr>
          <w:p w14:paraId="08E9F5A3" w14:textId="77777777" w:rsidR="00E6637B" w:rsidRDefault="00000000">
            <w:pPr>
              <w:pStyle w:val="Compact"/>
              <w:jc w:val="right"/>
            </w:pPr>
            <w:r>
              <w:t>3.32237</w:t>
            </w:r>
          </w:p>
        </w:tc>
        <w:tc>
          <w:tcPr>
            <w:tcW w:w="1131" w:type="dxa"/>
          </w:tcPr>
          <w:p w14:paraId="12812E0F" w14:textId="77777777" w:rsidR="00E6637B" w:rsidRDefault="00000000">
            <w:pPr>
              <w:pStyle w:val="Compact"/>
              <w:jc w:val="right"/>
            </w:pPr>
            <w:r>
              <w:t>1.19079</w:t>
            </w:r>
          </w:p>
        </w:tc>
        <w:tc>
          <w:tcPr>
            <w:tcW w:w="1131" w:type="dxa"/>
          </w:tcPr>
          <w:p w14:paraId="00D09FA3" w14:textId="77777777" w:rsidR="00E6637B" w:rsidRDefault="00000000">
            <w:pPr>
              <w:pStyle w:val="Compact"/>
              <w:jc w:val="right"/>
            </w:pPr>
            <w:r>
              <w:t>1.57723</w:t>
            </w:r>
          </w:p>
        </w:tc>
      </w:tr>
      <w:tr w:rsidR="00E6637B" w14:paraId="622C5514" w14:textId="77777777">
        <w:tc>
          <w:tcPr>
            <w:tcW w:w="1131" w:type="dxa"/>
          </w:tcPr>
          <w:p w14:paraId="4617DD84" w14:textId="77777777" w:rsidR="00E6637B" w:rsidRDefault="00000000">
            <w:pPr>
              <w:pStyle w:val="Compact"/>
            </w:pPr>
            <m:oMathPara>
              <m:oMath>
                <m:r>
                  <w:rPr>
                    <w:rFonts w:ascii="Cambria Math" w:hAnsi="Cambria Math"/>
                  </w:rPr>
                  <m:t>ω</m:t>
                </m:r>
              </m:oMath>
            </m:oMathPara>
          </w:p>
        </w:tc>
        <w:tc>
          <w:tcPr>
            <w:tcW w:w="1131" w:type="dxa"/>
          </w:tcPr>
          <w:p w14:paraId="1C99E28D" w14:textId="77777777" w:rsidR="00E6637B" w:rsidRDefault="00000000">
            <w:pPr>
              <w:pStyle w:val="Compact"/>
              <w:jc w:val="right"/>
            </w:pPr>
            <w:r>
              <w:t>0.22586</w:t>
            </w:r>
          </w:p>
        </w:tc>
        <w:tc>
          <w:tcPr>
            <w:tcW w:w="1131" w:type="dxa"/>
          </w:tcPr>
          <w:p w14:paraId="56950DA5" w14:textId="77777777" w:rsidR="00E6637B" w:rsidRDefault="00000000">
            <w:pPr>
              <w:pStyle w:val="Compact"/>
              <w:jc w:val="right"/>
            </w:pPr>
            <w:r>
              <w:t>9.04693</w:t>
            </w:r>
          </w:p>
        </w:tc>
        <w:tc>
          <w:tcPr>
            <w:tcW w:w="1131" w:type="dxa"/>
          </w:tcPr>
          <w:p w14:paraId="2F39454A" w14:textId="77777777" w:rsidR="00E6637B" w:rsidRDefault="00000000">
            <w:pPr>
              <w:pStyle w:val="Compact"/>
              <w:jc w:val="right"/>
            </w:pPr>
            <w:r>
              <w:t>1.38513</w:t>
            </w:r>
          </w:p>
        </w:tc>
        <w:tc>
          <w:tcPr>
            <w:tcW w:w="1131" w:type="dxa"/>
          </w:tcPr>
          <w:p w14:paraId="4323F343" w14:textId="77777777" w:rsidR="00E6637B" w:rsidRDefault="00000000">
            <w:pPr>
              <w:pStyle w:val="Compact"/>
              <w:jc w:val="right"/>
            </w:pPr>
            <w:r>
              <w:t>1.45162</w:t>
            </w:r>
          </w:p>
        </w:tc>
        <w:tc>
          <w:tcPr>
            <w:tcW w:w="1131" w:type="dxa"/>
          </w:tcPr>
          <w:p w14:paraId="553820D6" w14:textId="77777777" w:rsidR="00E6637B" w:rsidRDefault="00000000">
            <w:pPr>
              <w:pStyle w:val="Compact"/>
              <w:jc w:val="right"/>
            </w:pPr>
            <w:r>
              <w:t>1.03720</w:t>
            </w:r>
          </w:p>
        </w:tc>
        <w:tc>
          <w:tcPr>
            <w:tcW w:w="1131" w:type="dxa"/>
          </w:tcPr>
          <w:p w14:paraId="6550A73A" w14:textId="77777777" w:rsidR="00E6637B" w:rsidRDefault="00000000">
            <w:pPr>
              <w:pStyle w:val="Compact"/>
              <w:jc w:val="right"/>
            </w:pPr>
            <w:r>
              <w:t>0.92996</w:t>
            </w:r>
          </w:p>
        </w:tc>
      </w:tr>
      <w:tr w:rsidR="00E6637B" w14:paraId="43BCAC4A" w14:textId="77777777">
        <w:tc>
          <w:tcPr>
            <w:tcW w:w="1131" w:type="dxa"/>
          </w:tcPr>
          <w:p w14:paraId="59C8C784" w14:textId="77777777" w:rsidR="00E6637B" w:rsidRDefault="00000000">
            <w:pPr>
              <w:pStyle w:val="Compact"/>
            </w:pPr>
            <m:oMathPara>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m:oMathPara>
          </w:p>
        </w:tc>
        <w:tc>
          <w:tcPr>
            <w:tcW w:w="1131" w:type="dxa"/>
          </w:tcPr>
          <w:p w14:paraId="069AF856" w14:textId="77777777" w:rsidR="00E6637B" w:rsidRDefault="00000000">
            <w:pPr>
              <w:pStyle w:val="Compact"/>
              <w:jc w:val="right"/>
            </w:pPr>
            <w:r>
              <w:t>[1]</w:t>
            </w:r>
          </w:p>
        </w:tc>
        <w:tc>
          <w:tcPr>
            <w:tcW w:w="1131" w:type="dxa"/>
          </w:tcPr>
          <w:p w14:paraId="0235A581" w14:textId="77777777" w:rsidR="00E6637B" w:rsidRDefault="00000000">
            <w:pPr>
              <w:pStyle w:val="Compact"/>
              <w:jc w:val="right"/>
            </w:pPr>
            <w:r>
              <w:t>[1]</w:t>
            </w:r>
          </w:p>
        </w:tc>
        <w:tc>
          <w:tcPr>
            <w:tcW w:w="1131" w:type="dxa"/>
          </w:tcPr>
          <w:p w14:paraId="5F1B0A6C" w14:textId="77777777" w:rsidR="00E6637B" w:rsidRDefault="00000000">
            <w:pPr>
              <w:pStyle w:val="Compact"/>
              <w:jc w:val="right"/>
            </w:pPr>
            <w:r>
              <w:t>[1]</w:t>
            </w:r>
          </w:p>
        </w:tc>
        <w:tc>
          <w:tcPr>
            <w:tcW w:w="1131" w:type="dxa"/>
          </w:tcPr>
          <w:p w14:paraId="2B6BB2CC" w14:textId="77777777" w:rsidR="00E6637B" w:rsidRDefault="00000000">
            <w:pPr>
              <w:pStyle w:val="Compact"/>
              <w:jc w:val="right"/>
            </w:pPr>
            <w:r>
              <w:t>1.50441</w:t>
            </w:r>
          </w:p>
        </w:tc>
        <w:tc>
          <w:tcPr>
            <w:tcW w:w="1131" w:type="dxa"/>
          </w:tcPr>
          <w:p w14:paraId="5DB6F341" w14:textId="77777777" w:rsidR="00E6637B" w:rsidRDefault="00000000">
            <w:pPr>
              <w:pStyle w:val="Compact"/>
              <w:jc w:val="right"/>
            </w:pPr>
            <w:r>
              <w:t>7.52498</w:t>
            </w:r>
          </w:p>
        </w:tc>
        <w:tc>
          <w:tcPr>
            <w:tcW w:w="1131" w:type="dxa"/>
          </w:tcPr>
          <w:p w14:paraId="4E9EF8D4" w14:textId="77777777" w:rsidR="00E6637B" w:rsidRDefault="00000000">
            <w:pPr>
              <w:pStyle w:val="Compact"/>
              <w:jc w:val="right"/>
            </w:pPr>
            <w:r>
              <w:t>1.94591</w:t>
            </w:r>
          </w:p>
        </w:tc>
      </w:tr>
      <w:tr w:rsidR="00E6637B" w14:paraId="6DFAFAA9" w14:textId="77777777">
        <w:tc>
          <w:tcPr>
            <w:tcW w:w="1131" w:type="dxa"/>
          </w:tcPr>
          <w:p w14:paraId="382A7377" w14:textId="77777777" w:rsidR="00E6637B" w:rsidRDefault="00000000">
            <w:pPr>
              <w:pStyle w:val="Compact"/>
            </w:pPr>
            <m:oMathPara>
              <m:oMath>
                <m:r>
                  <w:rPr>
                    <w:rFonts w:ascii="Cambria Math" w:hAnsi="Cambria Math"/>
                  </w:rPr>
                  <m:t>κ</m:t>
                </m:r>
              </m:oMath>
            </m:oMathPara>
          </w:p>
        </w:tc>
        <w:tc>
          <w:tcPr>
            <w:tcW w:w="1131" w:type="dxa"/>
          </w:tcPr>
          <w:p w14:paraId="4F9C7B3D" w14:textId="77777777" w:rsidR="00E6637B" w:rsidRDefault="00000000">
            <w:pPr>
              <w:pStyle w:val="Compact"/>
              <w:jc w:val="right"/>
            </w:pPr>
            <w:r>
              <w:t>[0]</w:t>
            </w:r>
          </w:p>
        </w:tc>
        <w:tc>
          <w:tcPr>
            <w:tcW w:w="1131" w:type="dxa"/>
          </w:tcPr>
          <w:p w14:paraId="4130B94A" w14:textId="77777777" w:rsidR="00E6637B" w:rsidRDefault="00000000">
            <w:pPr>
              <w:pStyle w:val="Compact"/>
              <w:jc w:val="right"/>
            </w:pPr>
            <w:r>
              <w:t>0.05973</w:t>
            </w:r>
          </w:p>
        </w:tc>
        <w:tc>
          <w:tcPr>
            <w:tcW w:w="1131" w:type="dxa"/>
          </w:tcPr>
          <w:p w14:paraId="05411577" w14:textId="77777777" w:rsidR="00E6637B" w:rsidRDefault="00000000">
            <w:pPr>
              <w:pStyle w:val="Compact"/>
              <w:jc w:val="right"/>
            </w:pPr>
            <w:r>
              <w:t>[0]</w:t>
            </w:r>
          </w:p>
        </w:tc>
        <w:tc>
          <w:tcPr>
            <w:tcW w:w="1131" w:type="dxa"/>
          </w:tcPr>
          <w:p w14:paraId="2CE137F2" w14:textId="77777777" w:rsidR="00E6637B" w:rsidRDefault="00000000">
            <w:pPr>
              <w:pStyle w:val="Compact"/>
              <w:jc w:val="right"/>
            </w:pPr>
            <w:r>
              <w:t>[0]</w:t>
            </w:r>
          </w:p>
        </w:tc>
        <w:tc>
          <w:tcPr>
            <w:tcW w:w="1131" w:type="dxa"/>
          </w:tcPr>
          <w:p w14:paraId="572BFDDA" w14:textId="77777777" w:rsidR="00E6637B" w:rsidRDefault="00000000">
            <w:pPr>
              <w:pStyle w:val="Compact"/>
              <w:jc w:val="right"/>
            </w:pPr>
            <w:r>
              <w:t>0.20799</w:t>
            </w:r>
          </w:p>
        </w:tc>
        <w:tc>
          <w:tcPr>
            <w:tcW w:w="1131" w:type="dxa"/>
          </w:tcPr>
          <w:p w14:paraId="4DB68436" w14:textId="77777777" w:rsidR="00E6637B" w:rsidRDefault="00000000">
            <w:pPr>
              <w:pStyle w:val="Compact"/>
              <w:jc w:val="right"/>
            </w:pPr>
            <w:r>
              <w:t>[0]</w:t>
            </w:r>
          </w:p>
        </w:tc>
      </w:tr>
      <w:tr w:rsidR="00E6637B" w14:paraId="24E393F3" w14:textId="77777777">
        <w:tc>
          <w:tcPr>
            <w:tcW w:w="1131" w:type="dxa"/>
          </w:tcPr>
          <w:p w14:paraId="506F0693" w14:textId="77777777" w:rsidR="00E6637B" w:rsidRDefault="00000000">
            <w:pPr>
              <w:pStyle w:val="Compact"/>
            </w:pPr>
            <m:oMathPara>
              <m:oMath>
                <m:sSub>
                  <m:sSubPr>
                    <m:ctrlPr>
                      <w:rPr>
                        <w:rFonts w:ascii="Cambria Math" w:hAnsi="Cambria Math"/>
                      </w:rPr>
                    </m:ctrlPr>
                  </m:sSubPr>
                  <m:e>
                    <m:r>
                      <w:rPr>
                        <w:rFonts w:ascii="Cambria Math" w:hAnsi="Cambria Math"/>
                      </w:rPr>
                      <m:t>κ</m:t>
                    </m:r>
                  </m:e>
                  <m:sub>
                    <m:r>
                      <m:rPr>
                        <m:sty m:val="p"/>
                      </m:rPr>
                      <w:rPr>
                        <w:rFonts w:ascii="Cambria Math" w:hAnsi="Cambria Math"/>
                      </w:rPr>
                      <m:t>emot</m:t>
                    </m:r>
                  </m:sub>
                </m:sSub>
              </m:oMath>
            </m:oMathPara>
          </w:p>
        </w:tc>
        <w:tc>
          <w:tcPr>
            <w:tcW w:w="1131" w:type="dxa"/>
          </w:tcPr>
          <w:p w14:paraId="4E5C25DF" w14:textId="77777777" w:rsidR="00E6637B" w:rsidRDefault="00000000">
            <w:pPr>
              <w:pStyle w:val="Compact"/>
              <w:jc w:val="right"/>
            </w:pPr>
            <w:r>
              <w:t>[0]</w:t>
            </w:r>
          </w:p>
        </w:tc>
        <w:tc>
          <w:tcPr>
            <w:tcW w:w="1131" w:type="dxa"/>
          </w:tcPr>
          <w:p w14:paraId="4025A824" w14:textId="77777777" w:rsidR="00E6637B" w:rsidRDefault="00000000">
            <w:pPr>
              <w:pStyle w:val="Compact"/>
              <w:jc w:val="right"/>
            </w:pPr>
            <w:r>
              <w:t>[0]</w:t>
            </w:r>
          </w:p>
        </w:tc>
        <w:tc>
          <w:tcPr>
            <w:tcW w:w="1131" w:type="dxa"/>
          </w:tcPr>
          <w:p w14:paraId="7FB03588" w14:textId="77777777" w:rsidR="00E6637B" w:rsidRDefault="00000000">
            <w:pPr>
              <w:pStyle w:val="Compact"/>
              <w:jc w:val="right"/>
            </w:pPr>
            <w:r>
              <w:t>0.18410</w:t>
            </w:r>
          </w:p>
        </w:tc>
        <w:tc>
          <w:tcPr>
            <w:tcW w:w="1131" w:type="dxa"/>
          </w:tcPr>
          <w:p w14:paraId="2602950C" w14:textId="77777777" w:rsidR="00E6637B" w:rsidRDefault="00000000">
            <w:pPr>
              <w:pStyle w:val="Compact"/>
              <w:jc w:val="right"/>
            </w:pPr>
            <w:r>
              <w:t>[0]</w:t>
            </w:r>
          </w:p>
        </w:tc>
        <w:tc>
          <w:tcPr>
            <w:tcW w:w="1131" w:type="dxa"/>
          </w:tcPr>
          <w:p w14:paraId="4C1CC3C0" w14:textId="77777777" w:rsidR="00E6637B" w:rsidRDefault="00000000">
            <w:pPr>
              <w:pStyle w:val="Compact"/>
              <w:jc w:val="right"/>
            </w:pPr>
            <w:r>
              <w:t>[0]</w:t>
            </w:r>
          </w:p>
        </w:tc>
        <w:tc>
          <w:tcPr>
            <w:tcW w:w="1131" w:type="dxa"/>
          </w:tcPr>
          <w:p w14:paraId="068E8727" w14:textId="77777777" w:rsidR="00E6637B" w:rsidRDefault="00000000">
            <w:pPr>
              <w:pStyle w:val="Compact"/>
              <w:jc w:val="right"/>
            </w:pPr>
            <w:r>
              <w:t>0.12805</w:t>
            </w:r>
          </w:p>
        </w:tc>
      </w:tr>
    </w:tbl>
    <w:p w14:paraId="49AF8E45" w14:textId="77777777" w:rsidR="00E6637B" w:rsidRDefault="00000000">
      <w:pPr>
        <w:pStyle w:val="FigureTitle"/>
      </w:pPr>
      <w:bookmarkStart w:id="26" w:name="fig-model-recall-rates"/>
      <w:bookmarkEnd w:id="25"/>
      <w:r>
        <w:lastRenderedPageBreak/>
        <w:t>Figure 1</w:t>
      </w:r>
    </w:p>
    <w:p w14:paraId="6EF1C15C" w14:textId="77777777" w:rsidR="00E6637B" w:rsidRDefault="00000000">
      <w:pPr>
        <w:pStyle w:val="Caption"/>
      </w:pPr>
      <w:r>
        <w:t>Observed and model-predicted recall rates for negative and neutral items. Brackets show the negative-minus-neutral difference. Observed error bars are 95% participant-cluster bootstrap confidence intervals; predicted error bars are central 95% intervals across 200 complete simulated datasets.</w:t>
      </w:r>
    </w:p>
    <w:p w14:paraId="4B93CD86" w14:textId="77777777" w:rsidR="00E6637B" w:rsidRDefault="00000000">
      <w:pPr>
        <w:pStyle w:val="FigureWithoutNote"/>
      </w:pPr>
      <w:r>
        <w:rPr>
          <w:noProof/>
        </w:rPr>
        <w:drawing>
          <wp:inline distT="0" distB="0" distL="0" distR="0" wp14:anchorId="089F906E" wp14:editId="6C74879A">
            <wp:extent cx="5943600" cy="4324937"/>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work/lpp_model_prediction_grids/matched_models_recall_rate_figure.png"/>
                    <pic:cNvPicPr>
                      <a:picLocks noChangeAspect="1" noChangeArrowheads="1"/>
                    </pic:cNvPicPr>
                  </pic:nvPicPr>
                  <pic:blipFill>
                    <a:blip r:embed="rId7"/>
                    <a:stretch>
                      <a:fillRect/>
                    </a:stretch>
                  </pic:blipFill>
                  <pic:spPr bwMode="auto">
                    <a:xfrm>
                      <a:off x="0" y="0"/>
                      <a:ext cx="5943600" cy="4324937"/>
                    </a:xfrm>
                    <a:prstGeom prst="rect">
                      <a:avLst/>
                    </a:prstGeom>
                    <a:noFill/>
                    <a:ln w="9525">
                      <a:noFill/>
                      <a:headEnd/>
                      <a:tailEnd/>
                    </a:ln>
                  </pic:spPr>
                </pic:pic>
              </a:graphicData>
            </a:graphic>
          </wp:inline>
        </w:drawing>
      </w:r>
    </w:p>
    <w:bookmarkEnd w:id="26"/>
    <w:p w14:paraId="00406520" w14:textId="77777777" w:rsidR="00E6637B" w:rsidRDefault="00000000">
      <w:r>
        <w:br w:type="page"/>
      </w:r>
    </w:p>
    <w:p w14:paraId="41742F20" w14:textId="77777777" w:rsidR="00E6637B" w:rsidRDefault="00000000">
      <w:pPr>
        <w:pStyle w:val="FigureTitle"/>
      </w:pPr>
      <w:bookmarkStart w:id="27" w:name="fig-model-early-lpp"/>
      <w:r>
        <w:lastRenderedPageBreak/>
        <w:t>Figure 2</w:t>
      </w:r>
    </w:p>
    <w:p w14:paraId="2140C8CD" w14:textId="77777777" w:rsidR="00E6637B" w:rsidRDefault="00000000">
      <w:pPr>
        <w:pStyle w:val="Caption"/>
      </w:pPr>
      <w:r>
        <w:t>Observed and model-predicted original z-transformed Early LPP by item category and memory status. Brackets show remembered-minus-forgotten differences within each category. Observed error bars are 95% participant-bootstrap confidence intervals; predicted error bars are central 95% intervals across 200 complete simulated datasets.</w:t>
      </w:r>
    </w:p>
    <w:p w14:paraId="4D643118" w14:textId="77777777" w:rsidR="00E6637B" w:rsidRDefault="00000000">
      <w:pPr>
        <w:pStyle w:val="FigureWithoutNote"/>
      </w:pPr>
      <w:r>
        <w:rPr>
          <w:noProof/>
        </w:rPr>
        <w:drawing>
          <wp:inline distT="0" distB="0" distL="0" distR="0" wp14:anchorId="4D830F43" wp14:editId="37ED61F8">
            <wp:extent cx="5943600" cy="4718759"/>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work/lpp_model_prediction_grids/matched_models_early_lpp_figure.png"/>
                    <pic:cNvPicPr>
                      <a:picLocks noChangeAspect="1" noChangeArrowheads="1"/>
                    </pic:cNvPicPr>
                  </pic:nvPicPr>
                  <pic:blipFill>
                    <a:blip r:embed="rId8"/>
                    <a:stretch>
                      <a:fillRect/>
                    </a:stretch>
                  </pic:blipFill>
                  <pic:spPr bwMode="auto">
                    <a:xfrm>
                      <a:off x="0" y="0"/>
                      <a:ext cx="5943600" cy="4718759"/>
                    </a:xfrm>
                    <a:prstGeom prst="rect">
                      <a:avLst/>
                    </a:prstGeom>
                    <a:noFill/>
                    <a:ln w="9525">
                      <a:noFill/>
                      <a:headEnd/>
                      <a:tailEnd/>
                    </a:ln>
                  </pic:spPr>
                </pic:pic>
              </a:graphicData>
            </a:graphic>
          </wp:inline>
        </w:drawing>
      </w:r>
    </w:p>
    <w:bookmarkEnd w:id="27"/>
    <w:p w14:paraId="17BC50A5" w14:textId="77777777" w:rsidR="00E6637B" w:rsidRDefault="00000000">
      <w:r>
        <w:br w:type="page"/>
      </w:r>
    </w:p>
    <w:p w14:paraId="2E6E8523" w14:textId="77777777" w:rsidR="00E6637B" w:rsidRDefault="00000000">
      <w:pPr>
        <w:pStyle w:val="Bibliography"/>
      </w:pPr>
      <w:bookmarkStart w:id="28" w:name="ref-burnham2002model"/>
      <w:bookmarkStart w:id="29" w:name="refs"/>
      <w:r>
        <w:lastRenderedPageBreak/>
        <w:t xml:space="preserve">Burnham, K. P., &amp; Anderson, D. R. (2002). </w:t>
      </w:r>
      <w:r>
        <w:rPr>
          <w:i/>
          <w:iCs/>
        </w:rPr>
        <w:t>Model selection and multimodel inference: A practical information-theoretic approach</w:t>
      </w:r>
      <w:r>
        <w:t xml:space="preserve"> (2nd ed.). Springer. </w:t>
      </w:r>
      <w:hyperlink r:id="rId9">
        <w:r>
          <w:rPr>
            <w:rStyle w:val="Hyperlink"/>
          </w:rPr>
          <w:t>https://doi.org/10.1007/b97636</w:t>
        </w:r>
      </w:hyperlink>
    </w:p>
    <w:p w14:paraId="60F65638" w14:textId="77777777" w:rsidR="00E6637B" w:rsidRDefault="00000000">
      <w:pPr>
        <w:pStyle w:val="Bibliography"/>
      </w:pPr>
      <w:bookmarkStart w:id="30" w:name="ref-howard2002distributed"/>
      <w:bookmarkEnd w:id="28"/>
      <w:r>
        <w:t xml:space="preserve">Howard, M. W., &amp; Kahana, M. J. (2002). A distributed representation of temporal context. </w:t>
      </w:r>
      <w:r>
        <w:rPr>
          <w:i/>
          <w:iCs/>
        </w:rPr>
        <w:t>Journal of Mathematical Psychology</w:t>
      </w:r>
      <w:r>
        <w:t xml:space="preserve">, </w:t>
      </w:r>
      <w:r>
        <w:rPr>
          <w:i/>
          <w:iCs/>
        </w:rPr>
        <w:t>46</w:t>
      </w:r>
      <w:r>
        <w:t xml:space="preserve">(3), 269–299. </w:t>
      </w:r>
      <w:hyperlink r:id="rId10">
        <w:r>
          <w:rPr>
            <w:rStyle w:val="Hyperlink"/>
          </w:rPr>
          <w:t>https://doi.org/10.1006/jmps.2001.1388</w:t>
        </w:r>
      </w:hyperlink>
    </w:p>
    <w:p w14:paraId="65569F9F" w14:textId="77777777" w:rsidR="00E6637B" w:rsidRDefault="00000000">
      <w:pPr>
        <w:pStyle w:val="Bibliography"/>
      </w:pPr>
      <w:bookmarkStart w:id="31" w:name="ref-polyn2009context"/>
      <w:bookmarkEnd w:id="30"/>
      <w:r>
        <w:t xml:space="preserve">Polyn, S. M., Norman, K. A., &amp; Kahana, M. J. (2009). A context maintenance and retrieval model of organizational processes in free recall. </w:t>
      </w:r>
      <w:r>
        <w:rPr>
          <w:i/>
          <w:iCs/>
        </w:rPr>
        <w:t>Psychological Review</w:t>
      </w:r>
      <w:r>
        <w:t xml:space="preserve">, </w:t>
      </w:r>
      <w:r>
        <w:rPr>
          <w:i/>
          <w:iCs/>
        </w:rPr>
        <w:t>116</w:t>
      </w:r>
      <w:r>
        <w:t xml:space="preserve">(1), 129–156. </w:t>
      </w:r>
      <w:hyperlink r:id="rId11">
        <w:r>
          <w:rPr>
            <w:rStyle w:val="Hyperlink"/>
          </w:rPr>
          <w:t>https://doi.org/10.1037/a0014420</w:t>
        </w:r>
      </w:hyperlink>
    </w:p>
    <w:p w14:paraId="47368B93" w14:textId="77777777" w:rsidR="00E6637B" w:rsidRDefault="00000000">
      <w:pPr>
        <w:pStyle w:val="Bibliography"/>
      </w:pPr>
      <w:bookmarkStart w:id="32" w:name="ref-storn1997differential"/>
      <w:bookmarkEnd w:id="31"/>
      <w:r>
        <w:t xml:space="preserve">Storn, R., &amp; Price, K. (1997). Differential evolution – a simple and efficient heuristic for global optimization over continuous spaces. </w:t>
      </w:r>
      <w:r>
        <w:rPr>
          <w:i/>
          <w:iCs/>
        </w:rPr>
        <w:t>Journal of Global Optimization</w:t>
      </w:r>
      <w:r>
        <w:t xml:space="preserve">, </w:t>
      </w:r>
      <w:r>
        <w:rPr>
          <w:i/>
          <w:iCs/>
        </w:rPr>
        <w:t>11</w:t>
      </w:r>
      <w:r>
        <w:t xml:space="preserve">(4), 341–359. </w:t>
      </w:r>
      <w:hyperlink r:id="rId12">
        <w:r>
          <w:rPr>
            <w:rStyle w:val="Hyperlink"/>
          </w:rPr>
          <w:t>https://doi.org/10.1023/A:1008202821328</w:t>
        </w:r>
      </w:hyperlink>
    </w:p>
    <w:p w14:paraId="12956710" w14:textId="77777777" w:rsidR="00E6637B" w:rsidRDefault="00000000">
      <w:pPr>
        <w:pStyle w:val="Bibliography"/>
      </w:pPr>
      <w:bookmarkStart w:id="33" w:name="ref-talmi2019retrieved"/>
      <w:bookmarkEnd w:id="32"/>
      <w:r>
        <w:t xml:space="preserve">Talmi, D., Lohnas, L. J., &amp; Daw, N. D. (2019). A retrieved context model of the emotional modulation of memory. </w:t>
      </w:r>
      <w:r>
        <w:rPr>
          <w:i/>
          <w:iCs/>
        </w:rPr>
        <w:t>Psychological Review</w:t>
      </w:r>
      <w:r>
        <w:t xml:space="preserve">, </w:t>
      </w:r>
      <w:r>
        <w:rPr>
          <w:i/>
          <w:iCs/>
        </w:rPr>
        <w:t>126</w:t>
      </w:r>
      <w:r>
        <w:t xml:space="preserve">(4), 455–485. </w:t>
      </w:r>
      <w:hyperlink r:id="rId13">
        <w:r>
          <w:rPr>
            <w:rStyle w:val="Hyperlink"/>
          </w:rPr>
          <w:t>https://doi.org/10.1037/rev0000132</w:t>
        </w:r>
      </w:hyperlink>
      <w:bookmarkEnd w:id="18"/>
      <w:bookmarkEnd w:id="23"/>
      <w:bookmarkEnd w:id="29"/>
      <w:bookmarkEnd w:id="33"/>
    </w:p>
    <w:sectPr w:rsidR="00E6637B">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A2B05B" w14:textId="77777777" w:rsidR="00FC5CB3" w:rsidRDefault="00FC5CB3">
      <w:pPr>
        <w:spacing w:line="240" w:lineRule="auto"/>
      </w:pPr>
      <w:r>
        <w:separator/>
      </w:r>
    </w:p>
  </w:endnote>
  <w:endnote w:type="continuationSeparator" w:id="0">
    <w:p w14:paraId="1B1057A6" w14:textId="77777777" w:rsidR="00FC5CB3" w:rsidRDefault="00FC5C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1D31A0"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2253B9"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DAC374" w14:textId="77777777" w:rsidR="00BB5C76" w:rsidRDefault="00BB5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47C935" w14:textId="77777777" w:rsidR="00FC5CB3" w:rsidRDefault="00FC5CB3">
      <w:pPr>
        <w:spacing w:line="240" w:lineRule="auto"/>
      </w:pPr>
      <w:r>
        <w:separator/>
      </w:r>
    </w:p>
  </w:footnote>
  <w:footnote w:type="continuationSeparator" w:id="0">
    <w:p w14:paraId="4CBDD538" w14:textId="77777777" w:rsidR="00FC5CB3" w:rsidRDefault="00FC5C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EEC797"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026C90" w14:textId="77777777" w:rsidR="00340B9E"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873A8B">
          <w:t>LPP CONTRIBUTION TO EMOTIONAL MEMORY</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7E0BB457"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7F6B0F" w14:textId="77777777" w:rsidR="00BB5C76" w:rsidRDefault="00BB5C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C25E04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1"/>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328631434">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1E28"/>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73A8B"/>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6637B"/>
    <w:rsid w:val="00E71E11"/>
    <w:rsid w:val="00E868AE"/>
    <w:rsid w:val="00E90878"/>
    <w:rsid w:val="00EA4191"/>
    <w:rsid w:val="00EA785F"/>
    <w:rsid w:val="00EA7B31"/>
    <w:rsid w:val="00F13DD4"/>
    <w:rsid w:val="00F3598F"/>
    <w:rsid w:val="00F57810"/>
    <w:rsid w:val="00F774FD"/>
    <w:rsid w:val="00F87745"/>
    <w:rsid w:val="00F92DA2"/>
    <w:rsid w:val="00FC5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C347AA"/>
  <w15:docId w15:val="{A076D235-83E3-5549-BBB5-F80C2D00D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37/rev0000132"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doi.org/10.1023/A:1008202821328"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37/a0014420"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doi.org/10.1006/jmps.2001.1388"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doi.org/10.1007/b97636"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4033</Words>
  <Characters>22993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26973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Jordan Gunn</dc:creator>
  <cp:keywords/>
  <dc:description>LPP CONTRIBUTION TO EMOTIONAL MEMORY</dc:description>
  <cp:lastModifiedBy>Jordan Gunn</cp:lastModifiedBy>
  <cp:revision>2</cp:revision>
  <dcterms:created xsi:type="dcterms:W3CDTF">2026-07-16T11:24:00Z</dcterms:created>
  <dcterms:modified xsi:type="dcterms:W3CDTF">2026-07-16T11:24:00Z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uthor">
    <vt:lpwstr/>
  </property>
  <property fmtid="{D5CDD505-2E9C-101B-9397-08002B2CF9AE}" pid="5" name="apatitle">
    <vt:lpwstr>Contribution of the Late Positive Potential to Emotional Memory: A Joint Neuro-Cognitive Approach to Memory Prediction</vt:lpwstr>
  </property>
  <property fmtid="{D5CDD505-2E9C-101B-9397-08002B2CF9AE}" pid="6" name="apatitledisplay">
    <vt:lpwstr>Contribution of the Late Positive Potential to Emotional Memory: A Joint Neuro-Cognitive Approach to Memory Prediction</vt:lpwstr>
  </property>
  <property fmtid="{D5CDD505-2E9C-101B-9397-08002B2CF9AE}" pid="7" name="authors">
    <vt:lpwstr/>
  </property>
  <property fmtid="{D5CDD505-2E9C-101B-9397-08002B2CF9AE}" pid="8" name="biblio-config">
    <vt:lpwstr>True</vt:lpwstr>
  </property>
  <property fmtid="{D5CDD505-2E9C-101B-9397-08002B2CF9AE}" pid="9" name="by-affiliation">
    <vt:lpwstr/>
  </property>
  <property fmtid="{D5CDD505-2E9C-101B-9397-08002B2CF9AE}" pid="10" name="by-author">
    <vt:lpwstr/>
  </property>
  <property fmtid="{D5CDD505-2E9C-101B-9397-08002B2CF9AE}" pid="11" name="cap-location">
    <vt:lpwstr>top</vt:lpwstr>
  </property>
  <property fmtid="{D5CDD505-2E9C-101B-9397-08002B2CF9AE}" pid="12" name="clear-hidden-classes">
    <vt:lpwstr>none</vt:lpwstr>
  </property>
  <property fmtid="{D5CDD505-2E9C-101B-9397-08002B2CF9AE}" pid="13" name="csl">
    <vt:lpwstr>_extensions/wjschne/apaquarto/apa.csl</vt:lpwstr>
  </property>
  <property fmtid="{D5CDD505-2E9C-101B-9397-08002B2CF9AE}" pid="14" name="documentmode">
    <vt:lpwstr>man</vt:lpwstr>
  </property>
  <property fmtid="{D5CDD505-2E9C-101B-9397-08002B2CF9AE}" pid="15" name="donotrepeattitle">
    <vt:lpwstr>True</vt:lpwstr>
  </property>
  <property fmtid="{D5CDD505-2E9C-101B-9397-08002B2CF9AE}" pid="16" name="fig-cap-location">
    <vt:lpwstr>top</vt:lpwstr>
  </property>
  <property fmtid="{D5CDD505-2E9C-101B-9397-08002B2CF9AE}" pid="17" name="google-scholar">
    <vt:lpwstr>True</vt:lpwstr>
  </property>
  <property fmtid="{D5CDD505-2E9C-101B-9397-08002B2CF9AE}" pid="18" name="header-includes">
    <vt:lpwstr/>
  </property>
  <property fmtid="{D5CDD505-2E9C-101B-9397-08002B2CF9AE}" pid="19" name="include-after">
    <vt:lpwstr/>
  </property>
  <property fmtid="{D5CDD505-2E9C-101B-9397-08002B2CF9AE}" pid="20" name="include-before">
    <vt:lpwstr/>
  </property>
  <property fmtid="{D5CDD505-2E9C-101B-9397-08002B2CF9AE}" pid="21" name="knitr">
    <vt:lpwstr/>
  </property>
  <property fmtid="{D5CDD505-2E9C-101B-9397-08002B2CF9AE}" pid="22" name="labels">
    <vt:lpwstr/>
  </property>
  <property fmtid="{D5CDD505-2E9C-101B-9397-08002B2CF9AE}" pid="23" name="language">
    <vt:lpwstr/>
  </property>
  <property fmtid="{D5CDD505-2E9C-101B-9397-08002B2CF9AE}" pid="24" name="lightbox">
    <vt:lpwstr>auto</vt:lpwstr>
  </property>
  <property fmtid="{D5CDD505-2E9C-101B-9397-08002B2CF9AE}" pid="25" name="link-citations">
    <vt:lpwstr>True</vt:lpwstr>
  </property>
  <property fmtid="{D5CDD505-2E9C-101B-9397-08002B2CF9AE}" pid="26" name="manuscript">
    <vt:lpwstr/>
  </property>
  <property fmtid="{D5CDD505-2E9C-101B-9397-08002B2CF9AE}" pid="27" name="no-ampersand-parenthetical">
    <vt:lpwstr>False</vt:lpwstr>
  </property>
  <property fmtid="{D5CDD505-2E9C-101B-9397-08002B2CF9AE}" pid="28" name="nocorrespondence">
    <vt:lpwstr>True</vt:lpwstr>
  </property>
  <property fmtid="{D5CDD505-2E9C-101B-9397-08002B2CF9AE}" pid="29" name="notebook-preview-options">
    <vt:lpwstr/>
  </property>
  <property fmtid="{D5CDD505-2E9C-101B-9397-08002B2CF9AE}" pid="30" name="oneaffiliation">
    <vt:lpwstr>False</vt:lpwstr>
  </property>
  <property fmtid="{D5CDD505-2E9C-101B-9397-08002B2CF9AE}" pid="31" name="oneauthor">
    <vt:lpwstr>False</vt:lpwstr>
  </property>
  <property fmtid="{D5CDD505-2E9C-101B-9397-08002B2CF9AE}" pid="32" name="quarto-internal">
    <vt:lpwstr/>
  </property>
  <property fmtid="{D5CDD505-2E9C-101B-9397-08002B2CF9AE}" pid="33" name="references">
    <vt:lpwstr/>
  </property>
  <property fmtid="{D5CDD505-2E9C-101B-9397-08002B2CF9AE}" pid="34" name="remove-hidden">
    <vt:lpwstr>all</vt:lpwstr>
  </property>
  <property fmtid="{D5CDD505-2E9C-101B-9397-08002B2CF9AE}" pid="35" name="revealjs-plugins">
    <vt:lpwstr/>
  </property>
  <property fmtid="{D5CDD505-2E9C-101B-9397-08002B2CF9AE}" pid="36" name="shorttitle">
    <vt:lpwstr>LPP CONTRIBUTION TO EMOTIONAL MEMORY</vt:lpwstr>
  </property>
  <property fmtid="{D5CDD505-2E9C-101B-9397-08002B2CF9AE}" pid="37" name="suppress-abstract">
    <vt:lpwstr>False</vt:lpwstr>
  </property>
  <property fmtid="{D5CDD505-2E9C-101B-9397-08002B2CF9AE}" pid="38" name="suppress-affiliation">
    <vt:lpwstr>False</vt:lpwstr>
  </property>
  <property fmtid="{D5CDD505-2E9C-101B-9397-08002B2CF9AE}" pid="39" name="suppress-author">
    <vt:lpwstr>False</vt:lpwstr>
  </property>
  <property fmtid="{D5CDD505-2E9C-101B-9397-08002B2CF9AE}" pid="40" name="suppress-author-note">
    <vt:lpwstr>False</vt:lpwstr>
  </property>
  <property fmtid="{D5CDD505-2E9C-101B-9397-08002B2CF9AE}" pid="41" name="suppress-corresponding-address">
    <vt:lpwstr>False</vt:lpwstr>
  </property>
  <property fmtid="{D5CDD505-2E9C-101B-9397-08002B2CF9AE}" pid="42" name="suppress-corresponding-affiliation-name">
    <vt:lpwstr>False</vt:lpwstr>
  </property>
  <property fmtid="{D5CDD505-2E9C-101B-9397-08002B2CF9AE}" pid="43" name="suppress-corresponding-city">
    <vt:lpwstr>False</vt:lpwstr>
  </property>
  <property fmtid="{D5CDD505-2E9C-101B-9397-08002B2CF9AE}" pid="44" name="suppress-corresponding-department">
    <vt:lpwstr>False</vt:lpwstr>
  </property>
  <property fmtid="{D5CDD505-2E9C-101B-9397-08002B2CF9AE}" pid="45" name="suppress-corresponding-email">
    <vt:lpwstr>False</vt:lpwstr>
  </property>
  <property fmtid="{D5CDD505-2E9C-101B-9397-08002B2CF9AE}" pid="46" name="suppress-corresponding-group">
    <vt:lpwstr>False</vt:lpwstr>
  </property>
  <property fmtid="{D5CDD505-2E9C-101B-9397-08002B2CF9AE}" pid="47" name="suppress-corresponding-paragraph">
    <vt:lpwstr>False</vt:lpwstr>
  </property>
  <property fmtid="{D5CDD505-2E9C-101B-9397-08002B2CF9AE}" pid="48" name="suppress-corresponding-postal-code">
    <vt:lpwstr>False</vt:lpwstr>
  </property>
  <property fmtid="{D5CDD505-2E9C-101B-9397-08002B2CF9AE}" pid="49" name="suppress-corresponding-region">
    <vt:lpwstr>False</vt:lpwstr>
  </property>
  <property fmtid="{D5CDD505-2E9C-101B-9397-08002B2CF9AE}" pid="50" name="suppress-credit-statement">
    <vt:lpwstr>False</vt:lpwstr>
  </property>
  <property fmtid="{D5CDD505-2E9C-101B-9397-08002B2CF9AE}" pid="51" name="suppress-disclosures-paragraph">
    <vt:lpwstr>False</vt:lpwstr>
  </property>
  <property fmtid="{D5CDD505-2E9C-101B-9397-08002B2CF9AE}" pid="52" name="suppress-impact-statement">
    <vt:lpwstr>False</vt:lpwstr>
  </property>
  <property fmtid="{D5CDD505-2E9C-101B-9397-08002B2CF9AE}" pid="53" name="suppress-keywords">
    <vt:lpwstr>False</vt:lpwstr>
  </property>
  <property fmtid="{D5CDD505-2E9C-101B-9397-08002B2CF9AE}" pid="54" name="suppress-orcid">
    <vt:lpwstr>False</vt:lpwstr>
  </property>
  <property fmtid="{D5CDD505-2E9C-101B-9397-08002B2CF9AE}" pid="55" name="suppress-short-title">
    <vt:lpwstr>False</vt:lpwstr>
  </property>
  <property fmtid="{D5CDD505-2E9C-101B-9397-08002B2CF9AE}" pid="56" name="suppress-status-change-paragraph">
    <vt:lpwstr>False</vt:lpwstr>
  </property>
  <property fmtid="{D5CDD505-2E9C-101B-9397-08002B2CF9AE}" pid="57" name="suppress-title">
    <vt:lpwstr>False</vt:lpwstr>
  </property>
  <property fmtid="{D5CDD505-2E9C-101B-9397-08002B2CF9AE}" pid="58" name="suppress-title-introduction">
    <vt:lpwstr>False</vt:lpwstr>
  </property>
  <property fmtid="{D5CDD505-2E9C-101B-9397-08002B2CF9AE}" pid="59" name="suppress-title-page">
    <vt:lpwstr>False</vt:lpwstr>
  </property>
  <property fmtid="{D5CDD505-2E9C-101B-9397-08002B2CF9AE}" pid="60" name="suppress-title-page-number">
    <vt:lpwstr>False</vt:lpwstr>
  </property>
  <property fmtid="{D5CDD505-2E9C-101B-9397-08002B2CF9AE}" pid="61" name="tbl-cap-location">
    <vt:lpwstr>top</vt:lpwstr>
  </property>
  <property fmtid="{D5CDD505-2E9C-101B-9397-08002B2CF9AE}" pid="62" name="template-partials">
    <vt:lpwstr/>
  </property>
  <property fmtid="{D5CDD505-2E9C-101B-9397-08002B2CF9AE}" pid="63" name="theme">
    <vt:lpwstr>cosmo</vt:lpwstr>
  </property>
  <property fmtid="{D5CDD505-2E9C-101B-9397-08002B2CF9AE}" pid="64" name="title-block-style">
    <vt:lpwstr>manuscript</vt:lpwstr>
  </property>
  <property fmtid="{D5CDD505-2E9C-101B-9397-08002B2CF9AE}" pid="65" name="toc-title">
    <vt:lpwstr>Table of contents</vt:lpwstr>
  </property>
  <property fmtid="{D5CDD505-2E9C-101B-9397-08002B2CF9AE}" pid="66" name="unroll-markdown-cells">
    <vt:lpwstr>True</vt:lpwstr>
  </property>
  <property fmtid="{D5CDD505-2E9C-101B-9397-08002B2CF9AE}" pid="67" name="zerocitations">
    <vt:lpwstr>False</vt:lpwstr>
  </property>
</Properties>
</file>