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79.png" ContentType="image/png"/>
  <Override PartName="/word/media/rId75.png" ContentType="image/png"/>
  <Override PartName="/word/media/rId71.png" ContentType="image/png"/>
  <Override PartName="/word/media/rId84.png" ContentType="image/png"/>
  <Override PartName="/word/media/rId92.png" ContentType="image/png"/>
  <Override PartName="/word/media/rId88.png" ContentType="image/png"/>
  <Override PartName="/word/media/rId96.png" ContentType="image/png"/>
  <Override PartName="/word/media/rId100.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film-associated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is often only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pair the interference task with a film reminder.</w:t>
      </w:r>
      <w:r>
        <w:t xml:space="preserve"> </w:t>
      </w:r>
      <w:r>
        <w:t xml:space="preserve">Participants return after roughly 24 hours to 3 days, view reminder cues for the film, and then complete Tetris.</w:t>
      </w:r>
      <w:r>
        <w:t xml:space="preserve"> </w:t>
      </w:r>
      <w:r>
        <w:t xml:space="preserve">This reminder-plus-Tetris sequence can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summarizes the modeled contrast: a reminder-linked interference task should reduce intrusion-like film access more than voluntary film recall.</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film-associated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film-associated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 cues are presented.</w:t>
      </w:r>
      <w:r>
        <w:t xml:space="preserve"> </w:t>
      </w:r>
      <w:r>
        <w:t xml:space="preserve">These cues can prompt retrieval of film memories,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In retrieved-context models,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The simulations instantiate this sequence by placing task encoding after reminder-driven reinstatement of film-associated context.</w:t>
      </w:r>
      <w:r>
        <w:t xml:space="preserve"> </w:t>
      </w:r>
      <w:r>
        <w:t xml:space="preserve">Task events encoded in that reinstated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r>
        <w:t xml:space="preserve">Panel B</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recognition-and-supplied-film-items"/>
    <w:p>
      <w:pPr>
        <w:pStyle w:val="Heading2"/>
      </w:pPr>
      <w:r>
        <w:t xml:space="preserve">Recognition and Supplied Film Items</w:t>
      </w:r>
    </w:p>
    <w:p>
      <w:pPr>
        <w:pStyle w:val="FirstParagraph"/>
      </w:pPr>
      <w:r>
        <w:t xml:space="preserve">The retrieved-context framework distinguishes two routes by which film material can enter a test response.</w:t>
      </w:r>
      <w:r>
        <w:t xml:space="preserve"> </w:t>
      </w:r>
      <w:r>
        <w:t xml:space="preserve">In context-guided retrieval, the current state of context cues candidate items, so a film memory is reported only if film material is selected from the items supported by that state.</w:t>
      </w:r>
      <w:r>
        <w:t xml:space="preserve"> </w:t>
      </w:r>
      <w:r>
        <w:t xml:space="preserve">In item-guided retrieval, a presented film statement or still image is already the candidate, so the task is to evaluate the context retrieved by that item.</w:t>
      </w:r>
      <w:r>
        <w:t xml:space="preserve"> </w:t>
      </w:r>
      <w:r>
        <w:t xml:space="preserve">Trauma-film studies commonly assess voluntary memory with recognition tests, where participants judge whether presented film statements or still images appeared in the film</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varma2024experimental">
        <w:r>
          <w:rPr>
            <w:rStyle w:val="Hyperlink"/>
          </w:rPr>
          <w:t xml:space="preserve">Varma et al., 2024</w:t>
        </w:r>
      </w:hyperlink>
      <w:r>
        <w:t xml:space="preserve">)</w:t>
      </w:r>
      <w:r>
        <w:t xml:space="preserve">.</w:t>
      </w:r>
      <w:r>
        <w:t xml:space="preserve"> </w:t>
      </w:r>
      <w:r>
        <w:t xml:space="preserve">By contrast, diary and laboratory monitoring tasks ask participants to report film memories that arise during daily life or during an ongoing task</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A retrieved-context account therefore interprets the dissociation between recognition and intrusion-like measures under reminder-linked task interference as primarily test-format dissociations.</w:t>
      </w:r>
      <w:r>
        <w:t xml:space="preserve"> </w:t>
      </w:r>
      <w:r>
        <w:t xml:space="preserve">Comparisons between intrusion-like reports and recognition tests confound retrieval intentionality with the route by which film material is accessed.</w:t>
      </w:r>
    </w:p>
    <w:p>
      <w:pPr>
        <w:pStyle w:val="BodyText"/>
      </w:pPr>
      <w:r>
        <w:t xml:space="preserve">Recognition judgments are shaped by the context surrounding a test probe.</w:t>
      </w:r>
      <w:r>
        <w:t xml:space="preserve"> </w:t>
      </w:r>
      <w:r>
        <w:t xml:space="preserve">Recently studied items are recognized more accurately than less recent items.</w:t>
      </w:r>
      <w:r>
        <w:t xml:space="preserve"> </w:t>
      </w:r>
      <w:r>
        <w:t xml:space="preserve">Similar lures are harder to reject, and one recognition probe can influence recognition of items studied nearby</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kahana2020computational">
        <w:r>
          <w:rPr>
            <w:rStyle w:val="Hyperlink"/>
          </w:rPr>
          <w:t xml:space="preserve">Kahana, 2020</w:t>
        </w:r>
      </w:hyperlink>
      <w:r>
        <w:t xml:space="preserve">;</w:t>
      </w:r>
      <w:r>
        <w:t xml:space="preserve"> </w:t>
      </w:r>
      <w:hyperlink w:anchor="ref-schwartz2005shadows">
        <w:r>
          <w:rPr>
            <w:rStyle w:val="Hyperlink"/>
          </w:rPr>
          <w:t xml:space="preserve">Schwartz et al., 2005</w:t>
        </w:r>
      </w:hyperlink>
      <w:r>
        <w:t xml:space="preserve">)</w:t>
      </w:r>
      <w:r>
        <w:t xml:space="preserve">.</w:t>
      </w:r>
      <w:r>
        <w:t xml:space="preserve"> </w:t>
      </w:r>
      <w:r>
        <w:t xml:space="preserve">In retrieved-context accounts of recognition, a presented probe retrieves context associated with earlier encounters of that item, and the retrieved context is compared with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Recency, lure similarity, and carryover between probes can be explained by changes in the match between the context retrieved by the probe and the context used for judgment.</w:t>
      </w:r>
      <w:r>
        <w:t xml:space="preserve"> </w:t>
      </w:r>
      <w:r>
        <w:t xml:space="preserve">Recognition therefore probes memory with an item and evaluates the context that item retrieves.</w:t>
      </w:r>
    </w:p>
    <w:p>
      <w:pPr>
        <w:pStyle w:val="BodyText"/>
      </w:pPr>
      <w:r>
        <w:t xml:space="preserve">Reminder-linked task encoding interferes with diary and monitoring measures when film-associated context cues non-film competitors.</w:t>
      </w:r>
      <w:r>
        <w:t xml:space="preserve"> </w:t>
      </w:r>
      <w:r>
        <w:t xml:space="preserve">Those measures count film material only when it is retrieved during daily life or during a monitoring period.</w:t>
      </w:r>
      <w:r>
        <w:t xml:space="preserve"> </w:t>
      </w:r>
      <w:r>
        <w:t xml:space="preserve">After a film reminder, task events can be encoded while film-associated context is active.</w:t>
      </w:r>
      <w:r>
        <w:t xml:space="preserve"> </w:t>
      </w:r>
      <w:r>
        <w:t xml:space="preserve">Later, film-associated context can cue those task events along with film items, reducing the chance that film material is retrieved.</w:t>
      </w:r>
      <w:r>
        <w:t xml:space="preserve"> </w:t>
      </w:r>
      <w:r>
        <w:t xml:space="preserve">Recognition uses the item-guided route described above.</w:t>
      </w:r>
      <w:r>
        <w:t xml:space="preserve"> </w:t>
      </w:r>
      <w:r>
        <w:t xml:space="preserve">The tested film item can retrieve associated context without first being selected from film-associated context.</w:t>
      </w:r>
      <w:r>
        <w:t xml:space="preserve"> </w:t>
      </w:r>
      <w:hyperlink w:anchor="fig-recognition-test-format">
        <w:r>
          <w:rPr>
            <w:rStyle w:val="Hyperlink"/>
          </w:rPr>
          <w:t xml:space="preserve">Figure 13</w:t>
        </w:r>
      </w:hyperlink>
      <w:r>
        <w:t xml:space="preserve"> </w:t>
      </w:r>
      <w:r>
        <w:t xml:space="preserve">formalizes this supplied-item route: reminder-linked task items remain competitors during context-guided recall, but they do not compete for the initial availability of a presented film probe.</w:t>
      </w:r>
    </w:p>
    <w:p>
      <w:pPr>
        <w:pStyle w:val="BodyText"/>
      </w:pPr>
      <w:r>
        <w:t xml:space="preserve">Voluntary recall can be tested by means other than recognition.</w:t>
      </w:r>
      <w:r>
        <w:t xml:space="preserve"> </w:t>
      </w:r>
      <w:r>
        <w:t xml:space="preserve">In vigilance-intrusion tasks, participants perform an ongoing task while film or foil cues appear, and they report film memories that arise during the task</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A voluntary version can keep the same film-cued task structure while instructing participants to search deliberately for film memories, while an involuntary version can instead more neutrally instruct participants to report any film memories that come to mind</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Both versions score film material retrieved during a recall period rather than recognition judgments about supplied candidates.</w:t>
      </w:r>
    </w:p>
    <w:p>
      <w:pPr>
        <w:pStyle w:val="BodyText"/>
      </w:pPr>
      <w:r>
        <w:t xml:space="preserve">Film cues in these tasks still shape retrieval.</w:t>
      </w:r>
      <w:r>
        <w:t xml:space="preserve"> </w:t>
      </w:r>
      <w:r>
        <w:t xml:space="preserve">A film cue can reinstate context associated with the cued film material.</w:t>
      </w:r>
      <w:r>
        <w:t xml:space="preserve"> </w:t>
      </w:r>
      <w:r>
        <w:t xml:space="preserve">If recall depends on maintaining film-associated context across the retrieval period, film cues can support recall in both monitoring and deliberate-search conditions.</w:t>
      </w:r>
      <w:r>
        <w:t xml:space="preserve"> </w:t>
      </w:r>
      <w:r>
        <w:t xml:space="preserve">That cue support does not automatically remove reminder-linked competition.</w:t>
      </w:r>
      <w:r>
        <w:t xml:space="preserve"> </w:t>
      </w:r>
      <w:r>
        <w:t xml:space="preserve">After reminder-linked task encoding, the reinstated context may also support task material, enabling task items to compete with film material during context-guided recall.</w:t>
      </w:r>
      <w:r>
        <w:t xml:space="preserve"> </w:t>
      </w:r>
      <w:r>
        <w:t xml:space="preserve">A recognition probe changes the access route more sharply because the probe is the candidate item to be judged.</w:t>
      </w:r>
    </w:p>
    <w:p>
      <w:pPr>
        <w:pStyle w:val="BodyText"/>
      </w:pPr>
      <w:r>
        <w:t xml:space="preserve">Recognition-intrusion comparisons therefore make confounds test format and retrieval intentionality in measures of the selective interference effect.</w:t>
      </w:r>
      <w:r>
        <w:t xml:space="preserve"> </w:t>
      </w:r>
      <w:r>
        <w:t xml:space="preserve">Better-matched recall designs keep film material dependent on context-guided retrieval across intentionality conditions, with film cues modeled as inputs to the retrieval context.</w:t>
      </w:r>
      <w:r>
        <w:t xml:space="preserve"> </w:t>
      </w:r>
      <w:r>
        <w:t xml:space="preserve">Under that design, differences in the effects of reminder-linked task encoding on film recall can be attributed to the way deliberate recall controls the course of memory search.</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most relevant voluntary comparison similarly requires film material to be called to mind during a recall period rather than judged as a supplied recognition candidate</w:t>
      </w:r>
      <w:r>
        <w:t xml:space="preserve"> </w:t>
      </w:r>
      <w:r>
        <w:t xml:space="preserve">(</w:t>
      </w:r>
      <w:hyperlink w:anchor="ref-lau2019intrusive">
        <w:r>
          <w:rPr>
            <w:rStyle w:val="Hyperlink"/>
          </w:rPr>
          <w:t xml:space="preserve">Lau-Zhu et al., 2019</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Under this matched recall design, a film reminder can make task material accessible from the same retrieval state as film material by associating task events with film-overlapping context.</w:t>
      </w:r>
      <w:r>
        <w:t xml:space="preserve"> </w:t>
      </w:r>
      <w:r>
        <w:t xml:space="preserve">Control processes can improve deliberate recall by orienting retrieval toward the film.</w:t>
      </w:r>
      <w:r>
        <w:t xml:space="preserve"> </w:t>
      </w:r>
      <w:r>
        <w:t xml:space="preserve">They protect film recall from reminder-linked interference to the extent that they make retrieval less dependent on film-associated context that also supports task material.</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rPr>
          <w:t xml:space="preserve">Unsworth et al., 2010</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rPr>
          <w:t xml:space="preserve">Unsworth et al., 2010</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unsworth2010understanding">
        <w:r>
          <w:rPr>
            <w:rStyle w:val="Hyperlink"/>
          </w:rPr>
          <w:t xml:space="preserve">Unsworth et al., 2010</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Our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lohnas2026specialized">
        <w:r>
          <w:rPr>
            <w:rStyle w:val="Hyperlink"/>
          </w:rPr>
          <w:t xml:space="preserve">Lohnas et al., 2026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rPr>
          <w:t xml:space="preserve">Norman et al., 2017</w:t>
        </w:r>
      </w:hyperlink>
      <w:r>
        <w:t xml:space="preserve">)</w:t>
      </w:r>
      <w:r>
        <w:t xml:space="preserve">.</w:t>
      </w:r>
      <w:r>
        <w:t xml:space="preserve"> </w:t>
      </w:r>
      <w:r>
        <w:t xml:space="preserve">Retrieved-context models provide a formal precedent for this kind of non-temporal support: semantic, task, and source information can contribute to candidate support alongside temporal context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Category-directed search has been formalized in associative memory models, and recent review work treats this as a natural but still underdeveloped direction for CMR</w:t>
      </w:r>
      <w:r>
        <w:t xml:space="preserve"> </w:t>
      </w:r>
      <w:r>
        <w:t xml:space="preserve">(</w:t>
      </w:r>
      <w:hyperlink w:anchor="ref-lohnas2026specialized">
        <w:r>
          <w:rPr>
            <w:rStyle w:val="Hyperlink"/>
          </w:rPr>
          <w:t xml:space="preserve">Lohnas et al., 2026</w:t>
        </w:r>
      </w:hyperlink>
      <w:r>
        <w:t xml:space="preserve">;</w:t>
      </w:r>
      <w:r>
        <w:t xml:space="preserve"> </w:t>
      </w:r>
      <w:hyperlink w:anchor="ref-raaijmakers1980sam">
        <w:r>
          <w:rPr>
            <w:rStyle w:val="Hyperlink"/>
          </w:rPr>
          <w:t xml:space="preserve">Raaijmakers &amp; Shiffrin, 1980</w:t>
        </w:r>
      </w:hyperlink>
      <w:r>
        <w:t xml:space="preserve">)</w:t>
      </w:r>
      <w:r>
        <w:t xml:space="preserve">.</w:t>
      </w:r>
      <w:r>
        <w:t xml:space="preserve"> </w:t>
      </w:r>
      <w:r>
        <w:t xml:space="preserve">The simulations use this logic in reduced form by adding a maintained film-category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making recall less sensitive to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The start-state and monitoring panels describe mechanisms that either reinstate or preserve film-associated context to drive ongoing retrieval, but since reminder-linked task encoding makes that context less selective, those mechanisms cannot substantially protect deliberate recall from the interference effect.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r>
        <w:t xml:space="preserve"> </w:t>
      </w:r>
      <w:r>
        <w:t xml:space="preserve">The simulations therefore treat increased film recall and reduced sensitivity to reminder-linked task encoding as separable outcomes.</w:t>
      </w:r>
    </w:p>
    <w:bookmarkEnd w:id="45"/>
    <w:bookmarkEnd w:id="46"/>
    <w:bookmarkStart w:id="68" w:name="model-specification"/>
    <w:p>
      <w:pPr>
        <w:pStyle w:val="Heading1"/>
      </w:pPr>
      <w:r>
        <w:t xml:space="preserve">Model Specification</w:t>
      </w:r>
    </w:p>
    <w:p>
      <w:pPr>
        <w:pStyle w:val="FirstParagraph"/>
      </w:pPr>
      <w:r>
        <w:t xml:space="preserve">Retrieved-context models implement recall as a sequence of sampling events in which current context gives graded support to candidate items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To express selective interference as changes in what gets sampled, film and non-film events have to be candidates in the same sampling process.</w:t>
      </w:r>
      <w:r>
        <w:t xml:space="preserve"> </w:t>
      </w:r>
      <w:r>
        <w:t xml:space="preserve">The simulations implement this requirement by representing film, task, and delay periods as sequences of events that update context.</w:t>
      </w:r>
      <w:r>
        <w:t xml:space="preserve"> </w:t>
      </w:r>
      <w:r>
        <w:t xml:space="preserve">For the film, these events correspond roughly to scenes or segments.</w:t>
      </w:r>
      <w:r>
        <w:t xml:space="preserve"> </w:t>
      </w:r>
      <w:r>
        <w:t xml:space="preserve">For the task periods, they represent task items that can become competitors after reminder-linked encoding.</w:t>
      </w:r>
      <w:r>
        <w:t xml:space="preserve"> </w:t>
      </w:r>
      <w:r>
        <w:t xml:space="preserve">For the delay periods, they represent filler items: non-film events that can also be encoded and later sampled.</w:t>
      </w:r>
      <w:r>
        <w:t xml:space="preserve"> </w:t>
      </w:r>
      <w:r>
        <w:t xml:space="preserve">Interference manifests as a shift in sampled outcomes: task or filler candidates occupy sampling events that could otherwise retrieve film material.</w:t>
      </w:r>
    </w:p>
    <w:p>
      <w:pPr>
        <w:pStyle w:val="BodyText"/>
      </w:pPr>
      <w:r>
        <w:t xml:space="preserve">The formal model links this sampling process to separate item and context representations.</w:t>
      </w:r>
      <w:r>
        <w:t xml:space="preserve"> </w:t>
      </w:r>
      <w:r>
        <w:t xml:space="preserve">Each encoded event at position</w:t>
      </w:r>
      <w:r>
        <w:t xml:space="preserve"> </w:t>
      </w:r>
      <m:oMath>
        <m:r>
          <m:t>i</m:t>
        </m:r>
      </m:oMath>
      <w:r>
        <w:t xml:space="preserve"> </w:t>
      </w:r>
      <w:r>
        <w:t xml:space="preserve">is represented by an item feature vector</w:t>
      </w:r>
      <w:r>
        <w:t xml:space="preserve"> </w:t>
      </w:r>
      <m:oMath>
        <m:sSub>
          <m:e>
            <m:r>
              <m:t>f</m:t>
            </m:r>
          </m:e>
          <m:sub>
            <m:r>
              <m:t>i</m:t>
            </m:r>
          </m:sub>
        </m:sSub>
      </m:oMath>
      <w:r>
        <w:t xml:space="preserve">, a one-hot vector that distinguishes that event from other encoded events in the simulated paradigm.</w:t>
      </w:r>
      <w:r>
        <w:t xml:space="preserve"> </w:t>
      </w:r>
      <w:r>
        <w:t xml:space="preserve">Context</w:t>
      </w:r>
      <w:r>
        <w:t xml:space="preserve"> </w:t>
      </w:r>
      <m:oMath>
        <m:sSub>
          <m:e>
            <m:r>
              <m:t>c</m:t>
            </m:r>
          </m:e>
          <m:sub>
            <m:r>
              <m:t>i</m:t>
            </m:r>
          </m:sub>
        </m:sSub>
      </m:oMath>
      <w:r>
        <w:t xml:space="preserve"> </w:t>
      </w:r>
      <w:r>
        <w:t xml:space="preserve">denotes the internal context state after event</w:t>
      </w:r>
      <w:r>
        <w:t xml:space="preserve"> </w:t>
      </w:r>
      <m:oMath>
        <m:r>
          <m:t>i</m:t>
        </m:r>
      </m:oMath>
      <w:r>
        <w:t xml:space="preserve"> </w:t>
      </w:r>
      <w:r>
        <w:t xml:space="preserve">has updated context.</w:t>
      </w:r>
      <w:r>
        <w:t xml:space="preserve"> </w:t>
      </w:r>
      <w:r>
        <w:t xml:space="preserve">As film, task, and filler events occur, they update context and become associated with the context active around them.</w:t>
      </w:r>
      <w:r>
        <w:t xml:space="preserve"> </w:t>
      </w:r>
      <w:r>
        <w:t xml:space="preserve">During recall, the current context state determines which candidate items receive support.</w:t>
      </w:r>
    </w:p>
    <w:p>
      <w:pPr>
        <w:pStyle w:val="BodyText"/>
      </w:pPr>
      <w:r>
        <w:t xml:space="preserve">During encoding, items and states of context are linked through bidirectional associations represented in two matrices.</w:t>
      </w:r>
      <w:r>
        <w:t xml:space="preserve"> </w:t>
      </w:r>
      <w:r>
        <w:t xml:space="preserve">Context-to-feature memory,</w:t>
      </w:r>
      <w:r>
        <w:t xml:space="preserve"> </w:t>
      </w:r>
      <m:oMath>
        <m:sSup>
          <m:e>
            <m:r>
              <m:t>M</m:t>
            </m:r>
          </m:e>
          <m:sup>
            <m:r>
              <m:t>C</m:t>
            </m:r>
            <m:r>
              <m:t>F</m:t>
            </m:r>
          </m:sup>
        </m:sSup>
      </m:oMath>
      <w:r>
        <w:t xml:space="preserve">, maps context states to item support, allowing current context to cue candidate items during recall.</w:t>
      </w:r>
      <w:r>
        <w:t xml:space="preserve"> </w:t>
      </w:r>
      <w:r>
        <w:t xml:space="preserve">Feature-to-context memory,</w:t>
      </w:r>
      <w:r>
        <w:t xml:space="preserve"> </w:t>
      </w:r>
      <m:oMath>
        <m:sSup>
          <m:e>
            <m:r>
              <m:t>M</m:t>
            </m:r>
          </m:e>
          <m:sup>
            <m:r>
              <m:t>F</m:t>
            </m:r>
            <m:r>
              <m:t>C</m:t>
            </m:r>
          </m:sup>
        </m:sSup>
      </m:oMath>
      <w:r>
        <w:t xml:space="preserve">, maps item features to context states so that cued, reminded, or recalled items can reinstate associated context.</w:t>
      </w:r>
      <w:r>
        <w:t xml:space="preserve"> </w:t>
      </w:r>
      <w:r>
        <w:t xml:space="preserve">All vectors are treated as column vectors, so</w:t>
      </w:r>
      <w:r>
        <w:t xml:space="preserve"> </w:t>
      </w:r>
      <m:oMath>
        <m:sSup>
          <m:e>
            <m:r>
              <m:t>M</m:t>
            </m:r>
          </m:e>
          <m:sup>
            <m:r>
              <m:t>F</m:t>
            </m:r>
            <m:r>
              <m:t>C</m:t>
            </m:r>
          </m:sup>
        </m:sSup>
        <m:sSub>
          <m:e>
            <m:r>
              <m:t>f</m:t>
            </m:r>
          </m:e>
          <m:sub>
            <m:r>
              <m:t>i</m:t>
            </m:r>
          </m:sub>
        </m:sSub>
      </m:oMath>
      <w:r>
        <w:t xml:space="preserve"> </w:t>
      </w:r>
      <w:r>
        <w:t xml:space="preserve">is a context vector and</w:t>
      </w:r>
      <w:r>
        <w:t xml:space="preserve"> </w:t>
      </w:r>
      <m:oMath>
        <m:sSup>
          <m:e>
            <m:r>
              <m:t>M</m:t>
            </m:r>
          </m:e>
          <m:sup>
            <m:r>
              <m:t>C</m:t>
            </m:r>
            <m:r>
              <m:t>F</m:t>
            </m:r>
          </m:sup>
        </m:sSup>
        <m:sSub>
          <m:e>
            <m:r>
              <m:t>c</m:t>
            </m:r>
          </m:e>
          <m:sub>
            <m:r>
              <m:t>i</m:t>
            </m:r>
          </m:sub>
        </m:sSub>
      </m:oMath>
      <w:r>
        <w:t xml:space="preserve"> </w:t>
      </w:r>
      <w:r>
        <w:t xml:space="preserve">is a feature-support vector.</w:t>
      </w:r>
    </w:p>
    <w:p>
      <w:pPr>
        <w:pStyle w:val="BodyText"/>
      </w:pPr>
      <w:r>
        <w:t xml:space="preserve">Context and corresponding associations are further subdivided into temporal and source components.</w:t>
      </w:r>
      <w:r>
        <w:t xml:space="preserve"> </w:t>
      </w:r>
      <w:r>
        <w:t xml:space="preserve">Temporal context distinguishes unique items so different film, task, and filler events can produce distinct context states even if items come from the same phase of the paradigm or share other features.</w:t>
      </w:r>
      <w:r>
        <w:t xml:space="preserve"> </w:t>
      </w:r>
      <w:r>
        <w:t xml:space="preserve">Source context represents coarser information shared across related events, allowing recall to be shaped by task, semantic, or source relationships among items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distinguish emotional from neutral material in source context and give emotionally salient items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implementation, each item also has a source feature vector</w:t>
      </w:r>
      <w:r>
        <w:t xml:space="preserve"> </w:t>
      </w:r>
      <m:oMath>
        <m:sSub>
          <m:e>
            <m:r>
              <m:t>s</m:t>
            </m:r>
          </m:e>
          <m:sub>
            <m:r>
              <m:t>i</m:t>
            </m:r>
          </m:sub>
        </m:sSub>
      </m:oMath>
      <w:r>
        <w:t xml:space="preserve">.</w:t>
      </w:r>
      <w:r>
        <w:t xml:space="preserve"> </w:t>
      </w:r>
      <w:r>
        <w:t xml:space="preserve">Film items share a film-source feature, whereas task and filler items carry a neutral/default source feature.</w:t>
      </w:r>
    </w:p>
    <w:bookmarkStart w:id="47" w:name="tbl-model-notation"/>
    <w:p>
      <w:pPr>
        <w:pStyle w:val="FigureTitle"/>
      </w:pPr>
      <w:r>
        <w:t xml:space="preserve">Table 1</w:t>
      </w:r>
    </w:p>
    <w:p>
      <w:pPr>
        <w:pStyle w:val="Caption"/>
      </w:pPr>
      <w:r>
        <w:t xml:space="preserve">Core notation used in the model specification.</w:t>
      </w:r>
      <w:r>
        <w:t xml:space="preserve"> </w:t>
      </w:r>
      <w:r>
        <w:t xml:space="preserve">Parameters are defined with the operations they control, and numerical values are reported with the simulation methodology.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Role</w:t>
            </w:r>
          </w:p>
        </w:tc>
        <w:tc>
          <w:tcPr/>
          <w:p>
            <w:pPr>
              <w:pStyle w:val="Compact"/>
            </w:pPr>
            <w:r>
              <w:t xml:space="preserve">Main use</w:t>
            </w:r>
          </w:p>
        </w:tc>
      </w:tr>
      <w:tr>
        <w:tc>
          <w:tcPr/>
          <w:p>
            <w:pPr>
              <w:pStyle w:val="Compact"/>
            </w:pPr>
            <m:oMath>
              <m:sSub>
                <m:e>
                  <m:r>
                    <m:t>f</m:t>
                  </m:r>
                </m:e>
                <m:sub>
                  <m:r>
                    <m:t>i</m:t>
                  </m:r>
                </m:sub>
              </m:sSub>
            </m:oMath>
          </w:p>
        </w:tc>
        <w:tc>
          <w:tcPr/>
          <w:p>
            <w:pPr>
              <w:pStyle w:val="Compact"/>
            </w:pPr>
            <w:r>
              <w:t xml:space="preserve">Item feature vector for encoded event</w:t>
            </w:r>
            <w:r>
              <w:t xml:space="preserve"> </w:t>
            </w:r>
            <m:oMath>
              <m:r>
                <m:t>i</m:t>
              </m:r>
            </m:oMath>
          </w:p>
        </w:tc>
        <w:tc>
          <w:tcPr/>
          <w:p>
            <w:pPr>
              <w:pStyle w:val="Compact"/>
            </w:pPr>
            <w:r>
              <w:t xml:space="preserve">Encoding, reminders, recall updates, recognition probes</w:t>
            </w:r>
          </w:p>
        </w:tc>
      </w:tr>
      <w:tr>
        <w:tc>
          <w:tcPr/>
          <w:p>
            <w:pPr>
              <w:pStyle w:val="Compact"/>
            </w:pPr>
            <m:oMath>
              <m:sSub>
                <m:e>
                  <m:r>
                    <m:t>s</m:t>
                  </m:r>
                </m:e>
                <m:sub>
                  <m:r>
                    <m:t>i</m:t>
                  </m:r>
                </m:sub>
              </m:sSub>
            </m:oMath>
          </w:p>
        </w:tc>
        <w:tc>
          <w:tcPr/>
          <w:p>
            <w:pPr>
              <w:pStyle w:val="Compact"/>
            </w:pPr>
            <w:r>
              <w:t xml:space="preserve">Source feature vector distinguishing film from non-film items</w:t>
            </w:r>
          </w:p>
        </w:tc>
        <w:tc>
          <w:tcPr/>
          <w:p>
            <w:pPr>
              <w:pStyle w:val="Compact"/>
            </w:pPr>
            <w:r>
              <w:t xml:space="preserve">Source-context encoding</w:t>
            </w:r>
          </w:p>
        </w:tc>
      </w:tr>
      <w:tr>
        <w:tc>
          <w:tcPr/>
          <w:p>
            <w:pPr>
              <w:pStyle w:val="Compact"/>
            </w:pPr>
            <m:oMath>
              <m:sSub>
                <m:e>
                  <m:r>
                    <m:t>c</m:t>
                  </m:r>
                </m:e>
                <m:sub>
                  <m:r>
                    <m:t>i</m:t>
                  </m:r>
                </m:sub>
              </m:sSub>
            </m:oMath>
          </w:p>
        </w:tc>
        <w:tc>
          <w:tcPr/>
          <w:p>
            <w:pPr>
              <w:pStyle w:val="Compact"/>
            </w:pPr>
            <w:r>
              <w:t xml:space="preserve">Context state after encoded event</w:t>
            </w:r>
            <w:r>
              <w:t xml:space="preserve"> </w:t>
            </w:r>
            <m:oMath>
              <m:r>
                <m:t>i</m:t>
              </m:r>
            </m:oMath>
          </w:p>
        </w:tc>
        <w:tc>
          <w:tcPr/>
          <w:p>
            <w:pPr>
              <w:pStyle w:val="Compact"/>
            </w:pPr>
            <w:r>
              <w:t xml:space="preserve">Encoding and learning</w:t>
            </w:r>
          </w:p>
        </w:tc>
      </w:tr>
      <w:tr>
        <w:tc>
          <w:tcPr/>
          <w:p>
            <w:pPr>
              <w:pStyle w:val="Compact"/>
            </w:pPr>
            <m:oMath>
              <m:sSup>
                <m:e>
                  <m:r>
                    <m:t>M</m:t>
                  </m:r>
                </m:e>
                <m:sup>
                  <m:r>
                    <m:t>F</m:t>
                  </m:r>
                  <m:r>
                    <m:t>C</m:t>
                  </m:r>
                </m:sup>
              </m:sSup>
            </m:oMath>
          </w:p>
        </w:tc>
        <w:tc>
          <w:tcPr/>
          <w:p>
            <w:pPr>
              <w:pStyle w:val="Compact"/>
            </w:pPr>
            <w:r>
              <w:t xml:space="preserve">Feature-to-context associations</w:t>
            </w:r>
          </w:p>
        </w:tc>
        <w:tc>
          <w:tcPr/>
          <w:p>
            <w:pPr>
              <w:pStyle w:val="Compact"/>
            </w:pPr>
            <w:r>
              <w:t xml:space="preserve">Context reinstatement from encoded, cued, sampled, or probed items</w:t>
            </w:r>
          </w:p>
        </w:tc>
      </w:tr>
      <w:tr>
        <w:tc>
          <w:tcPr/>
          <w:p>
            <w:pPr>
              <w:pStyle w:val="Compact"/>
            </w:pPr>
            <m:oMath>
              <m:sSup>
                <m:e>
                  <m:r>
                    <m:t>M</m:t>
                  </m:r>
                </m:e>
                <m:sup>
                  <m:r>
                    <m:t>C</m:t>
                  </m:r>
                  <m:r>
                    <m:t>F</m:t>
                  </m:r>
                </m:sup>
              </m:sSup>
            </m:oMath>
          </w:p>
        </w:tc>
        <w:tc>
          <w:tcPr/>
          <w:p>
            <w:pPr>
              <w:pStyle w:val="Compact"/>
            </w:pPr>
            <w:r>
              <w:t xml:space="preserve">Context-to-feature associations</w:t>
            </w:r>
          </w:p>
        </w:tc>
        <w:tc>
          <w:tcPr/>
          <w:p>
            <w:pPr>
              <w:pStyle w:val="Compact"/>
            </w:pPr>
            <w:r>
              <w:t xml:space="preserve">Candidate support during context-guided recall</w:t>
            </w:r>
          </w:p>
        </w:tc>
      </w:tr>
      <w:tr>
        <w:tc>
          <w:tcPr/>
          <w:p>
            <w:pPr>
              <w:pStyle w:val="Compact"/>
            </w:pPr>
            <m:oMath>
              <m:r>
                <m:t>α</m:t>
              </m:r>
            </m:oMath>
          </w:p>
        </w:tc>
        <w:tc>
          <w:tcPr/>
          <w:p>
            <w:pPr>
              <w:pStyle w:val="Compact"/>
            </w:pPr>
            <w:r>
              <w:t xml:space="preserve">Background support from nonpaired item-associated context units</w:t>
            </w:r>
          </w:p>
        </w:tc>
        <w:tc>
          <w:tcPr/>
          <w:p>
            <w:pPr>
              <w:pStyle w:val="Compact"/>
            </w:pPr>
            <w:r>
              <w:t xml:space="preserve">Initial</w:t>
            </w:r>
            <w:r>
              <w:t xml:space="preserve"> </w:t>
            </w:r>
            <m:oMath>
              <m:sSup>
                <m:e>
                  <m:r>
                    <m:t>M</m:t>
                  </m:r>
                </m:e>
                <m:sup>
                  <m:r>
                    <m:t>C</m:t>
                  </m:r>
                  <m:r>
                    <m:t>F</m:t>
                  </m:r>
                </m:sup>
              </m:sSup>
            </m:oMath>
          </w:p>
        </w:tc>
      </w:tr>
      <w:tr>
        <w:tc>
          <w:tcPr/>
          <w:p>
            <w:pPr>
              <w:pStyle w:val="Compact"/>
            </w:pPr>
            <m:oMath>
              <m:r>
                <m:t>δ</m:t>
              </m:r>
            </m:oMath>
          </w:p>
        </w:tc>
        <w:tc>
          <w:tcPr/>
          <w:p>
            <w:pPr>
              <w:pStyle w:val="Compact"/>
            </w:pPr>
            <w:r>
              <w:t xml:space="preserve">Support from each item’s paired context unit</w:t>
            </w:r>
          </w:p>
        </w:tc>
        <w:tc>
          <w:tcPr/>
          <w:p>
            <w:pPr>
              <w:pStyle w:val="Compact"/>
            </w:pPr>
            <w:r>
              <w:t xml:space="preserve">Initial</w:t>
            </w:r>
            <w:r>
              <w:t xml:space="preserve"> </w:t>
            </w:r>
            <m:oMath>
              <m:sSup>
                <m:e>
                  <m:r>
                    <m:t>M</m:t>
                  </m:r>
                </m:e>
                <m:sup>
                  <m:r>
                    <m:t>C</m:t>
                  </m:r>
                  <m:r>
                    <m:t>F</m:t>
                  </m:r>
                </m:sup>
              </m:sSup>
            </m:oMath>
          </w:p>
        </w:tc>
      </w:tr>
      <w:tr>
        <w:tc>
          <w:tcPr/>
          <w:p>
            <w:pPr>
              <w:pStyle w:val="Compact"/>
            </w:pPr>
            <m:oMath>
              <m:sSub>
                <m:e>
                  <m:r>
                    <m:t>β</m:t>
                  </m:r>
                </m:e>
                <m:sub>
                  <m:r>
                    <m:rPr>
                      <m:sty m:val="p"/>
                    </m:rPr>
                    <m:t>e</m:t>
                  </m:r>
                  <m:r>
                    <m:rPr>
                      <m:sty m:val="p"/>
                    </m:rPr>
                    <m:t>n</m:t>
                  </m:r>
                  <m:r>
                    <m:rPr>
                      <m:sty m:val="p"/>
                    </m:rPr>
                    <m:t>c</m:t>
                  </m:r>
                </m:sub>
              </m:sSub>
            </m:oMath>
          </w:p>
        </w:tc>
        <w:tc>
          <w:tcPr/>
          <w:p>
            <w:pPr>
              <w:pStyle w:val="Compact"/>
            </w:pPr>
            <w:r>
              <w:t xml:space="preserve">Drift toward item-cued context input during encoding</w:t>
            </w:r>
          </w:p>
        </w:tc>
        <w:tc>
          <w:tcPr/>
          <w:p>
            <w:pPr>
              <w:pStyle w:val="Compact"/>
            </w:pPr>
            <w:r>
              <w:t xml:space="preserve">Film, task, and filler encoding</w:t>
            </w:r>
          </w:p>
        </w:tc>
      </w:tr>
      <w:tr>
        <w:tc>
          <w:tcPr/>
          <w:p>
            <w:pPr>
              <w:pStyle w:val="Compact"/>
            </w:pPr>
            <m:oMath>
              <m:sSub>
                <m:e>
                  <m:r>
                    <m:t>β</m:t>
                  </m:r>
                </m:e>
                <m:sub>
                  <m:r>
                    <m:rPr>
                      <m:sty m:val="p"/>
                    </m:rPr>
                    <m:t>r</m:t>
                  </m:r>
                  <m:r>
                    <m:rPr>
                      <m:sty m:val="p"/>
                    </m:rPr>
                    <m:t>e</m:t>
                  </m:r>
                  <m:r>
                    <m:rPr>
                      <m:sty m:val="p"/>
                    </m:rPr>
                    <m:t>c</m:t>
                  </m:r>
                </m:sub>
              </m:sSub>
            </m:oMath>
          </w:p>
        </w:tc>
        <w:tc>
          <w:tcPr/>
          <w:p>
            <w:pPr>
              <w:pStyle w:val="Compact"/>
            </w:pPr>
            <w:r>
              <w:t xml:space="preserve">Drift toward a sampled item’s associated context</w:t>
            </w:r>
          </w:p>
        </w:tc>
        <w:tc>
          <w:tcPr/>
          <w:p>
            <w:pPr>
              <w:pStyle w:val="Compact"/>
            </w:pPr>
            <w:r>
              <w:t xml:space="preserve">Recall updates</w:t>
            </w:r>
          </w:p>
        </w:tc>
      </w:tr>
      <w:tr>
        <w:tc>
          <w:tcPr/>
          <w:p>
            <w:pPr>
              <w:pStyle w:val="Compact"/>
            </w:pPr>
            <m:oMath>
              <m:sSub>
                <m:e>
                  <m:r>
                    <m:t>β</m:t>
                  </m:r>
                </m:e>
                <m:sub>
                  <m:r>
                    <m:t>e</m:t>
                  </m:r>
                  <m:r>
                    <m:t>m</m:t>
                  </m:r>
                  <m:r>
                    <m:t>o</m:t>
                  </m:r>
                  <m:r>
                    <m:t>t</m:t>
                  </m:r>
                </m:sub>
              </m:sSub>
            </m:oMath>
          </w:p>
        </w:tc>
        <w:tc>
          <w:tcPr/>
          <w:p>
            <w:pPr>
              <w:pStyle w:val="Compact"/>
            </w:pPr>
            <w:r>
              <w:t xml:space="preserve">Drift in the source-context component</w:t>
            </w:r>
          </w:p>
        </w:tc>
        <w:tc>
          <w:tcPr/>
          <w:p>
            <w:pPr>
              <w:pStyle w:val="Compact"/>
            </w:pPr>
            <w:r>
              <w:t xml:space="preserve">Source-context encoding</w:t>
            </w:r>
          </w:p>
        </w:tc>
      </w:tr>
      <w:tr>
        <w:tc>
          <w:tcPr/>
          <w:p>
            <w:pPr>
              <w:pStyle w:val="Compact"/>
            </w:pPr>
            <m:oMath>
              <m:r>
                <m:t>γ</m:t>
              </m:r>
            </m:oMath>
          </w:p>
        </w:tc>
        <w:tc>
          <w:tcPr/>
          <w:p>
            <w:pPr>
              <w:pStyle w:val="Compact"/>
            </w:pPr>
            <w:r>
              <w:t xml:space="preserve">Feature-to-context learning rate</w:t>
            </w:r>
          </w:p>
        </w:tc>
        <w:tc>
          <w:tcPr/>
          <w:p>
            <w:pPr>
              <w:pStyle w:val="Compact"/>
            </w:pPr>
            <w:r>
              <w:t xml:space="preserve">Updates to</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Updates to</w:t>
            </w:r>
            <w:r>
              <w:t xml:space="preserve"> </w:t>
            </w:r>
            <m:oMath>
              <m:sSup>
                <m:e>
                  <m:r>
                    <m:t>M</m:t>
                  </m:r>
                </m:e>
                <m:sup>
                  <m:r>
                    <m:t>C</m:t>
                  </m:r>
                  <m:r>
                    <m:t>F</m:t>
                  </m:r>
                </m:sup>
              </m:sSup>
            </m:oMath>
          </w:p>
        </w:tc>
      </w:tr>
      <w:tr>
        <w:tc>
          <w:tcPr/>
          <w:p>
            <w:pPr>
              <w:pStyle w:val="Compact"/>
            </w:pPr>
            <m:oMath>
              <m:sSub>
                <m:e>
                  <m:r>
                    <m:t>ϕ</m:t>
                  </m:r>
                </m:e>
                <m:sub>
                  <m:r>
                    <m:t>i</m:t>
                  </m:r>
                </m:sub>
              </m:sSub>
            </m:oMath>
          </w:p>
        </w:tc>
        <w:tc>
          <w:tcPr/>
          <w:p>
            <w:pPr>
              <w:pStyle w:val="Compact"/>
            </w:pPr>
            <w:r>
              <w:t xml:space="preserve">Primacy learning scale for event</w:t>
            </w:r>
            <w:r>
              <w:t xml:space="preserve"> </w:t>
            </w:r>
            <m:oMath>
              <m:r>
                <m:t>i</m:t>
              </m:r>
            </m:oMath>
          </w:p>
        </w:tc>
        <w:tc>
          <w:tcPr/>
          <w:p>
            <w:pPr>
              <w:pStyle w:val="Compact"/>
            </w:pPr>
            <w:r>
              <w:t xml:space="preserve">Context-to-feature learning</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Added source-context learning for film items</w:t>
            </w:r>
          </w:p>
        </w:tc>
        <w:tc>
          <w:tcPr/>
          <w:p>
            <w:pPr>
              <w:pStyle w:val="Compact"/>
            </w:pPr>
            <w:r>
              <w:t xml:space="preserve">Film-source encoding</w:t>
            </w:r>
          </w:p>
        </w:tc>
      </w:tr>
      <w:tr>
        <w:tc>
          <w:tcPr/>
          <w:p>
            <w:pPr>
              <w:pStyle w:val="Compact"/>
            </w:pPr>
            <m:oMath>
              <m:r>
                <m:t>τ</m:t>
              </m:r>
            </m:oMath>
          </w:p>
        </w:tc>
        <w:tc>
          <w:tcPr/>
          <w:p>
            <w:pPr>
              <w:pStyle w:val="Compact"/>
            </w:pPr>
            <w:r>
              <w:t xml:space="preserve">Degree to which sampling favors higher-support candidates</w:t>
            </w:r>
          </w:p>
        </w:tc>
        <w:tc>
          <w:tcPr/>
          <w:p>
            <w:pPr>
              <w:pStyle w:val="Compact"/>
            </w:pPr>
            <w:r>
              <w:t xml:space="preserve">Candidate sampling</w:t>
            </w:r>
          </w:p>
        </w:tc>
      </w:tr>
      <w:tr>
        <w:tc>
          <w:tcPr/>
          <w:p>
            <w:pPr>
              <w:pStyle w:val="Compact"/>
            </w:pPr>
            <m:oMath>
              <m:sSub>
                <m:e>
                  <m:r>
                    <m:t>θ</m:t>
                  </m:r>
                </m:e>
                <m:sub>
                  <m:r>
                    <m:t>s</m:t>
                  </m:r>
                </m:sub>
              </m:sSub>
              <m:r>
                <m:rPr>
                  <m:sty m:val="p"/>
                </m:rPr>
                <m:t>,</m:t>
              </m:r>
              <m:sSub>
                <m:e>
                  <m:r>
                    <m:t>θ</m:t>
                  </m:r>
                </m:e>
                <m:sub>
                  <m:r>
                    <m:t>r</m:t>
                  </m:r>
                </m:sub>
              </m:sSub>
            </m:oMath>
          </w:p>
        </w:tc>
        <w:tc>
          <w:tcPr/>
          <w:p>
            <w:pPr>
              <w:pStyle w:val="Compact"/>
            </w:pPr>
            <w:r>
              <w:t xml:space="preserve">Baseline tendency to stop and its growth across sampled outputs</w:t>
            </w:r>
          </w:p>
        </w:tc>
        <w:tc>
          <w:tcPr/>
          <w:p>
            <w:pPr>
              <w:pStyle w:val="Compact"/>
            </w:pPr>
            <w:r>
              <w:t xml:space="preserve">Recall termination</w:t>
            </w:r>
          </w:p>
        </w:tc>
      </w:tr>
      <w:tr>
        <w:tc>
          <w:tcPr/>
          <w:p>
            <w:pPr>
              <w:pStyle w:val="Compact"/>
            </w:pPr>
            <m:oMath>
              <m:r>
                <m:t>κ</m:t>
              </m:r>
            </m:oMath>
          </w:p>
        </w:tc>
        <w:tc>
          <w:tcPr/>
          <w:p>
            <w:pPr>
              <w:pStyle w:val="Compact"/>
            </w:pPr>
            <w:r>
              <w:t xml:space="preserve">Degree to which sampled non-film items carry context forward</w:t>
            </w:r>
          </w:p>
        </w:tc>
        <w:tc>
          <w:tcPr/>
          <w:p>
            <w:pPr>
              <w:pStyle w:val="Compact"/>
            </w:pPr>
            <w:r>
              <w:t xml:space="preserve">Retrieval monitoring</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Added support for candidates matching the maintained film goal</w:t>
            </w:r>
          </w:p>
        </w:tc>
        <w:tc>
          <w:tcPr/>
          <w:p>
            <w:pPr>
              <w:pStyle w:val="Compact"/>
            </w:pPr>
            <w:r>
              <w:t xml:space="preserve">Film-goal support</w:t>
            </w:r>
          </w:p>
        </w:tc>
      </w:tr>
    </w:tbl>
    <w:bookmarkEnd w:id="47"/>
    <w:bookmarkStart w:id="54" w:name="encoding-the-paradigm-sequence"/>
    <w:p>
      <w:pPr>
        <w:pStyle w:val="Heading2"/>
      </w:pPr>
      <w:r>
        <w:t xml:space="preserve">Encoding the Paradigm Sequence</w:t>
      </w:r>
    </w:p>
    <w:p>
      <w:pPr>
        <w:pStyle w:val="FirstParagraph"/>
      </w:pPr>
      <w:r>
        <w:t xml:space="preserve">Film, task, and filler events become later recall candidates through context updating and item-context learning.</w:t>
      </w:r>
      <w:r>
        <w:t xml:space="preserve"> </w:t>
      </w:r>
      <w:r>
        <w:t xml:space="preserve">Each event updates context and becomes associated with the resulting state.</w:t>
      </w:r>
      <w:r>
        <w:t xml:space="preserve"> </w:t>
      </w:r>
      <w:r>
        <w:t xml:space="preserve">During later recall, candidate support depends on how strongly studied items are associated with the context states active during retrieval.</w:t>
      </w:r>
    </w:p>
    <w:p>
      <w:pPr>
        <w:pStyle w:val="BodyText"/>
      </w:pPr>
      <w:r>
        <w:t xml:space="preserve">Before the simulated film starts, context is initialized to</w:t>
      </w:r>
      <w:r>
        <w:t xml:space="preserve"> </w:t>
      </w:r>
      <m:oMath>
        <m:sSub>
          <m:e>
            <m:r>
              <m:t>c</m:t>
            </m:r>
          </m:e>
          <m:sub>
            <m:r>
              <m:t>0</m:t>
            </m:r>
          </m:sub>
        </m:sSub>
      </m:oMath>
      <w:r>
        <w:t xml:space="preserve">, a start state with no item-associated context units active.</w:t>
      </w:r>
      <w:r>
        <w:t xml:space="preserve"> </w:t>
      </w:r>
      <w:r>
        <w:t xml:space="preserve">Memory matrices are initialized with pre-experimental associations that reflect baseline structure already present before the simulated paradigm begins.</w:t>
      </w:r>
      <w:r>
        <w:t xml:space="preserve"> </w:t>
      </w:r>
      <w:r>
        <w:t xml:space="preserve">In</w:t>
      </w:r>
      <w:r>
        <w:t xml:space="preserve"> </w:t>
      </w:r>
      <m:oMath>
        <m:sSup>
          <m:e>
            <m:r>
              <m:t>M</m:t>
            </m:r>
          </m:e>
          <m:sup>
            <m:r>
              <m:t>F</m:t>
            </m:r>
            <m:r>
              <m:t>C</m:t>
            </m:r>
          </m:sup>
        </m:sSup>
      </m:oMath>
      <w:r>
        <w:t xml:space="preserve">, each item</w:t>
      </w:r>
      <w:r>
        <w:t xml:space="preserve"> </w:t>
      </w:r>
      <m:oMath>
        <m:r>
          <m:t>i</m:t>
        </m:r>
      </m:oMath>
      <w:r>
        <w:t xml:space="preserve"> </w:t>
      </w:r>
      <w:r>
        <w:t xml:space="preserve">can cue its paired context unit with weight</w:t>
      </w:r>
      <w:r>
        <w:t xml:space="preserve"> </w:t>
      </w:r>
      <m:oMath>
        <m:r>
          <m:t>1</m:t>
        </m:r>
        <m:r>
          <m:rPr>
            <m:sty m:val="p"/>
          </m:rPr>
          <m:t>−</m:t>
        </m:r>
        <m:r>
          <m:t>γ</m:t>
        </m:r>
      </m:oMath>
      <w:r>
        <w:t xml:space="preserve">.</w:t>
      </w:r>
      <w:r>
        <w:t xml:space="preserve"> </w:t>
      </w:r>
      <w:r>
        <w:t xml:space="preserve">In</w:t>
      </w:r>
      <w:r>
        <w:t xml:space="preserve"> </w:t>
      </w:r>
      <m:oMath>
        <m:sSup>
          <m:e>
            <m:r>
              <m:t>M</m:t>
            </m:r>
          </m:e>
          <m:sup>
            <m:r>
              <m:t>C</m:t>
            </m:r>
            <m:r>
              <m:t>F</m:t>
            </m:r>
          </m:sup>
        </m:sSup>
      </m:oMath>
      <w:r>
        <w:t xml:space="preserve">, each item is most strongly supported by its paired context unit, with weight</w:t>
      </w:r>
      <w:r>
        <w:t xml:space="preserve"> </w:t>
      </w:r>
      <m:oMath>
        <m:r>
          <m:t>δ</m:t>
        </m:r>
      </m:oMath>
      <w:r>
        <w:t xml:space="preserve">.</w:t>
      </w:r>
      <w:r>
        <w:t xml:space="preserve"> </w:t>
      </w:r>
      <w:r>
        <w:t xml:space="preserve">The other item-associated context units provide weaker background support to that item, with weight</w:t>
      </w:r>
      <w:r>
        <w:t xml:space="preserve"> </w:t>
      </w:r>
      <m:oMath>
        <m:r>
          <m:t>α</m:t>
        </m:r>
      </m:oMath>
      <w:r>
        <w:t xml:space="preserve">.</w:t>
      </w:r>
      <w:r>
        <w:t xml:space="preserve"> </w:t>
      </w:r>
      <w:r>
        <w:t xml:space="preserve">The start state</w:t>
      </w:r>
      <w:r>
        <w:t xml:space="preserve"> </w:t>
      </w:r>
      <m:oMath>
        <m:sSub>
          <m:e>
            <m:r>
              <m:t>c</m:t>
            </m:r>
          </m:e>
          <m:sub>
            <m:r>
              <m:t>0</m:t>
            </m:r>
          </m:sub>
        </m:sSub>
      </m:oMath>
      <w:r>
        <w:t xml:space="preserve"> </w:t>
      </w:r>
      <w:r>
        <w:t xml:space="preserve">initially provides no item support in</w:t>
      </w:r>
      <w:r>
        <w:t xml:space="preserve"> </w:t>
      </w:r>
      <m:oMath>
        <m:sSup>
          <m:e>
            <m:r>
              <m:t>M</m:t>
            </m:r>
          </m:e>
          <m:sup>
            <m:r>
              <m:t>C</m:t>
            </m:r>
            <m:r>
              <m:t>F</m:t>
            </m:r>
          </m:sup>
        </m:sSup>
      </m:oMath>
      <w:r>
        <w:t xml:space="preserve">.</w:t>
      </w:r>
      <w:r>
        <w:t xml:space="preserve"> </w:t>
      </w:r>
      <w:r>
        <w:t xml:space="preserve">The initial entries of</w:t>
      </w:r>
      <w:r>
        <w:t xml:space="preserve"> </w:t>
      </w:r>
      <m:oMath>
        <m:sSup>
          <m:e>
            <m:r>
              <m:t>M</m:t>
            </m:r>
          </m:e>
          <m:sup>
            <m:r>
              <m:t>F</m:t>
            </m:r>
            <m:r>
              <m:t>C</m:t>
            </m:r>
          </m:sup>
        </m:sSup>
      </m:oMath>
      <w:r>
        <w:t xml:space="preserve"> </w:t>
      </w:r>
      <w:r>
        <w:t xml:space="preserve">and</w:t>
      </w:r>
      <w:r>
        <w:t xml:space="preserve"> </w:t>
      </w:r>
      <m:oMath>
        <m:sSup>
          <m:e>
            <m:r>
              <m:t>M</m:t>
            </m:r>
          </m:e>
          <m:sup>
            <m:r>
              <m:t>C</m:t>
            </m:r>
            <m:r>
              <m:t>F</m:t>
            </m:r>
          </m:sup>
        </m:sSup>
      </m:oMath>
      <w:r>
        <w:t xml:space="preserve"> </w:t>
      </w:r>
      <w:r>
        <w:t xml:space="preserve">are therefore:</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When event</w:t>
      </w:r>
      <w:r>
        <w:t xml:space="preserve"> </w:t>
      </w:r>
      <m:oMath>
        <m:r>
          <m:t>i</m:t>
        </m:r>
      </m:oMath>
      <w:r>
        <w:t xml:space="preserve"> </w:t>
      </w:r>
      <w:r>
        <w:t xml:space="preserve">is encountered, its representation</w:t>
      </w:r>
      <w:r>
        <w:t xml:space="preserve"> </w:t>
      </w:r>
      <m:oMath>
        <m:sSub>
          <m:e>
            <m:r>
              <m:t>f</m:t>
            </m:r>
          </m:e>
          <m:sub>
            <m:r>
              <m:t>i</m:t>
            </m:r>
          </m:sub>
        </m:sSub>
      </m:oMath>
      <w:r>
        <w:t xml:space="preserve"> </w:t>
      </w:r>
      <w:r>
        <w:t xml:space="preserve">retrieves context input through feature-to-context memory:</w:t>
      </w:r>
    </w:p>
    <w:p>
      <w:pPr>
        <w:pStyle w:val="BodyText"/>
      </w:pPr>
      <w:bookmarkStart w:id="50"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rPr>
              <m:sty m:val="p"/>
            </m:rPr>
            <m:t>.</m:t>
          </m:r>
          <m:r>
            <m:t>  </m:t>
          </m:r>
          <m:d>
            <m:dPr>
              <m:begChr m:val="("/>
              <m:sepChr m:val=""/>
              <m:endChr m:val=")"/>
              <m:grow/>
            </m:dPr>
            <m:e>
              <m:r>
                <m:t>3</m:t>
              </m:r>
            </m:e>
          </m:d>
        </m:oMath>
      </m:oMathPara>
      <w:bookmarkEnd w:id="50"/>
    </w:p>
    <w:p>
      <w:pPr>
        <w:pStyle w:val="FirstParagraph"/>
      </w:pPr>
      <w:r>
        <w:t xml:space="preserve">Context then drifts toward the normalized input.</w:t>
      </w:r>
      <w:r>
        <w:t xml:space="preserve"> </w:t>
      </w:r>
      <w:r>
        <w:t xml:space="preserve">The coefficient</w:t>
      </w:r>
      <w:r>
        <w:t xml:space="preserve"> </w:t>
      </w:r>
      <m:oMath>
        <m:sSub>
          <m:e>
            <m:r>
              <m:t>ρ</m:t>
            </m:r>
          </m:e>
          <m:sub>
            <m:r>
              <m:t>i</m:t>
            </m:r>
          </m:sub>
        </m:sSub>
      </m:oMath>
      <w:r>
        <w:t xml:space="preserve"> </w:t>
      </w:r>
      <w:r>
        <w:t xml:space="preserve">keeps context normalized after the update:</w:t>
      </w:r>
    </w:p>
    <w:p>
      <w:pPr>
        <w:pStyle w:val="BodyText"/>
      </w:pPr>
      <w:bookmarkStart w:id="51" w:name="eq-context-update"/>
      <m:oMathPara>
        <m:oMathParaPr>
          <m:jc m:val="center"/>
        </m:oMathParaPr>
        <m:oMath>
          <m:sSub>
            <m:e>
              <m:r>
                <m:t>c</m:t>
              </m:r>
            </m:e>
            <m:sub>
              <m:r>
                <m:t>i</m:t>
              </m:r>
            </m:sub>
          </m:sSub>
          <m:r>
            <m:rPr>
              <m:sty m:val="p"/>
            </m:rPr>
            <m:t>=</m:t>
          </m:r>
          <m:sSub>
            <m:e>
              <m:r>
                <m:t>ρ</m:t>
              </m:r>
            </m:e>
            <m:sub>
              <m:r>
                <m:t>i</m:t>
              </m:r>
            </m:sub>
          </m:sSub>
          <m:sSub>
            <m:e>
              <m:r>
                <m:t>c</m:t>
              </m:r>
            </m:e>
            <m:sub>
              <m:r>
                <m:t>i</m:t>
              </m:r>
              <m:r>
                <m:rPr>
                  <m:sty m:val="p"/>
                </m:rPr>
                <m:t>−</m:t>
              </m:r>
              <m:r>
                <m:t>1</m:t>
              </m:r>
            </m:sub>
          </m:sSub>
          <m:r>
            <m:rPr>
              <m:sty m:val="p"/>
            </m:rPr>
            <m:t>+</m:t>
          </m:r>
          <m:sSub>
            <m:e>
              <m:r>
                <m:t>β</m:t>
              </m:r>
            </m:e>
            <m:sub>
              <m:r>
                <m:rPr>
                  <m:sty m:val="p"/>
                </m:rPr>
                <m:t>e</m:t>
              </m:r>
              <m:r>
                <m:rPr>
                  <m:sty m:val="p"/>
                </m:rPr>
                <m:t>n</m:t>
              </m:r>
              <m:r>
                <m:rPr>
                  <m:sty m:val="p"/>
                </m:rPr>
                <m:t>c</m:t>
              </m:r>
            </m:sub>
          </m:sSub>
          <m:sSubSup>
            <m:e>
              <m:acc>
                <m:accPr>
                  <m:chr m:val="̂"/>
                </m:accPr>
                <m:e>
                  <m:r>
                    <m:t>c</m:t>
                  </m:r>
                </m:e>
              </m:acc>
            </m:e>
            <m:sub>
              <m:r>
                <m:t>i</m:t>
              </m:r>
            </m:sub>
            <m:sup>
              <m:r>
                <m:rPr>
                  <m:sty m:val="p"/>
                </m:rPr>
                <m:t>I</m:t>
              </m:r>
              <m:r>
                <m:rPr>
                  <m:sty m:val="p"/>
                </m:rPr>
                <m:t>N</m:t>
              </m:r>
            </m:sup>
          </m:sSubSup>
          <m:r>
            <m:rPr>
              <m:sty m:val="p"/>
            </m:rPr>
            <m:t>.</m:t>
          </m:r>
          <m:r>
            <m:t>  </m:t>
          </m:r>
          <m:d>
            <m:dPr>
              <m:begChr m:val="("/>
              <m:sepChr m:val=""/>
              <m:endChr m:val=")"/>
              <m:grow/>
            </m:dPr>
            <m:e>
              <m:r>
                <m:t>4</m:t>
              </m:r>
            </m:e>
          </m:d>
        </m:oMath>
      </m:oMathPara>
      <w:bookmarkEnd w:id="51"/>
    </w:p>
    <w:p>
      <w:pPr>
        <w:pStyle w:val="FirstParagraph"/>
      </w:pPr>
      <w:r>
        <w:t xml:space="preserve">Each event also encodes associations between its item features and the current context state.</w:t>
      </w:r>
      <w:r>
        <w:t xml:space="preserve"> </w:t>
      </w:r>
      <w:r>
        <w:t xml:space="preserve">Feature-to-context learning updates</w:t>
      </w:r>
      <w:r>
        <w:t xml:space="preserve"> </w:t>
      </w:r>
      <m:oMath>
        <m:sSup>
          <m:e>
            <m:r>
              <m:t>M</m:t>
            </m:r>
          </m:e>
          <m:sup>
            <m:r>
              <m:t>F</m:t>
            </m:r>
            <m:r>
              <m:t>C</m:t>
            </m:r>
          </m:sup>
        </m:sSup>
      </m:oMath>
      <w:r>
        <w:t xml:space="preserve"> </w:t>
      </w:r>
      <w:r>
        <w:t xml:space="preserve">so later cues or sampled items can reinstate associated context:</w:t>
      </w:r>
    </w:p>
    <w:p>
      <w:pPr>
        <w:pStyle w:val="BodyText"/>
      </w:pPr>
      <w:bookmarkStart w:id="52"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rPr>
              <m:sty m:val="p"/>
            </m:rPr>
            <m:t>.</m:t>
          </m:r>
          <m:r>
            <m:t>  </m:t>
          </m:r>
          <m:d>
            <m:dPr>
              <m:begChr m:val="("/>
              <m:sepChr m:val=""/>
              <m:endChr m:val=")"/>
              <m:grow/>
            </m:dPr>
            <m:e>
              <m:r>
                <m:t>5</m:t>
              </m:r>
            </m:e>
          </m:d>
        </m:oMath>
      </m:oMathPara>
      <w:bookmarkEnd w:id="52"/>
    </w:p>
    <w:p>
      <w:pPr>
        <w:pStyle w:val="FirstParagraph"/>
      </w:pPr>
      <w:r>
        <w:t xml:space="preserve">Context-to-feature learning updates</w:t>
      </w:r>
      <w:r>
        <w:t xml:space="preserve"> </w:t>
      </w:r>
      <m:oMath>
        <m:sSup>
          <m:e>
            <m:r>
              <m:t>M</m:t>
            </m:r>
          </m:e>
          <m:sup>
            <m:r>
              <m:t>C</m:t>
            </m:r>
            <m:r>
              <m:t>F</m:t>
            </m:r>
          </m:sup>
        </m:sSup>
      </m:oMath>
      <w:r>
        <w:t xml:space="preserve"> </w:t>
      </w:r>
      <w:r>
        <w:t xml:space="preserve">so later context can support the item during sampling:</w:t>
      </w:r>
    </w:p>
    <w:p>
      <w:pPr>
        <w:pStyle w:val="BodyText"/>
      </w:pPr>
      <w:bookmarkStart w:id="53"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6</m:t>
              </m:r>
            </m:e>
          </m:d>
        </m:oMath>
      </m:oMathPara>
      <w:bookmarkEnd w:id="53"/>
    </w:p>
    <w:p>
      <w:pPr>
        <w:pStyle w:val="FirstParagraph"/>
      </w:pPr>
      <w:r>
        <w:t xml:space="preserve">Here,</w:t>
      </w:r>
      <w:r>
        <w:t xml:space="preserve"> </w:t>
      </w:r>
      <m:oMath>
        <m:r>
          <m:t>γ</m:t>
        </m:r>
      </m:oMath>
      <w:r>
        <w:t xml:space="preserve"> </w:t>
      </w:r>
      <w:r>
        <w:t xml:space="preserve">controls feature-to-context learning while</w:t>
      </w:r>
      <w:r>
        <w:t xml:space="preserve"> </w:t>
      </w:r>
      <m:oMath>
        <m:r>
          <m:t>λ</m:t>
        </m:r>
      </m:oMath>
      <w:r>
        <w:t xml:space="preserve"> </w:t>
      </w:r>
      <w:r>
        <w:t xml:space="preserve">scales context-to-feature learning.</w:t>
      </w:r>
      <w:r>
        <w:t xml:space="preserve"> </w:t>
      </w:r>
      <w:r>
        <w:t xml:space="preserve">To capture primacy effects in recall, the scale</w:t>
      </w:r>
      <w:r>
        <w:t xml:space="preserve"> </w:t>
      </w:r>
      <m:oMath>
        <m:sSub>
          <m:e>
            <m:r>
              <m:t>ϕ</m:t>
            </m:r>
          </m:e>
          <m:sub>
            <m:r>
              <m:t>i</m:t>
            </m:r>
          </m:sub>
        </m:sSub>
      </m:oMath>
      <w:r>
        <w:t xml:space="preserve"> </w:t>
      </w:r>
      <w:r>
        <w:t xml:space="preserve">boosts context-to-feature learning for early items in the paradigm and decays across subsequent items.</w:t>
      </w:r>
    </w:p>
    <w:p>
      <w:pPr>
        <w:pStyle w:val="BodyText"/>
      </w:pPr>
      <w:r>
        <w:t xml:space="preserve">Encoding events also have a source feature vector</w:t>
      </w:r>
      <w:r>
        <w:t xml:space="preserve"> </w:t>
      </w:r>
      <m:oMath>
        <m:sSub>
          <m:e>
            <m:r>
              <m:t>s</m:t>
            </m:r>
          </m:e>
          <m:sub>
            <m:r>
              <m:t>i</m:t>
            </m:r>
          </m:sub>
        </m:sSub>
      </m:oMath>
      <w:r>
        <w:t xml:space="preserve"> </w:t>
      </w:r>
      <w:r>
        <w:t xml:space="preserve">that distinguishes film items from non-film items.</w:t>
      </w:r>
      <w:r>
        <w:t xml:space="preserve"> </w:t>
      </w:r>
      <w:r>
        <w:t xml:space="preserve">The source component of context follows the same normalized-drift form as temporal context, with source drift rate</w:t>
      </w:r>
      <w:r>
        <w:t xml:space="preserve"> </w:t>
      </w:r>
      <m:oMath>
        <m:sSub>
          <m:e>
            <m:r>
              <m:t>β</m:t>
            </m:r>
          </m:e>
          <m:sub>
            <m:r>
              <m:t>e</m:t>
            </m:r>
            <m:r>
              <m:t>m</m:t>
            </m:r>
            <m:r>
              <m:t>o</m:t>
            </m:r>
            <m:r>
              <m:t>t</m:t>
            </m:r>
          </m:sub>
        </m:sSub>
      </m:oMath>
      <w:r>
        <w:t xml:space="preserve">.</w:t>
      </w:r>
      <w:r>
        <w:t xml:space="preserve"> </w:t>
      </w:r>
      <w:r>
        <w:t xml:space="preserve">All items can form associations with the source context active for that event, scaled by a baseline source-learning term</w:t>
      </w:r>
      <w:r>
        <w:t xml:space="preserve"> </w:t>
      </w:r>
      <m:oMath>
        <m:sSub>
          <m:e>
            <m:r>
              <m:t>η</m:t>
            </m:r>
          </m:e>
          <m:sub>
            <m:r>
              <m:t>s</m:t>
            </m:r>
          </m:sub>
        </m:sSub>
      </m:oMath>
      <w:r>
        <w:t xml:space="preserve">.</w:t>
      </w:r>
      <w:r>
        <w:t xml:space="preserve"> </w:t>
      </w:r>
      <w:r>
        <w:t xml:space="preserve">For film encoding events, the source-context portion of the context-to-feature update receives an additional</w:t>
      </w:r>
      <w:r>
        <w:t xml:space="preserve"> </w:t>
      </w:r>
      <m:oMath>
        <m:sSub>
          <m:e>
            <m:r>
              <m:t>ϕ</m:t>
            </m:r>
          </m:e>
          <m:sub>
            <m:r>
              <m:rPr>
                <m:sty m:val="p"/>
              </m:rPr>
              <m:t>e</m:t>
            </m:r>
            <m:r>
              <m:rPr>
                <m:sty m:val="p"/>
              </m:rPr>
              <m:t>m</m:t>
            </m:r>
            <m:r>
              <m:rPr>
                <m:sty m:val="p"/>
              </m:rPr>
              <m:t>o</m:t>
            </m:r>
            <m:r>
              <m:rPr>
                <m:sty m:val="p"/>
              </m:rPr>
              <m:t>t</m:t>
            </m:r>
          </m:sub>
        </m:sSub>
      </m:oMath>
      <w:r>
        <w:t xml:space="preserve"> </w:t>
      </w:r>
      <w:r>
        <w:t xml:space="preserve">scale to reflect stronger encoding of emotional material in the trauma-film paradigm</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Task and filler events carry the neutral/default source feature, so they use the baseline source-learning scale without the added film-source term.</w:t>
      </w:r>
      <w:r>
        <w:t xml:space="preserve"> </w:t>
      </w:r>
      <w:r>
        <w:t xml:space="preserve">After encoding, film, task, and filler candidates can all enter later recall through the temporal and source-context associations learned for each item.</w:t>
      </w:r>
    </w:p>
    <w:bookmarkEnd w:id="54"/>
    <w:bookmarkStart w:id="57" w:name="reminder-linked-task-encoding"/>
    <w:p>
      <w:pPr>
        <w:pStyle w:val="Heading2"/>
      </w:pPr>
      <w:r>
        <w:t xml:space="preserve">Reminder-Linked Task Encoding</w:t>
      </w:r>
    </w:p>
    <w:p>
      <w:pPr>
        <w:pStyle w:val="FirstParagraph"/>
      </w:pPr>
      <w:r>
        <w:t xml:space="preserve">After the film-delay period, the simulated paradigm can present film reminders before the task begins.</w:t>
      </w:r>
      <w:r>
        <w:t xml:space="preserve"> </w:t>
      </w:r>
      <w:r>
        <w:t xml:space="preserve">The reminder phase reinstates film-associated context before task items are encoded.</w:t>
      </w:r>
      <w:r>
        <w:t xml:space="preserve"> </w:t>
      </w:r>
      <w:r>
        <w:t xml:space="preserve">Task items encoded from that state can later receive support for recall from context that also supports film material.</w:t>
      </w:r>
    </w:p>
    <w:p>
      <w:pPr>
        <w:pStyle w:val="BodyText"/>
      </w:pPr>
      <w:r>
        <w:t xml:space="preserve">The reminder phase begins by updating context toward the start state of the film sequence.</w:t>
      </w:r>
      <w:r>
        <w:t xml:space="preserve"> </w:t>
      </w:r>
      <w:r>
        <w:t xml:space="preserve">Let</w:t>
      </w:r>
      <w:r>
        <w:t xml:space="preserve"> </w:t>
      </w:r>
      <m:oMath>
        <m:sSub>
          <m:e>
            <m:r>
              <m:t>c</m:t>
            </m:r>
          </m:e>
          <m:sub>
            <m:r>
              <m:t>b</m:t>
            </m:r>
          </m:sub>
        </m:sSub>
      </m:oMath>
      <w:r>
        <w:t xml:space="preserve"> </w:t>
      </w:r>
      <w:r>
        <w:t xml:space="preserve">denote the context state after the break period.</w:t>
      </w:r>
      <w:r>
        <w:t xml:space="preserve"> </w:t>
      </w:r>
      <w:r>
        <w:t xml:space="preserve">The reminder-phase start update is:</w:t>
      </w:r>
    </w:p>
    <w:p>
      <w:pPr>
        <w:pStyle w:val="BodyText"/>
      </w:pPr>
      <w:bookmarkStart w:id="55" w:name="eq-reminder-start-update"/>
      <m:oMathPara>
        <m:oMathParaPr>
          <m:jc m:val="center"/>
        </m:oMathParaPr>
        <m:oMath>
          <m:sSub>
            <m:e>
              <m:r>
                <m:t>c</m:t>
              </m:r>
            </m:e>
            <m:sub>
              <m:r>
                <m:t>r</m:t>
              </m:r>
              <m:r>
                <m:rPr>
                  <m:sty m:val="p"/>
                </m:rPr>
                <m:t>,</m:t>
              </m:r>
              <m:r>
                <m:t>0</m:t>
              </m:r>
            </m:sub>
          </m:sSub>
          <m:r>
            <m:rPr>
              <m:sty m:val="p"/>
            </m:rPr>
            <m:t>=</m:t>
          </m:r>
          <m:sSub>
            <m:e>
              <m:r>
                <m:t>ρ</m:t>
              </m:r>
            </m:e>
            <m:sub>
              <m:r>
                <m:t>r</m:t>
              </m:r>
              <m:r>
                <m:rPr>
                  <m:sty m:val="p"/>
                </m:rPr>
                <m:t>,</m:t>
              </m:r>
              <m:r>
                <m:t>0</m:t>
              </m:r>
            </m:sub>
          </m:sSub>
          <m:sSub>
            <m:e>
              <m:r>
                <m:t>c</m:t>
              </m:r>
            </m:e>
            <m:sub>
              <m:r>
                <m:t>b</m:t>
              </m:r>
            </m:sub>
          </m:sSub>
          <m:r>
            <m:rPr>
              <m:sty m:val="p"/>
            </m:rPr>
            <m:t>+</m:t>
          </m:r>
          <m:sSub>
            <m:e>
              <m:r>
                <m:t>β</m:t>
              </m:r>
            </m:e>
            <m:sub>
              <m:r>
                <m:rPr>
                  <m:sty m:val="p"/>
                </m:rPr>
                <m:t>r</m:t>
              </m:r>
              <m:r>
                <m:rPr>
                  <m:sty m:val="p"/>
                </m:rPr>
                <m:t>e</m:t>
              </m:r>
              <m:r>
                <m:rPr>
                  <m:sty m:val="p"/>
                </m:rPr>
                <m:t>m</m:t>
              </m:r>
              <m:r>
                <m:rPr>
                  <m:sty m:val="p"/>
                </m:rPr>
                <m:t>,</m:t>
              </m:r>
              <m:r>
                <m:rPr>
                  <m:sty m:val="p"/>
                </m:rPr>
                <m:t>s</m:t>
              </m:r>
              <m:r>
                <m:rPr>
                  <m:sty m:val="p"/>
                </m:rPr>
                <m:t>t</m:t>
              </m:r>
              <m:r>
                <m:rPr>
                  <m:sty m:val="p"/>
                </m:rPr>
                <m:t>a</m:t>
              </m:r>
              <m:r>
                <m:rPr>
                  <m:sty m:val="p"/>
                </m:rPr>
                <m:t>r</m:t>
              </m:r>
              <m:r>
                <m:rPr>
                  <m:sty m:val="p"/>
                </m:rPr>
                <m:t>t</m:t>
              </m:r>
            </m:sub>
          </m:sSub>
          <m:sSub>
            <m:e>
              <m:r>
                <m:t>c</m:t>
              </m:r>
            </m:e>
            <m:sub>
              <m:r>
                <m:t>0</m:t>
              </m:r>
            </m:sub>
          </m:sSub>
          <m:r>
            <m:rPr>
              <m:sty m:val="p"/>
            </m:rPr>
            <m:t>.</m:t>
          </m:r>
          <m:r>
            <m:t>  </m:t>
          </m:r>
          <m:d>
            <m:dPr>
              <m:begChr m:val="("/>
              <m:sepChr m:val=""/>
              <m:endChr m:val=")"/>
              <m:grow/>
            </m:dPr>
            <m:e>
              <m:r>
                <m:t>7</m:t>
              </m:r>
            </m:e>
          </m:d>
        </m:oMath>
      </m:oMathPara>
      <w:bookmarkEnd w:id="55"/>
    </w:p>
    <w:p>
      <w:pPr>
        <w:pStyle w:val="FirstParagraph"/>
      </w:pPr>
      <w:r>
        <w:t xml:space="preserve">The model then applies a sequence of film-item reminder cues.</w:t>
      </w:r>
      <w:r>
        <w:t xml:space="preserve"> </w:t>
      </w:r>
      <w:r>
        <w:t xml:space="preserve">Each item from the film phase is presented as a reminder cue in the order it was encoded.</w:t>
      </w:r>
      <w:r>
        <w:t xml:space="preserve"> </w:t>
      </w:r>
      <w:r>
        <w:t xml:space="preserve">Feature-to-context memory retrieves reminder input as in</w:t>
      </w:r>
      <w:r>
        <w:t xml:space="preserve"> </w:t>
      </w:r>
      <w:hyperlink w:anchor="eq-context-input">
        <w:r>
          <w:rPr>
            <w:rStyle w:val="Hyperlink"/>
          </w:rPr>
          <w:t xml:space="preserve">Equation 3</w:t>
        </w:r>
      </w:hyperlink>
      <w:r>
        <w:t xml:space="preserve">, and context drifts toward that input using the normalized update in</w:t>
      </w:r>
      <w:r>
        <w:t xml:space="preserve"> </w:t>
      </w:r>
      <w:hyperlink w:anchor="eq-context-update">
        <w:r>
          <w:rPr>
            <w:rStyle w:val="Hyperlink"/>
          </w:rPr>
          <w:t xml:space="preserve">Equation 4</w:t>
        </w:r>
      </w:hyperlink>
      <w:r>
        <w:t xml:space="preserve"> </w:t>
      </w:r>
      <w:r>
        <w:t xml:space="preserve">with the reminder drift rate.</w:t>
      </w:r>
      <w:r>
        <w:t xml:space="preserve"> </w:t>
      </w:r>
      <w:r>
        <w:t xml:space="preserve">Reminder cues update context but do not become recallable items and do not add new context-to-feature learning.</w:t>
      </w:r>
      <w:r>
        <w:t xml:space="preserve"> </w:t>
      </w:r>
      <w:r>
        <w:t xml:space="preserve">This isolates the reminder’s effect to reinstating film-associated context rather than adding new film-item associations.</w:t>
      </w:r>
    </w:p>
    <w:p>
      <w:pPr>
        <w:pStyle w:val="BodyText"/>
      </w:pPr>
      <w:r>
        <w:t xml:space="preserve">Task events are then encoded by the ordinary event-learning rules with the reminder-updated context as the starting state.</w:t>
      </w:r>
      <w:r>
        <w:t xml:space="preserve"> </w:t>
      </w:r>
      <w:r>
        <w:t xml:space="preserve">Task items carry the neutral/default source feature rather than the film-source feature, so they do not receive the added</w:t>
      </w:r>
      <w:r>
        <w:t xml:space="preserve"> </w:t>
      </w:r>
      <m:oMath>
        <m:sSub>
          <m:e>
            <m:r>
              <m:t>ϕ</m:t>
            </m:r>
          </m:e>
          <m:sub>
            <m:r>
              <m:rPr>
                <m:sty m:val="p"/>
              </m:rPr>
              <m:t>e</m:t>
            </m:r>
            <m:r>
              <m:rPr>
                <m:sty m:val="p"/>
              </m:rPr>
              <m:t>m</m:t>
            </m:r>
            <m:r>
              <m:rPr>
                <m:sty m:val="p"/>
              </m:rPr>
              <m:t>o</m:t>
            </m:r>
            <m:r>
              <m:rPr>
                <m:sty m:val="p"/>
              </m:rPr>
              <m:t>t</m:t>
            </m:r>
          </m:sub>
        </m:sSub>
      </m:oMath>
      <w:r>
        <w:t xml:space="preserve"> </w:t>
      </w:r>
      <w:r>
        <w:t xml:space="preserve">term.</w:t>
      </w:r>
      <w:r>
        <w:t xml:space="preserve"> </w:t>
      </w:r>
      <w:r>
        <w:t xml:space="preserve">To represent stronger or weaker task encoding, the simulations scale context-to-feature learning for task events by a task-encoding-strength factor</w:t>
      </w:r>
      <w:r>
        <w:t xml:space="preserve"> </w:t>
      </w:r>
      <m:oMath>
        <m:sSub>
          <m:e>
            <m:r>
              <m:t>m</m:t>
            </m:r>
          </m:e>
          <m:sub>
            <m:r>
              <m:rPr>
                <m:sty m:val="p"/>
              </m:rPr>
              <m:t>t</m:t>
            </m:r>
            <m:r>
              <m:rPr>
                <m:sty m:val="p"/>
              </m:rPr>
              <m:t>a</m:t>
            </m:r>
            <m:r>
              <m:rPr>
                <m:sty m:val="p"/>
              </m:rPr>
              <m:t>s</m:t>
            </m:r>
            <m:r>
              <m:rPr>
                <m:sty m:val="p"/>
              </m:rPr>
              <m:t>k</m:t>
            </m:r>
          </m:sub>
        </m:sSub>
      </m:oMath>
      <w:r>
        <w:t xml:space="preserve">:</w:t>
      </w:r>
    </w:p>
    <w:p>
      <w:pPr>
        <w:pStyle w:val="BodyText"/>
      </w:pPr>
      <w:bookmarkStart w:id="56" w:name="eq-task-mcf-learning"/>
      <m:oMathPara>
        <m:oMathParaPr>
          <m:jc m:val="center"/>
        </m:oMathParaPr>
        <m:oMath>
          <m:r>
            <m:t>Δ</m:t>
          </m:r>
          <m:sSubSup>
            <m:e>
              <m:r>
                <m:t>M</m:t>
              </m:r>
            </m:e>
            <m:sub>
              <m:r>
                <m:rPr>
                  <m:sty m:val="p"/>
                </m:rPr>
                <m:t>t</m:t>
              </m:r>
              <m:r>
                <m:rPr>
                  <m:sty m:val="p"/>
                </m:rPr>
                <m:t>a</m:t>
              </m:r>
              <m:r>
                <m:rPr>
                  <m:sty m:val="p"/>
                </m:rPr>
                <m:t>s</m:t>
              </m:r>
              <m:r>
                <m:rPr>
                  <m:sty m:val="p"/>
                </m:rPr>
                <m:t>k</m:t>
              </m:r>
            </m:sub>
            <m:sup>
              <m:r>
                <m:t>C</m:t>
              </m:r>
              <m:r>
                <m:t>F</m:t>
              </m:r>
            </m:sup>
          </m:sSubSup>
          <m:r>
            <m:rPr>
              <m:sty m:val="p"/>
            </m:rPr>
            <m:t>=</m:t>
          </m:r>
          <m:sSub>
            <m:e>
              <m:r>
                <m:t>m</m:t>
              </m:r>
            </m:e>
            <m:sub>
              <m:r>
                <m:rPr>
                  <m:sty m:val="p"/>
                </m:rPr>
                <m:t>t</m:t>
              </m:r>
              <m:r>
                <m:rPr>
                  <m:sty m:val="p"/>
                </m:rPr>
                <m:t>a</m:t>
              </m:r>
              <m:r>
                <m:rPr>
                  <m:sty m:val="p"/>
                </m:rPr>
                <m:t>s</m:t>
              </m:r>
              <m:r>
                <m:rPr>
                  <m:sty m:val="p"/>
                </m:rPr>
                <m:t>k</m:t>
              </m:r>
            </m:sub>
          </m:sSub>
          <m:r>
            <m:t>λ</m:t>
          </m:r>
          <m:sSub>
            <m:e>
              <m:r>
                <m:t>ϕ</m:t>
              </m:r>
            </m:e>
            <m:sub>
              <m:r>
                <m:t>i</m:t>
              </m:r>
            </m:sub>
          </m:sSub>
          <m:sSub>
            <m:e>
              <m:r>
                <m:t>f</m:t>
              </m:r>
            </m:e>
            <m:sub>
              <m:r>
                <m:t>i</m:t>
              </m:r>
            </m:sub>
          </m:sSub>
          <m:sSubSup>
            <m:e>
              <m:r>
                <m:t>c</m:t>
              </m:r>
            </m:e>
            <m:sub>
              <m:r>
                <m:t>i</m:t>
              </m:r>
            </m:sub>
            <m:sup>
              <m:r>
                <m:rPr>
                  <m:sty m:val="p"/>
                </m:rPr>
                <m:t>⊤</m:t>
              </m:r>
            </m:sup>
          </m:sSubSup>
          <m:r>
            <m:rPr>
              <m:sty m:val="p"/>
            </m:rPr>
            <m:t>.</m:t>
          </m:r>
          <m:r>
            <m:t>  </m:t>
          </m:r>
          <m:d>
            <m:dPr>
              <m:begChr m:val="("/>
              <m:sepChr m:val=""/>
              <m:endChr m:val=")"/>
              <m:grow/>
            </m:dPr>
            <m:e>
              <m:r>
                <m:t>8</m:t>
              </m:r>
            </m:e>
          </m:d>
        </m:oMath>
      </m:oMathPara>
      <w:bookmarkEnd w:id="56"/>
    </w:p>
    <w:p>
      <w:pPr>
        <w:pStyle w:val="FirstParagraph"/>
      </w:pPr>
      <w:r>
        <w:t xml:space="preserve">Task items become interfering competitors in later recall because they become associated with context states that can cue film material.</w:t>
      </w:r>
      <w:r>
        <w:t xml:space="preserve"> </w:t>
      </w:r>
      <w:r>
        <w:t xml:space="preserve">The intervention therefore changes how non-film items are cued by film-associated context, without weakening the film-item associations formed during film encoding.</w:t>
      </w:r>
    </w:p>
    <w:bookmarkEnd w:id="57"/>
    <w:bookmarkStart w:id="62" w:name="Xb155c4bf5ea3a7bf524ee6be8d44f4b46605c57"/>
    <w:p>
      <w:pPr>
        <w:pStyle w:val="Heading2"/>
      </w:pPr>
      <w:r>
        <w:t xml:space="preserve">Context-Guided Recall and Test-Phase Cues</w:t>
      </w:r>
    </w:p>
    <w:p>
      <w:pPr>
        <w:pStyle w:val="FirstParagraph"/>
      </w:pPr>
      <w:r>
        <w:t xml:space="preserve">In recall formats where film material must come to mind before it can be reported, the current context state assigns support to film, task, and filler candidates.</w:t>
      </w:r>
      <w:r>
        <w:t xml:space="preserve"> </w:t>
      </w:r>
      <w:r>
        <w:t xml:space="preserve">At sampling step</w:t>
      </w:r>
      <w:r>
        <w:t xml:space="preserve"> </w:t>
      </w:r>
      <m:oMath>
        <m:r>
          <m:t>j</m:t>
        </m:r>
      </m:oMath>
      <w:r>
        <w:t xml:space="preserve">, candidate support is computed by probing context-to-feature memory with the full context state:</w:t>
      </w:r>
    </w:p>
    <w:p>
      <w:pPr>
        <w:pStyle w:val="BodyText"/>
      </w:pPr>
      <w:bookmarkStart w:id="58" w:name="eq-recall-support"/>
      <m:oMathPara>
        <m:oMathParaPr>
          <m:jc m:val="center"/>
        </m:oMathParaPr>
        <m:oMath>
          <m:sSub>
            <m:e>
              <m:r>
                <m:t>a</m:t>
              </m:r>
            </m:e>
            <m:sub>
              <m:r>
                <m:t>i</m:t>
              </m:r>
              <m:r>
                <m:rPr>
                  <m:sty m:val="p"/>
                </m:rPr>
                <m:t>,</m:t>
              </m:r>
              <m:r>
                <m:t>j</m:t>
              </m:r>
            </m:sub>
          </m:sSub>
          <m:r>
            <m:rPr>
              <m:sty m:val="p"/>
            </m:rPr>
            <m:t>=</m:t>
          </m:r>
          <m:sSub>
            <m:e>
              <m:d>
                <m:dPr>
                  <m:begChr m:val="["/>
                  <m:sepChr m:val=""/>
                  <m:endChr m:val="]"/>
                  <m:grow/>
                </m:dPr>
                <m:e>
                  <m:sSup>
                    <m:e>
                      <m:r>
                        <m:t>M</m:t>
                      </m:r>
                    </m:e>
                    <m:sup>
                      <m:r>
                        <m:t>C</m:t>
                      </m:r>
                      <m:r>
                        <m:t>F</m:t>
                      </m:r>
                    </m:sup>
                  </m:sSup>
                  <m:sSub>
                    <m:e>
                      <m:r>
                        <m:t>c</m:t>
                      </m:r>
                    </m:e>
                    <m:sub>
                      <m:r>
                        <m:t>j</m:t>
                      </m:r>
                    </m:sub>
                  </m:sSub>
                </m:e>
              </m:d>
            </m:e>
            <m:sub>
              <m:r>
                <m:t>i</m:t>
              </m:r>
            </m:sub>
          </m:sSub>
          <m:r>
            <m:rPr>
              <m:sty m:val="p"/>
            </m:rPr>
            <m:t>.</m:t>
          </m:r>
          <m:r>
            <m:t>  </m:t>
          </m:r>
          <m:d>
            <m:dPr>
              <m:begChr m:val="("/>
              <m:sepChr m:val=""/>
              <m:endChr m:val=")"/>
              <m:grow/>
            </m:dPr>
            <m:e>
              <m:r>
                <m:t>9</m:t>
              </m:r>
            </m:e>
          </m:d>
        </m:oMath>
      </m:oMathPara>
      <w:bookmarkEnd w:id="58"/>
    </w:p>
    <w:p>
      <w:pPr>
        <w:pStyle w:val="FirstParagraph"/>
      </w:pPr>
      <w:r>
        <w:t xml:space="preserve">The context vector</w:t>
      </w:r>
      <w:r>
        <w:t xml:space="preserve"> </w:t>
      </w:r>
      <m:oMath>
        <m:sSub>
          <m:e>
            <m:r>
              <m:t>c</m:t>
            </m:r>
          </m:e>
          <m:sub>
            <m:r>
              <m:t>j</m:t>
            </m:r>
          </m:sub>
        </m:sSub>
      </m:oMath>
      <w:r>
        <w:t xml:space="preserve"> </w:t>
      </w:r>
      <w:r>
        <w:t xml:space="preserve">includes both temporal and source-context components.</w:t>
      </w:r>
      <w:r>
        <w:t xml:space="preserve"> </w:t>
      </w:r>
      <w:r>
        <w:t xml:space="preserve">Candidates already sampled in the current recall period are excluded from later sampling.</w:t>
      </w:r>
    </w:p>
    <w:p>
      <w:pPr>
        <w:pStyle w:val="BodyText"/>
      </w:pPr>
      <w:r>
        <w:t xml:space="preserve">Sampling follows a Luce choice rule over the remaining candidates</w:t>
      </w:r>
      <w:r>
        <w:t xml:space="preserve"> </w:t>
      </w:r>
      <w:r>
        <w:t xml:space="preserve">(</w:t>
      </w:r>
      <w:hyperlink w:anchor="ref-luce1959individual">
        <w:r>
          <w:rPr>
            <w:rStyle w:val="Hyperlink"/>
          </w:rPr>
          <w:t xml:space="preserve">Luce, 1959</w:t>
        </w:r>
      </w:hyperlink>
      <w:r>
        <w:t xml:space="preserve">)</w:t>
      </w:r>
      <w:r>
        <w:t xml:space="preserve">:</w:t>
      </w:r>
    </w:p>
    <w:p>
      <w:pPr>
        <w:pStyle w:val="BodyText"/>
      </w:pPr>
      <w:bookmarkStart w:id="59" w:name="eq-luce-choice"/>
      <m:oMathPara>
        <m:oMathParaPr>
          <m:jc m:val="center"/>
        </m:oMathParaPr>
        <m:oMath>
          <m:r>
            <m:t>P</m:t>
          </m:r>
          <m:d>
            <m:dPr>
              <m:begChr m:val="("/>
              <m:sepChr m:val=""/>
              <m:endChr m:val=")"/>
              <m:grow/>
            </m:dPr>
            <m:e>
              <m:r>
                <m:t>i</m:t>
              </m:r>
              <m:r>
                <m:rPr>
                  <m:sty m:val="p"/>
                </m:rPr>
                <m:t>∣</m:t>
              </m:r>
              <m:r>
                <m:rPr>
                  <m:sty m:val="p"/>
                </m:rPr>
                <m:t>c</m:t>
              </m:r>
              <m:r>
                <m:rPr>
                  <m:sty m:val="p"/>
                </m:rPr>
                <m:t>o</m:t>
              </m:r>
              <m:r>
                <m:rPr>
                  <m:sty m:val="p"/>
                </m:rPr>
                <m:t>n</m:t>
              </m:r>
              <m:r>
                <m:rPr>
                  <m:sty m:val="p"/>
                </m:rPr>
                <m:t>t</m:t>
              </m:r>
              <m:r>
                <m:rPr>
                  <m:sty m:val="p"/>
                </m:rPr>
                <m:t>i</m:t>
              </m:r>
              <m:r>
                <m:rPr>
                  <m:sty m:val="p"/>
                </m:rPr>
                <m:t>n</m:t>
              </m:r>
              <m:r>
                <m:rPr>
                  <m:sty m:val="p"/>
                </m:rPr>
                <m:t>u</m:t>
              </m:r>
              <m:r>
                <m:rPr>
                  <m:sty m:val="p"/>
                </m:rPr>
                <m:t>e</m:t>
              </m:r>
            </m:e>
          </m:d>
          <m:r>
            <m:rPr>
              <m:sty m:val="p"/>
            </m:rPr>
            <m:t>=</m:t>
          </m:r>
          <m:f>
            <m:fPr>
              <m:type m:val="bar"/>
            </m:fPr>
            <m:num>
              <m:sSubSup>
                <m:e>
                  <m:r>
                    <m:t>a</m:t>
                  </m:r>
                </m:e>
                <m:sub>
                  <m:r>
                    <m:t>i</m:t>
                  </m:r>
                  <m:r>
                    <m:rPr>
                      <m:sty m:val="p"/>
                    </m:rPr>
                    <m:t>,</m:t>
                  </m:r>
                  <m:r>
                    <m:t>j</m:t>
                  </m:r>
                </m:sub>
                <m:sup>
                  <m:r>
                    <m:t>τ</m:t>
                  </m:r>
                </m:sup>
              </m:sSubSup>
            </m:num>
            <m:den>
              <m:nary>
                <m:naryPr>
                  <m:chr m:val="∑"/>
                  <m:limLoc m:val="undOvr"/>
                  <m:subHide m:val="off"/>
                  <m:supHide m:val="on"/>
                </m:naryPr>
                <m:sub>
                  <m:r>
                    <m:rPr>
                      <m:sty m:val="p"/>
                    </m:rPr>
                    <m:t>r</m:t>
                  </m:r>
                  <m:r>
                    <m:rPr>
                      <m:sty m:val="p"/>
                    </m:rPr>
                    <m:t>e</m:t>
                  </m:r>
                  <m:r>
                    <m:rPr>
                      <m:sty m:val="p"/>
                    </m:rPr>
                    <m:t>m</m:t>
                  </m:r>
                  <m:r>
                    <m:rPr>
                      <m:sty m:val="p"/>
                    </m:rPr>
                    <m:t>a</m:t>
                  </m:r>
                  <m:r>
                    <m:rPr>
                      <m:sty m:val="p"/>
                    </m:rPr>
                    <m:t>i</m:t>
                  </m:r>
                  <m:r>
                    <m:rPr>
                      <m:sty m:val="p"/>
                    </m:rPr>
                    <m:t>n</m:t>
                  </m:r>
                  <m:r>
                    <m:rPr>
                      <m:sty m:val="p"/>
                    </m:rPr>
                    <m:t>i</m:t>
                  </m:r>
                  <m:r>
                    <m:rPr>
                      <m:sty m:val="p"/>
                    </m:rPr>
                    <m:t>n</m:t>
                  </m:r>
                  <m:r>
                    <m:rPr>
                      <m:sty m:val="p"/>
                    </m:rPr>
                    <m:t>g</m:t>
                  </m:r>
                  <m:r>
                    <m:t> </m:t>
                  </m:r>
                  <m:r>
                    <m:t>k</m:t>
                  </m:r>
                </m:sub>
                <m:sup>
                  <m:r>
                    <m:t>​</m:t>
                  </m:r>
                </m:sup>
                <m:e>
                  <m:sSubSup>
                    <m:e>
                      <m:r>
                        <m:t>a</m:t>
                      </m:r>
                    </m:e>
                    <m:sub>
                      <m:r>
                        <m:t>k</m:t>
                      </m:r>
                      <m:r>
                        <m:rPr>
                          <m:sty m:val="p"/>
                        </m:rPr>
                        <m:t>,</m:t>
                      </m:r>
                      <m:r>
                        <m:t>j</m:t>
                      </m:r>
                    </m:sub>
                    <m:sup>
                      <m:r>
                        <m:t>τ</m:t>
                      </m:r>
                    </m:sup>
                  </m:sSubSup>
                </m:e>
              </m:nary>
            </m:den>
          </m:f>
          <m:r>
            <m:rPr>
              <m:sty m:val="p"/>
            </m:rPr>
            <m:t>.</m:t>
          </m:r>
          <m:r>
            <m:t>  </m:t>
          </m:r>
          <m:d>
            <m:dPr>
              <m:begChr m:val="("/>
              <m:sepChr m:val=""/>
              <m:endChr m:val=")"/>
              <m:grow/>
            </m:dPr>
            <m:e>
              <m:r>
                <m:t>10</m:t>
              </m:r>
            </m:e>
          </m:d>
        </m:oMath>
      </m:oMathPara>
      <w:bookmarkEnd w:id="59"/>
    </w:p>
    <w:p>
      <w:pPr>
        <w:pStyle w:val="FirstParagraph"/>
      </w:pPr>
      <w:r>
        <w:t xml:space="preserve">Following likelihood-based CMR implementations, stopping is modeled as a position-dependent hazard independent of current candidate support</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rPr>
              <m:sty m:val="p"/>
            </m:rPr>
            <m:t>.</m:t>
          </m:r>
          <m:r>
            <m:t>  </m:t>
          </m:r>
          <m:d>
            <m:dPr>
              <m:begChr m:val="("/>
              <m:sepChr m:val=""/>
              <m:endChr m:val=")"/>
              <m:grow/>
            </m:dPr>
            <m:e>
              <m:r>
                <m:t>11</m:t>
              </m:r>
            </m:e>
          </m:d>
        </m:oMath>
      </m:oMathPara>
      <w:bookmarkEnd w:id="60"/>
    </w:p>
    <w:p>
      <w:pPr>
        <w:pStyle w:val="FirstParagraph"/>
      </w:pPr>
      <w:r>
        <w:t xml:space="preserve">This value is bounded to remain a valid probability.</w:t>
      </w:r>
      <w:r>
        <w:t xml:space="preserve"> </w:t>
      </w:r>
      <w:r>
        <w:t xml:space="preserve">Because stopping is independent of candidate support, interference is read from the identity of sampled items.</w:t>
      </w:r>
      <w:r>
        <w:t xml:space="preserve"> </w:t>
      </w:r>
      <w:r>
        <w:t xml:space="preserve">A sampled task or filler item takes the place of a possible film sample.</w:t>
      </w:r>
    </w:p>
    <w:p>
      <w:pPr>
        <w:pStyle w:val="BodyText"/>
      </w:pPr>
      <w:r>
        <w:t xml:space="preserve">After a candidate is sampled, feature-to-context memory updates context toward the sampled item’s associated context:</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sSub>
            <m:e>
              <m:r>
                <m:t>c</m:t>
              </m:r>
            </m:e>
            <m:sub>
              <m:r>
                <m:t>j</m:t>
              </m:r>
            </m:sub>
          </m:sSub>
          <m:r>
            <m:rPr>
              <m:sty m:val="p"/>
            </m:rPr>
            <m:t>+</m:t>
          </m:r>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12</m:t>
              </m:r>
            </m:e>
          </m:d>
        </m:oMath>
      </m:oMathPara>
      <w:bookmarkEnd w:id="61"/>
    </w:p>
    <w:p>
      <w:pPr>
        <w:pStyle w:val="FirstParagraph"/>
      </w:pPr>
      <w:r>
        <w:t xml:space="preserve">This update lets sampled material shape later search.</w:t>
      </w:r>
      <w:r>
        <w:t xml:space="preserve"> </w:t>
      </w:r>
      <w:r>
        <w:t xml:space="preserve">A sampled film item can keep later sampling near film-associated context.</w:t>
      </w:r>
      <w:r>
        <w:t xml:space="preserve"> </w:t>
      </w:r>
      <w:r>
        <w:t xml:space="preserve">A sampled task or filler item can pull later sampling toward non-film material.</w:t>
      </w:r>
    </w:p>
    <w:p>
      <w:pPr>
        <w:pStyle w:val="BodyText"/>
      </w:pPr>
      <w:r>
        <w:t xml:space="preserve">Test-phase film cues use the same feature-to-context operation without becoming recall outputs.</w:t>
      </w:r>
      <w:r>
        <w:t xml:space="preserve"> </w:t>
      </w:r>
      <w:r>
        <w:t xml:space="preserve">When a film cue</w:t>
      </w:r>
      <w:r>
        <w:t xml:space="preserve"> </w:t>
      </w:r>
      <m:oMath>
        <m:r>
          <m:t>q</m:t>
        </m:r>
      </m:oMath>
      <w:r>
        <w:t xml:space="preserve"> </w:t>
      </w:r>
      <w:r>
        <w:t xml:space="preserve">is presented, the cued item updates context through</w:t>
      </w:r>
      <w:r>
        <w:t xml:space="preserve"> </w:t>
      </w:r>
      <m:oMath>
        <m:sSup>
          <m:e>
            <m:r>
              <m:t>M</m:t>
            </m:r>
          </m:e>
          <m:sup>
            <m:r>
              <m:t>F</m:t>
            </m:r>
            <m:r>
              <m:t>C</m:t>
            </m:r>
          </m:sup>
        </m:sSup>
        <m:sSub>
          <m:e>
            <m:r>
              <m:t>f</m:t>
            </m:r>
          </m:e>
          <m:sub>
            <m:r>
              <m:t>q</m:t>
            </m:r>
          </m:sub>
        </m:sSub>
      </m:oMath>
      <w:r>
        <w:t xml:space="preserve">.</w:t>
      </w:r>
      <w:r>
        <w:t xml:space="preserve"> </w:t>
      </w:r>
      <w:r>
        <w:t xml:space="preserve">The cue is not counted as a recalled item, does not make the cued film item unavailable for later recall, and adds no new learning.</w:t>
      </w:r>
      <w:r>
        <w:t xml:space="preserve"> </w:t>
      </w:r>
      <w:r>
        <w:t xml:space="preserve">Recall sampling then resumes from the updated context state.</w:t>
      </w:r>
    </w:p>
    <w:bookmarkEnd w:id="62"/>
    <w:bookmarkStart w:id="65" w:name="deliberate-recall-control"/>
    <w:p>
      <w:pPr>
        <w:pStyle w:val="Heading2"/>
      </w:pPr>
      <w:r>
        <w:t xml:space="preserve">Deliberate Recall Control</w:t>
      </w:r>
    </w:p>
    <w:p>
      <w:pPr>
        <w:pStyle w:val="FirstParagraph"/>
      </w:pPr>
      <w:r>
        <w:t xml:space="preserve">Deliberate recall uses the same sampling rule as unguided recall, with control settings applied before, during, or after sampling.</w:t>
      </w:r>
      <w:r>
        <w:t xml:space="preserve"> </w:t>
      </w:r>
      <w:r>
        <w:t xml:space="preserve">The control settings change the retrieval cue, candidate support, or sampled-item carryover without changing the film and task associations learned during encoding.</w:t>
      </w:r>
      <w:r>
        <w:t xml:space="preserve"> </w:t>
      </w:r>
      <w:r>
        <w:t xml:space="preserve">This lets the simulations test which retrieval operations increase film recall and which ones protect film recall from reminder-linked task competition.</w:t>
      </w:r>
    </w:p>
    <w:p>
      <w:pPr>
        <w:pStyle w:val="BodyText"/>
      </w:pPr>
      <w:r>
        <w:t xml:space="preserve">Start-of-film context reinstatement drifts context toward the state present at the beginning of film encoding before the first sampling step.</w:t>
      </w:r>
      <w:r>
        <w:t xml:space="preserve"> </w:t>
      </w:r>
      <w:r>
        <w:t xml:space="preserve">The retrieval context is drifted toward the context state used to begin the film sequence, with drift rate</w:t>
      </w:r>
      <w:r>
        <w:t xml:space="preserve"> </w:t>
      </w:r>
      <m:oMath>
        <m:sSub>
          <m:e>
            <m:r>
              <m:t>β</m:t>
            </m:r>
          </m:e>
          <m:sub>
            <m:r>
              <m:rPr>
                <m:sty m:val="p"/>
              </m:rPr>
              <m:t>s</m:t>
            </m:r>
            <m:r>
              <m:rPr>
                <m:sty m:val="p"/>
              </m:rPr>
              <m:t>t</m:t>
            </m:r>
            <m:r>
              <m:rPr>
                <m:sty m:val="p"/>
              </m:rPr>
              <m:t>a</m:t>
            </m:r>
            <m:r>
              <m:rPr>
                <m:sty m:val="p"/>
              </m:rPr>
              <m:t>r</m:t>
            </m:r>
            <m:r>
              <m:rPr>
                <m:sty m:val="p"/>
              </m:rPr>
              <m:t>t</m:t>
            </m:r>
          </m:sub>
        </m:sSub>
      </m:oMath>
      <w:r>
        <w:t xml:space="preserve">.</w:t>
      </w:r>
      <w:r>
        <w:t xml:space="preserve"> </w:t>
      </w:r>
      <w:r>
        <w:t xml:space="preserve">This can bias early sampling toward film candidates rather than starting from the ongoing context state produced by the final delay phase of the paradigm.</w:t>
      </w:r>
      <w:r>
        <w:t xml:space="preserve"> </w:t>
      </w:r>
      <w:r>
        <w:t xml:space="preserve">This control mechanism can therefore increase film recall.</w:t>
      </w:r>
      <w:r>
        <w:t xml:space="preserve"> </w:t>
      </w:r>
      <w:r>
        <w:t xml:space="preserve">However, because it still relies on film-associated context to cue candidates, it does not substantially protect deliberate recall from the interference effects of reminder-linked task encoding.</w:t>
      </w:r>
    </w:p>
    <w:p>
      <w:pPr>
        <w:pStyle w:val="BodyText"/>
      </w:pPr>
      <w:r>
        <w:t xml:space="preserve">In retrieved-context models of externalized free recall, monitoring is implemented as a post-sampling match check: rejected candidates are withheld as target responses but still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present simulations keep the post-sampling timing but change the consequence of sampled non-film candidates.</w:t>
      </w:r>
      <w:r>
        <w:t xml:space="preserve"> </w:t>
      </w:r>
      <w:r>
        <w:t xml:space="preserve">Post-retrieval context monitoring reduces the context update after sampled task or filler candidates.</w:t>
      </w:r>
      <w:r>
        <w:t xml:space="preserve"> </w:t>
      </w:r>
      <w:r>
        <w:t xml:space="preserve">Let</w:t>
      </w:r>
      <w:r>
        <w:t xml:space="preserve"> </w:t>
      </w:r>
      <m:oMath>
        <m:sSub>
          <m:e>
            <m:r>
              <m:t>κ</m:t>
            </m:r>
          </m:e>
          <m:sub>
            <m:r>
              <m:t>i</m:t>
            </m:r>
          </m:sub>
        </m:sSub>
        <m:r>
          <m:rPr>
            <m:sty m:val="p"/>
          </m:rPr>
          <m:t>=</m:t>
        </m:r>
        <m:r>
          <m:t>1</m:t>
        </m:r>
      </m:oMath>
      <w:r>
        <w:t xml:space="preserve"> </w:t>
      </w:r>
      <w:r>
        <w:t xml:space="preserve">for film candidates and</w:t>
      </w:r>
      <w:r>
        <w:t xml:space="preserve"> </w:t>
      </w:r>
      <m:oMath>
        <m:sSub>
          <m:e>
            <m:r>
              <m:t>κ</m:t>
            </m:r>
          </m:e>
          <m:sub>
            <m:r>
              <m:t>i</m:t>
            </m:r>
          </m:sub>
        </m:sSub>
        <m:r>
          <m:rPr>
            <m:sty m:val="p"/>
          </m:rPr>
          <m:t>=</m:t>
        </m:r>
        <m:r>
          <m:t>κ</m:t>
        </m:r>
      </m:oMath>
      <w:r>
        <w:t xml:space="preserve"> </w:t>
      </w:r>
      <w:r>
        <w:t xml:space="preserve">for task and filler candidates.</w:t>
      </w:r>
      <w:r>
        <w:t xml:space="preserve"> </w:t>
      </w:r>
      <w:r>
        <w:t xml:space="preserve">With monitoring, the sampled-item update becomes:</w:t>
      </w:r>
    </w:p>
    <w:p>
      <w:pPr>
        <w:pStyle w:val="BodyText"/>
      </w:pPr>
      <w:bookmarkStart w:id="63" w:name="eq-monitoring-update"/>
      <m:oMathPara>
        <m:oMathParaPr>
          <m:jc m:val="center"/>
        </m:oMathParaPr>
        <m:oMath>
          <m:sSub>
            <m:e>
              <m:r>
                <m:t>c</m:t>
              </m:r>
            </m:e>
            <m:sub>
              <m:r>
                <m:t>j</m:t>
              </m:r>
              <m:r>
                <m:rPr>
                  <m:sty m:val="p"/>
                </m:rPr>
                <m:t>+</m:t>
              </m:r>
              <m:r>
                <m:t>1</m:t>
              </m:r>
            </m:sub>
          </m:sSub>
          <m:r>
            <m:rPr>
              <m:sty m:val="p"/>
            </m:rPr>
            <m:t>=</m:t>
          </m:r>
          <m:sSub>
            <m:e>
              <m:r>
                <m:t>ρ</m:t>
              </m:r>
            </m:e>
            <m:sub>
              <m:r>
                <m:t>j</m:t>
              </m:r>
            </m:sub>
          </m:sSub>
          <m:d>
            <m:dPr>
              <m:begChr m:val="("/>
              <m:sepChr m:val=""/>
              <m:endChr m:val=")"/>
              <m:grow/>
            </m:dPr>
            <m:e>
              <m:sSub>
                <m:e>
                  <m:r>
                    <m:t>κ</m:t>
                  </m:r>
                </m:e>
                <m:sub>
                  <m:r>
                    <m:t>i</m:t>
                  </m:r>
                </m:sub>
              </m:sSub>
              <m:sSub>
                <m:e>
                  <m:r>
                    <m:t>β</m:t>
                  </m:r>
                </m:e>
                <m:sub>
                  <m:r>
                    <m:rPr>
                      <m:sty m:val="p"/>
                    </m:rPr>
                    <m:t>r</m:t>
                  </m:r>
                  <m:r>
                    <m:rPr>
                      <m:sty m:val="p"/>
                    </m:rPr>
                    <m:t>e</m:t>
                  </m:r>
                  <m:r>
                    <m:rPr>
                      <m:sty m:val="p"/>
                    </m:rPr>
                    <m:t>c</m:t>
                  </m:r>
                </m:sub>
              </m:sSub>
            </m:e>
          </m:d>
          <m:sSub>
            <m:e>
              <m:r>
                <m:t>c</m:t>
              </m:r>
            </m:e>
            <m:sub>
              <m:r>
                <m:t>j</m:t>
              </m:r>
            </m:sub>
          </m:sSub>
          <m:r>
            <m:rPr>
              <m:sty m:val="p"/>
            </m:rPr>
            <m:t>+</m:t>
          </m:r>
          <m:sSub>
            <m:e>
              <m:r>
                <m:t>κ</m:t>
              </m:r>
            </m:e>
            <m:sub>
              <m:r>
                <m:t>i</m:t>
              </m:r>
            </m:sub>
          </m:sSub>
          <m:sSub>
            <m:e>
              <m:r>
                <m:t>β</m:t>
              </m:r>
            </m:e>
            <m:sub>
              <m:r>
                <m:rPr>
                  <m:sty m:val="p"/>
                </m:rPr>
                <m:t>r</m:t>
              </m:r>
              <m:r>
                <m:rPr>
                  <m:sty m:val="p"/>
                </m:rPr>
                <m:t>e</m:t>
              </m:r>
              <m:r>
                <m:rPr>
                  <m:sty m:val="p"/>
                </m:rPr>
                <m:t>c</m:t>
              </m:r>
            </m:sub>
          </m:sSub>
          <m:acc>
            <m:accPr>
              <m:chr m:val="̂"/>
            </m:accPr>
            <m:e>
              <m:sSup>
                <m:e>
                  <m:r>
                    <m:t>M</m:t>
                  </m:r>
                </m:e>
                <m:sup>
                  <m:r>
                    <m:t>F</m:t>
                  </m:r>
                  <m:r>
                    <m:t>C</m:t>
                  </m:r>
                </m:sup>
              </m:sSup>
              <m:sSub>
                <m:e>
                  <m:r>
                    <m:t>f</m:t>
                  </m:r>
                </m:e>
                <m:sub>
                  <m:sSub>
                    <m:e>
                      <m:r>
                        <m:t>r</m:t>
                      </m:r>
                    </m:e>
                    <m:sub>
                      <m:r>
                        <m:t>j</m:t>
                      </m:r>
                    </m:sub>
                  </m:sSub>
                </m:sub>
              </m:sSub>
            </m:e>
          </m:acc>
          <m:r>
            <m:rPr>
              <m:sty m:val="p"/>
            </m:rPr>
            <m:t>.</m:t>
          </m:r>
          <m:r>
            <m:t>  </m:t>
          </m:r>
          <m:d>
            <m:dPr>
              <m:begChr m:val="("/>
              <m:sepChr m:val=""/>
              <m:endChr m:val=")"/>
              <m:grow/>
            </m:dPr>
            <m:e>
              <m:r>
                <m:t>13</m:t>
              </m:r>
            </m:e>
          </m:d>
        </m:oMath>
      </m:oMathPara>
      <w:bookmarkEnd w:id="63"/>
    </w:p>
    <w:p>
      <w:pPr>
        <w:pStyle w:val="FirstParagraph"/>
      </w:pPr>
      <w:r>
        <w:t xml:space="preserve">When</w:t>
      </w:r>
      <w:r>
        <w:t xml:space="preserve"> </w:t>
      </w:r>
      <m:oMath>
        <m:r>
          <m:t>κ</m:t>
        </m:r>
        <m:r>
          <m:rPr>
            <m:sty m:val="p"/>
          </m:rPr>
          <m:t>&lt;</m:t>
        </m:r>
        <m:r>
          <m:t>1</m:t>
        </m:r>
      </m:oMath>
      <w:r>
        <w:t xml:space="preserve">, sampled non-film candidates still count as sampled outputs but context is updated less strongly toward their associated context.</w:t>
      </w:r>
      <w:r>
        <w:t xml:space="preserve"> </w:t>
      </w:r>
      <w:r>
        <w:t xml:space="preserve">This reduces carryover from sampled task or filler candidates without changing the candidate support that made them available.</w:t>
      </w:r>
      <w:r>
        <w:t xml:space="preserve"> </w:t>
      </w:r>
      <w:r>
        <w:t xml:space="preserve">Like start-of-film reinstatement, this operation does not by itself remove task support from film-associated context.</w:t>
      </w:r>
    </w:p>
    <w:p>
      <w:pPr>
        <w:pStyle w:val="BodyText"/>
      </w:pPr>
      <w:r>
        <w:t xml:space="preserve">The maintained film-retrieval goal is specified as a retrieval-stage film-category cue.</w:t>
      </w:r>
      <w:r>
        <w:t xml:space="preserve"> </w:t>
      </w:r>
      <w:r>
        <w:t xml:space="preserve">This term abstracts the kind of semantic or category support used in retrieved-context models of selective recall, rather than updating temporal or source context during retrieval</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11semantic">
        <w:r>
          <w:rPr>
            <w:rStyle w:val="Hyperlink"/>
          </w:rPr>
          <w:t xml:space="preserve">Polyn et al., 2011</w:t>
        </w:r>
      </w:hyperlink>
      <w:r>
        <w:t xml:space="preserve">)</w:t>
      </w:r>
      <w:r>
        <w:t xml:space="preserve">.</w:t>
      </w:r>
      <w:r>
        <w:t xml:space="preserve"> </w:t>
      </w:r>
      <w:r>
        <w:t xml:space="preserve">The goal adds support to candidates marked as film items during sampling:</w:t>
      </w:r>
    </w:p>
    <w:p>
      <w:pPr>
        <w:pStyle w:val="BodyText"/>
      </w:pPr>
      <w:bookmarkStart w:id="64" w:name="eq-film-goal-support"/>
      <m:oMathPara>
        <m:oMathParaPr>
          <m:jc m:val="center"/>
        </m:oMathParaPr>
        <m:oMath>
          <m:sSubSup>
            <m:e>
              <m:r>
                <m:t>a</m:t>
              </m:r>
            </m:e>
            <m:sub>
              <m:r>
                <m:t>i</m:t>
              </m:r>
              <m:r>
                <m:rPr>
                  <m:sty m:val="p"/>
                </m:rPr>
                <m:t>,</m:t>
              </m:r>
              <m:r>
                <m:t>j</m:t>
              </m:r>
            </m:sub>
            <m:sup>
              <m:r>
                <m:rPr>
                  <m:sty m:val="p"/>
                </m:rPr>
                <m:t>g</m:t>
              </m:r>
              <m:r>
                <m:rPr>
                  <m:sty m:val="p"/>
                </m:rPr>
                <m:t>o</m:t>
              </m:r>
              <m:r>
                <m:rPr>
                  <m:sty m:val="p"/>
                </m:rPr>
                <m:t>a</m:t>
              </m:r>
              <m:r>
                <m:rPr>
                  <m:sty m:val="p"/>
                </m:rPr>
                <m:t>l</m:t>
              </m:r>
            </m:sup>
          </m:sSubSup>
          <m:r>
            <m:rPr>
              <m:sty m:val="p"/>
            </m:rPr>
            <m:t>=</m:t>
          </m:r>
          <m:sSub>
            <m:e>
              <m:r>
                <m:t>a</m:t>
              </m:r>
            </m:e>
            <m:sub>
              <m:r>
                <m:t>i</m:t>
              </m:r>
              <m:r>
                <m:rPr>
                  <m:sty m:val="p"/>
                </m:rPr>
                <m:t>,</m:t>
              </m:r>
              <m:r>
                <m:t>j</m:t>
              </m:r>
            </m:sub>
          </m:sSub>
          <m:r>
            <m:rPr>
              <m:sty m:val="p"/>
            </m:rPr>
            <m:t>+</m:t>
          </m:r>
          <m:sSub>
            <m:e>
              <m:r>
                <m:t>ω</m:t>
              </m:r>
            </m:e>
            <m:sub>
              <m:r>
                <m:rPr>
                  <m:sty m:val="p"/>
                </m:rPr>
                <m:t>g</m:t>
              </m:r>
              <m:r>
                <m:rPr>
                  <m:sty m:val="p"/>
                </m:rPr>
                <m:t>o</m:t>
              </m:r>
              <m:r>
                <m:rPr>
                  <m:sty m:val="p"/>
                </m:rPr>
                <m:t>a</m:t>
              </m:r>
              <m:r>
                <m:rPr>
                  <m:sty m:val="p"/>
                </m:rPr>
                <m:t>l</m:t>
              </m:r>
            </m:sub>
          </m:sSub>
          <m:sSub>
            <m:e>
              <m:r>
                <m:t>g</m:t>
              </m:r>
            </m:e>
            <m:sub>
              <m:r>
                <m:t>i</m:t>
              </m:r>
            </m:sub>
          </m:sSub>
          <m:r>
            <m:rPr>
              <m:sty m:val="p"/>
            </m:rPr>
            <m:t>.</m:t>
          </m:r>
          <m:r>
            <m:t>  </m:t>
          </m:r>
          <m:d>
            <m:dPr>
              <m:begChr m:val="("/>
              <m:sepChr m:val=""/>
              <m:endChr m:val=")"/>
              <m:grow/>
            </m:dPr>
            <m:e>
              <m:r>
                <m:t>14</m:t>
              </m:r>
            </m:e>
          </m:d>
        </m:oMath>
      </m:oMathPara>
      <w:bookmarkEnd w:id="64"/>
    </w:p>
    <w:p>
      <w:pPr>
        <w:pStyle w:val="FirstParagraph"/>
      </w:pPr>
      <w:r>
        <w:t xml:space="preserve">Here,</w:t>
      </w:r>
      <w:r>
        <w:t xml:space="preserve"> </w:t>
      </w:r>
      <m:oMath>
        <m:sSub>
          <m:e>
            <m:r>
              <m:t>g</m:t>
            </m:r>
          </m:e>
          <m:sub>
            <m:r>
              <m:t>i</m:t>
            </m:r>
          </m:sub>
        </m:sSub>
        <m:r>
          <m:rPr>
            <m:sty m:val="p"/>
          </m:rPr>
          <m:t>=</m:t>
        </m:r>
        <m:r>
          <m:t>1</m:t>
        </m:r>
      </m:oMath>
      <w:r>
        <w:t xml:space="preserve"> </w:t>
      </w:r>
      <w:r>
        <w:t xml:space="preserve">for film candidates and</w:t>
      </w:r>
      <w:r>
        <w:t xml:space="preserve"> </w:t>
      </w:r>
      <m:oMath>
        <m:sSub>
          <m:e>
            <m:r>
              <m:t>g</m:t>
            </m:r>
          </m:e>
          <m:sub>
            <m:r>
              <m:t>i</m:t>
            </m:r>
          </m:sub>
        </m:sSub>
        <m:r>
          <m:rPr>
            <m:sty m:val="p"/>
          </m:rPr>
          <m:t>=</m:t>
        </m:r>
        <m:r>
          <m:t>0</m:t>
        </m:r>
      </m:oMath>
      <w:r>
        <w:t xml:space="preserve"> </w:t>
      </w:r>
      <w:r>
        <w:t xml:space="preserve">for task and filler candidates.</w:t>
      </w:r>
      <w:r>
        <w:t xml:space="preserve"> </w:t>
      </w:r>
      <w:r>
        <w:t xml:space="preserve">The indicator</w:t>
      </w:r>
      <w:r>
        <w:t xml:space="preserve"> </w:t>
      </w:r>
      <m:oMath>
        <m:sSub>
          <m:e>
            <m:r>
              <m:t>g</m:t>
            </m:r>
          </m:e>
          <m:sub>
            <m:r>
              <m:t>i</m:t>
            </m:r>
          </m:sub>
        </m:sSub>
      </m:oMath>
      <w:r>
        <w:t xml:space="preserve"> </w:t>
      </w:r>
      <w:r>
        <w:t xml:space="preserve">is a retrieval-control cue, distinct from the source feature vector</w:t>
      </w:r>
      <w:r>
        <w:t xml:space="preserve"> </w:t>
      </w:r>
      <m:oMath>
        <m:sSub>
          <m:e>
            <m:r>
              <m:t>s</m:t>
            </m:r>
          </m:e>
          <m:sub>
            <m:r>
              <m:t>i</m:t>
            </m:r>
          </m:sub>
        </m:sSub>
      </m:oMath>
      <w:r>
        <w:t xml:space="preserve"> </w:t>
      </w:r>
      <w:r>
        <w:t xml:space="preserve">used during encoding.</w:t>
      </w:r>
      <w:r>
        <w:t xml:space="preserve"> </w:t>
      </w:r>
      <w:r>
        <w:t xml:space="preserve">Task items encoded in film-overlapping context can still compete through</w:t>
      </w:r>
      <w:r>
        <w:t xml:space="preserve"> </w:t>
      </w:r>
      <m:oMath>
        <m:sSub>
          <m:e>
            <m:r>
              <m:t>a</m:t>
            </m:r>
          </m:e>
          <m:sub>
            <m:r>
              <m:t>i</m:t>
            </m:r>
            <m:r>
              <m:rPr>
                <m:sty m:val="p"/>
              </m:rPr>
              <m:t>,</m:t>
            </m:r>
            <m:r>
              <m:t>j</m:t>
            </m:r>
          </m:sub>
        </m:sSub>
      </m:oMath>
      <w:r>
        <w:t xml:space="preserve">, but they do not receive the film-category increment.</w:t>
      </w:r>
      <w:r>
        <w:t xml:space="preserve"> </w:t>
      </w:r>
      <w:r>
        <w:t xml:space="preserve">Therefore, unlike start-of-film reinstatement and post-sampling monitoring, the maintained film-retrieval goal can reduce the impact of reminder-linked task encoding on film recall.</w:t>
      </w:r>
    </w:p>
    <w:p>
      <w:pPr>
        <w:pStyle w:val="BodyText"/>
      </w:pPr>
      <w:r>
        <w:t xml:space="preserve">The three evaluated control mechanisms therefore enter the same retrieval cycle at different points: start-state reinstatement before sampling, film-category support during sampling, and monitoring after sampling.</w:t>
      </w:r>
    </w:p>
    <w:bookmarkEnd w:id="65"/>
    <w:bookmarkStart w:id="67" w:name="supplied-item-recognition"/>
    <w:p>
      <w:pPr>
        <w:pStyle w:val="Heading2"/>
      </w:pPr>
      <w:r>
        <w:t xml:space="preserve">Supplied-Item Recognition</w:t>
      </w:r>
    </w:p>
    <w:p>
      <w:pPr>
        <w:pStyle w:val="FirstParagraph"/>
      </w:pPr>
      <w:r>
        <w:t xml:space="preserve">Recognition begins with a supplied candidate item rather than a sampled recall candidate.</w:t>
      </w:r>
      <w:r>
        <w:t xml:space="preserve"> </w:t>
      </w:r>
      <w:r>
        <w:t xml:space="preserve">A presented film item retrieves associated context through the same feature-to-context associations used by reminders, cues, and sampled items.</w:t>
      </w:r>
      <w:r>
        <w:t xml:space="preserve"> </w:t>
      </w:r>
      <w:r>
        <w:t xml:space="preserve">Following retrieved-context accounts of recognition, recognition evidence is the match between the context retrieved by the probe and the context active during the test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 </w:t>
      </w:r>
      <w:hyperlink w:anchor="ref-lohnas2015expanding">
        <w:r>
          <w:rPr>
            <w:rStyle w:val="Hyperlink"/>
          </w:rPr>
          <w:t xml:space="preserve">Lohnas et al., 2015</w:t>
        </w:r>
      </w:hyperlink>
      <w:r>
        <w:t xml:space="preserve">)</w:t>
      </w:r>
      <w:r>
        <w:t xml:space="preserve">:</w:t>
      </w:r>
    </w:p>
    <w:p>
      <w:pPr>
        <w:pStyle w:val="BodyText"/>
      </w:pPr>
      <w:bookmarkStart w:id="66" w:name="eq-recognition-evidence"/>
      <m:oMathPara>
        <m:oMathParaPr>
          <m:jc m:val="center"/>
        </m:oMathParaPr>
        <m:oMath>
          <m:sSub>
            <m:e>
              <m:r>
                <m:t>e</m:t>
              </m:r>
            </m:e>
            <m:sub>
              <m:r>
                <m:t>q</m:t>
              </m:r>
            </m:sub>
          </m:sSub>
          <m:r>
            <m:rPr>
              <m:sty m:val="p"/>
            </m:rPr>
            <m:t>=</m:t>
          </m:r>
          <m:sSup>
            <m:e>
              <m:d>
                <m:dPr>
                  <m:begChr m:val="("/>
                  <m:sepChr m:val=""/>
                  <m:endChr m:val=")"/>
                  <m:grow/>
                </m:dPr>
                <m:e>
                  <m:sSup>
                    <m:e>
                      <m:r>
                        <m:t>M</m:t>
                      </m:r>
                    </m:e>
                    <m:sup>
                      <m:r>
                        <m:t>F</m:t>
                      </m:r>
                      <m:r>
                        <m:t>C</m:t>
                      </m:r>
                    </m:sup>
                  </m:sSup>
                  <m:sSub>
                    <m:e>
                      <m:r>
                        <m:t>f</m:t>
                      </m:r>
                    </m:e>
                    <m:sub>
                      <m:r>
                        <m:t>q</m:t>
                      </m:r>
                    </m:sub>
                  </m:sSub>
                </m:e>
              </m:d>
            </m:e>
            <m:sup>
              <m:r>
                <m:rPr>
                  <m:sty m:val="p"/>
                </m:rPr>
                <m:t>⊤</m:t>
              </m:r>
            </m:sup>
          </m:sSup>
          <m:sSub>
            <m:e>
              <m:r>
                <m:t>c</m:t>
              </m:r>
            </m:e>
            <m:sub>
              <m:r>
                <m:rPr>
                  <m:sty m:val="p"/>
                </m:rPr>
                <m:t>t</m:t>
              </m:r>
              <m:r>
                <m:rPr>
                  <m:sty m:val="p"/>
                </m:rPr>
                <m:t>e</m:t>
              </m:r>
              <m:r>
                <m:rPr>
                  <m:sty m:val="p"/>
                </m:rPr>
                <m:t>s</m:t>
              </m:r>
              <m:r>
                <m:rPr>
                  <m:sty m:val="p"/>
                </m:rPr>
                <m:t>t</m:t>
              </m:r>
            </m:sub>
          </m:sSub>
          <m:r>
            <m:rPr>
              <m:sty m:val="p"/>
            </m:rPr>
            <m:t>.</m:t>
          </m:r>
          <m:r>
            <m:t>  </m:t>
          </m:r>
          <m:d>
            <m:dPr>
              <m:begChr m:val="("/>
              <m:sepChr m:val=""/>
              <m:endChr m:val=")"/>
              <m:grow/>
            </m:dPr>
            <m:e>
              <m:r>
                <m:t>15</m:t>
              </m:r>
            </m:e>
          </m:d>
        </m:oMath>
      </m:oMathPara>
      <w:bookmarkEnd w:id="66"/>
    </w:p>
    <w:p>
      <w:pPr>
        <w:pStyle w:val="FirstParagraph"/>
      </w:pPr>
      <w:r>
        <w:t xml:space="preserve">The simulations use this evidence as a supplied-item access step rather than a full recognition-decision model.</w:t>
      </w:r>
      <w:r>
        <w:t xml:space="preserve"> </w:t>
      </w:r>
      <w:r>
        <w:t xml:space="preserve">A recognition probe can update context after evidence is scored, but it is not treated as a recalled output.</w:t>
      </w:r>
      <w:r>
        <w:t xml:space="preserve"> </w:t>
      </w:r>
      <w:r>
        <w:t xml:space="preserve">It does not enter the recallable candidate set, make the probed item unavailable for later recall, or add new learning.</w:t>
      </w:r>
      <w:r>
        <w:t xml:space="preserve"> </w:t>
      </w:r>
      <w:r>
        <w:t xml:space="preserve">This implements the focal distinction between recognition and context-guided recall measures in the trauma-film paradigm: recall requires film material to be selected from context-supported candidates, whereas recognition starts with the candidate item and evaluates the context it retrieves.</w:t>
      </w:r>
    </w:p>
    <w:bookmarkEnd w:id="67"/>
    <w:bookmarkEnd w:id="68"/>
    <w:bookmarkStart w:id="110" w:name="simulations"/>
    <w:p>
      <w:pPr>
        <w:pStyle w:val="Heading1"/>
      </w:pPr>
      <w:r>
        <w:t xml:space="preserve">Simulations</w:t>
      </w:r>
    </w:p>
    <w:p>
      <w:pPr>
        <w:pStyle w:val="FirstParagraph"/>
      </w:pPr>
      <w:r>
        <w:t xml:space="preserve">The simulations instantiate the retrieved-context account by mapping the trauma-film paradigm onto sequences of film, delay, task, and filler events.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contrasting unguided retrieval with deliberate recall and examining control mechanisms that could protect film recall.</w:t>
      </w:r>
      <w:r>
        <w:t xml:space="preserve"> </w:t>
      </w:r>
      <w:r>
        <w:t xml:space="preserve">The recognition simulation then examines a boundary case in which the test supplies a candidate film item for judgment rather than requiring that item to be sampled from context.</w:t>
      </w:r>
      <w:r>
        <w:t xml:space="preserve"> </w:t>
      </w:r>
      <w:r>
        <w:t xml:space="preserve">Together, these simulations show how selective interference can arise from reminder-linked competitor encoding and retrieval conditions that differ in how they access or support film material.</w:t>
      </w:r>
    </w:p>
    <w:bookmarkStart w:id="70" w:name="methodology"/>
    <w:p>
      <w:pPr>
        <w:pStyle w:val="Heading2"/>
      </w:pPr>
      <w:r>
        <w:t xml:space="preserve">Methodology</w:t>
      </w:r>
    </w:p>
    <w:p>
      <w:pPr>
        <w:pStyle w:val="FirstParagraph"/>
      </w:pPr>
      <w:r>
        <w:t xml:space="preserve">The simulations require default values for context drift, associative learning, sampling, and stopping before the trauma-film manipulations are applied.</w:t>
      </w:r>
      <w:r>
        <w:t xml:space="preserve"> </w:t>
      </w:r>
      <w:r>
        <w:t xml:space="preserve">Estimating those values from selective-interference data would require the full modeled paradigm together with trial-by-trial recall sequences that identify which film, task, and non-film candidates entered retrieval.</w:t>
      </w:r>
      <w:r>
        <w:t xml:space="preserve"> </w:t>
      </w:r>
      <w:r>
        <w:t xml:space="preserve">Existing trauma-film studies define the target phenomenon, but they typically report intrusion counts or final memory scores rather than the sequence-level data needed to estimate retrieval competition.</w:t>
      </w:r>
      <w:r>
        <w:t xml:space="preserve"> </w:t>
      </w:r>
      <w:r>
        <w:t xml:space="preserve">We therefore use an immediate affective free-recall dataset to set the model’s core encoding, retrieval, and stopping parameters.</w:t>
      </w:r>
    </w:p>
    <w:p>
      <w:pPr>
        <w:pStyle w:val="BodyText"/>
      </w:pPr>
      <w:r>
        <w:t xml:space="preserve">In that dataset, participants who reported concern about the war in Ukraine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Parameters were estimated from the ordered recall sequences using the model likelihood, yielding a pooled parameter regime rather than separate fits to the selective-interference simulations.</w:t>
      </w:r>
      <w:r>
        <w:t xml:space="preserve"> </w:t>
      </w:r>
      <w:r>
        <w:t xml:space="preserve">The resulting parameter values provide a starting regime for context-guided recall of affective and neutral photographs.</w:t>
      </w:r>
    </w:p>
    <w:p>
      <w:pPr>
        <w:pStyle w:val="BodyText"/>
      </w:pPr>
      <w:r>
        <w:t xml:space="preserve">The selective-interference simulations then add the trauma-film phase structure, reminder manipulation, task-encoding manipulation, and retrieval-control settings.</w:t>
      </w:r>
      <w:r>
        <w:t xml:space="preserve"> </w:t>
      </w:r>
      <w:r>
        <w:t xml:space="preserve">Additional implementation settings adapt this regime to the trauma-film sequence.</w:t>
      </w:r>
      <w:r>
        <w:t xml:space="preserve"> </w:t>
      </w:r>
      <w:r>
        <w:t xml:space="preserve">Film items reinstate the marked source feature into source context, neutral/default events can weakly bind active source context, and retrieval begins with partial film-source reinstatement.</w:t>
      </w:r>
      <w:r>
        <w:t xml:space="preserve"> </w:t>
      </w:r>
      <w:r>
        <w:t xml:space="preserve">The primacy profile is also moderated relative to the immediate-recall fit so that the shorter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simulations.</w:t>
      </w:r>
    </w:p>
    <w:bookmarkStart w:id="69" w:name="tbl-simulation-parameters"/>
    <w:p>
      <w:pPr>
        <w:pStyle w:val="FigureTitle"/>
      </w:pPr>
      <w:r>
        <w:t xml:space="preserve">Table 2</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Drift toward item-cued context during encoding</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Drift toward the start context during start-of-film reinstatement</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Drift toward sampled-item context during recall</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w:t>
            </w:r>
          </w:p>
        </w:tc>
      </w:tr>
      <w:tr>
        <w:tc>
          <w:tcPr/>
          <w:p>
            <w:pPr>
              <w:pStyle w:val="Compact"/>
            </w:pPr>
            <m:oMath>
              <m:r>
                <m:t>δ</m:t>
              </m:r>
            </m:oMath>
          </w:p>
        </w:tc>
        <w:tc>
          <w:tcPr/>
          <w:p>
            <w:pPr>
              <w:pStyle w:val="Compact"/>
              <w:jc w:val="right"/>
            </w:pPr>
            <w:r>
              <w:t xml:space="preserve">0.00022</w:t>
            </w:r>
          </w:p>
        </w:tc>
        <w:tc>
          <w:tcPr/>
          <w:p>
            <w:pPr>
              <w:pStyle w:val="Compact"/>
            </w:pPr>
            <w:r>
              <w:t xml:space="preserve">Initial support from each item’s paired context unit</w:t>
            </w:r>
          </w:p>
        </w:tc>
      </w:tr>
      <w:tr>
        <w:tc>
          <w:tcPr/>
          <w:p>
            <w:pPr>
              <w:pStyle w:val="Compact"/>
            </w:pPr>
            <m:oMath>
              <m:r>
                <m:t>α</m:t>
              </m:r>
            </m:oMath>
          </w:p>
        </w:tc>
        <w:tc>
          <w:tcPr/>
          <w:p>
            <w:pPr>
              <w:pStyle w:val="Compact"/>
              <w:jc w:val="right"/>
            </w:pPr>
            <w:r>
              <w:t xml:space="preserve">0</w:t>
            </w:r>
          </w:p>
        </w:tc>
        <w:tc>
          <w:tcPr/>
          <w:p>
            <w:pPr>
              <w:pStyle w:val="Compact"/>
            </w:pPr>
            <w:r>
              <w:t xml:space="preserve">Initial background support from other item-associated context units</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Scale parameter for the primacy profile</w:t>
            </w:r>
            <w:r>
              <w:t xml:space="preserve"> </w:t>
            </w:r>
            <m:oMath>
              <m:sSub>
                <m:e>
                  <m:r>
                    <m:t>ϕ</m:t>
                  </m:r>
                </m:e>
                <m:sub>
                  <m:r>
                    <m:t>i</m:t>
                  </m:r>
                </m:sub>
              </m:sSub>
            </m:oMath>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Decay parameter for the primacy profile</w:t>
            </w:r>
            <w:r>
              <w:t xml:space="preserve"> </w:t>
            </w:r>
            <m:oMath>
              <m:sSub>
                <m:e>
                  <m:r>
                    <m:t>ϕ</m:t>
                  </m:r>
                </m:e>
                <m:sub>
                  <m:r>
                    <m:t>i</m:t>
                  </m:r>
                </m:sub>
              </m:sSub>
            </m:oMath>
          </w:p>
        </w:tc>
      </w:tr>
      <w:tr>
        <w:tc>
          <w:tcPr/>
          <w:p>
            <w:pPr>
              <w:pStyle w:val="Compact"/>
            </w:pPr>
            <m:oMath>
              <m:r>
                <m:t>τ</m:t>
              </m:r>
            </m:oMath>
          </w:p>
        </w:tc>
        <w:tc>
          <w:tcPr/>
          <w:p>
            <w:pPr>
              <w:pStyle w:val="Compact"/>
              <w:jc w:val="right"/>
            </w:pPr>
            <w:r>
              <w:t xml:space="preserve">3.562</w:t>
            </w:r>
          </w:p>
        </w:tc>
        <w:tc>
          <w:tcPr/>
          <w:p>
            <w:pPr>
              <w:pStyle w:val="Compact"/>
            </w:pPr>
            <w:r>
              <w:t xml:space="preserve">Luce-choice exponent for candidate sampling</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Drift toward the active source feature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Added source-context learning for film items</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 for all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Partial film-source reinstatement before recall</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Initial scale of the position-dependent stopping hazard</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Growth of the stopping hazard across sampled outputs</w:t>
            </w:r>
          </w:p>
        </w:tc>
      </w:tr>
    </w:tbl>
    <w:bookmarkEnd w:id="69"/>
    <w:p>
      <w:pPr>
        <w:pStyle w:val="AfterWithoutNote"/>
      </w:pPr>
      <w:r>
        <w:t xml:space="preserve">In all simulations, the model first encodes the paradigm events and then enters retrieval.</w:t>
      </w:r>
      <w:r>
        <w:t xml:space="preserve"> </w:t>
      </w:r>
      <w:r>
        <w:t xml:space="preserve">Film, break/buffer, task, and filler items are encoded by the CMR operations defined above.</w:t>
      </w:r>
      <w:r>
        <w:t xml:space="preserve"> </w:t>
      </w:r>
      <w:r>
        <w:t xml:space="preserve">Each simulated trial contains 16 film items, 16 break/buffer items, 16 task items, and 16 filler items unless otherwise noted.</w:t>
      </w:r>
      <w:r>
        <w:t xml:space="preserve"> </w:t>
      </w:r>
      <w:r>
        <w:t xml:space="preserve">Break/buffer items implement the delay before the reminder or task, and filler items implement the post-task delay.</w:t>
      </w:r>
      <w:r>
        <w:t xml:space="preserve"> </w:t>
      </w:r>
      <w:r>
        <w:t xml:space="preserve">Equal phase lengths make redistribution across film, task, and filler periods directly comparable.</w:t>
      </w:r>
    </w:p>
    <w:p>
      <w:pPr>
        <w:pStyle w:val="BodyText"/>
      </w:pPr>
      <w:r>
        <w:t xml:space="preserve">Reminder cues and test-phase film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they do not add recallable items or new item-context learning.</w:t>
      </w:r>
      <w:r>
        <w:t xml:space="preserve"> </w:t>
      </w:r>
      <w:r>
        <w:t xml:space="preserve">Simulations that present candidate item information in a different test format specify that route separately.</w:t>
      </w:r>
      <w:r>
        <w:t xml:space="preserve"> </w:t>
      </w:r>
      <w:r>
        <w:t xml:space="preserve">In context-to-item recall simulations, all encoded film, break/buffer, task, and filler items can enter the retrieval competition.</w:t>
      </w:r>
      <w:r>
        <w:t xml:space="preserve"> </w:t>
      </w:r>
      <w:r>
        <w:t xml:space="preserve">Retrieval allows up to 48 sampling steps, and sampled items are removed from the candidate set so the same item is not sampled twice.</w:t>
      </w:r>
      <w:r>
        <w:t xml:space="preserve"> </w:t>
      </w:r>
      <w:r>
        <w:t xml:space="preserve">The simulated retrieval sequence records sampled candidates by type and encoded position, rather than only final film counts.</w:t>
      </w:r>
      <w:r>
        <w:t xml:space="preserve"> </w:t>
      </w:r>
      <w:r>
        <w:t xml:space="preserve">This convention makes it possible to examine predictions about how interference redistributes recall across the encoded stream, rather than only reporting final recall counts.</w:t>
      </w:r>
    </w:p>
    <w:p>
      <w:pPr>
        <w:pStyle w:val="BodyText"/>
      </w:pPr>
      <w:r>
        <w:t xml:space="preserve">Parameter sweeps rerun the full encode-then-retrieve simulation across planned values of a manipulated parameter.</w:t>
      </w:r>
      <w:r>
        <w:t xml:space="preserve"> </w:t>
      </w:r>
      <w:r>
        <w:t xml:space="preserve">For each condition and manipulated parameter value, the model first completes the phase sequence, then enters retrieval and samples recallable items using</w:t>
      </w:r>
      <w:r>
        <w:t xml:space="preserve"> </w:t>
      </w:r>
      <w:hyperlink w:anchor="eq-luce-choice">
        <w:r>
          <w:rPr>
            <w:rStyle w:val="Hyperlink"/>
          </w:rPr>
          <w:t xml:space="preserve">Equation 10</w:t>
        </w:r>
      </w:hyperlink>
      <w:r>
        <w:t xml:space="preserve"> </w:t>
      </w:r>
      <w:r>
        <w:t xml:space="preserve">and</w:t>
      </w:r>
      <w:r>
        <w:t xml:space="preserve"> </w:t>
      </w:r>
      <w:hyperlink w:anchor="eq-stopping">
        <w:r>
          <w:rPr>
            <w:rStyle w:val="Hyperlink"/>
          </w:rPr>
          <w:t xml:space="preserve">Equation 11</w:t>
        </w:r>
      </w:hyperlink>
      <w:r>
        <w:t xml:space="preserve">.</w:t>
      </w:r>
      <w:r>
        <w:t xml:space="preserve"> </w:t>
      </w:r>
      <w:r>
        <w:t xml:space="preserve">This procedure is repeated across simulated trials within each cell.</w:t>
      </w:r>
      <w:r>
        <w:t xml:space="preserve"> </w:t>
      </w:r>
      <w:r>
        <w:t xml:space="preserve">When figures plot recall across the encoded stream, they summarize retrieval after the full phase sequence has been encoded.</w:t>
      </w:r>
      <w:r>
        <w:t xml:space="preserve"> </w:t>
      </w:r>
      <w:r>
        <w:t xml:space="preserve">Serial-position curves plot the proportion of trials in which each encoding position was retrieved, and phase summaries average those proportions within each phase.</w:t>
      </w:r>
      <w:r>
        <w:t xml:space="preserve"> </w:t>
      </w:r>
      <w:r>
        <w:t xml:space="preserve">Thus, position and phase labels identify encoding positions, whereas recall probabilities refer to subsequent retrieval.</w:t>
      </w:r>
    </w:p>
    <w:bookmarkEnd w:id="70"/>
    <w:bookmarkStart w:id="83" w:name="X2c2b19ca61f0d8679fb357e3aa386e7efdd5f9f"/>
    <w:p>
      <w:pPr>
        <w:pStyle w:val="Heading2"/>
      </w:pPr>
      <w:r>
        <w:t xml:space="preserve">Simulation 1: Task Encoding and Contextual Overlap</w:t>
      </w:r>
    </w:p>
    <w:p>
      <w:pPr>
        <w:pStyle w:val="FirstParagraph"/>
      </w:pPr>
      <w:r>
        <w:t xml:space="preserve">Simulation 1 tests whether reminder-linked task encoding can create competitors for unguided film recall.</w:t>
      </w:r>
      <w:r>
        <w:t xml:space="preserve"> </w:t>
      </w:r>
      <w:r>
        <w:t xml:space="preserve">Retrieval settings are held fixed, so differences across conditions reflect associations formed before retrieval rather than deliberate control.</w:t>
      </w:r>
      <w:r>
        <w:t xml:space="preserve"> </w:t>
      </w:r>
      <w:r>
        <w:t xml:space="preserve">The design crosses pre-task reminder presence with task encoding strength while weak film cues are supplied periodically during recall in all conditions.</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5</w:t>
        </w:r>
      </w:hyperlink>
      <w:r>
        <w:t xml:space="preserve"> </w:t>
      </w:r>
      <w:r>
        <w:t xml:space="preserve">or</w:t>
      </w:r>
      <w:r>
        <w:t xml:space="preserve"> </w:t>
      </w:r>
      <w:hyperlink w:anchor="eq-mcf-learning">
        <w:r>
          <w:rPr>
            <w:rStyle w:val="Hyperlink"/>
          </w:rPr>
          <w:t xml:space="preserve">Equation 6</w:t>
        </w:r>
      </w:hyperlink>
      <w:r>
        <w:t xml:space="preserve"> </w:t>
      </w:r>
      <w:r>
        <w:t xml:space="preserve">and without adding recallable items.</w:t>
      </w:r>
      <w:r>
        <w:t xml:space="preserve"> </w:t>
      </w:r>
      <w:r>
        <w:t xml:space="preserve">Task encoding strength is modeled as a multiplier on task-phase context-to-feature learning in</w:t>
      </w:r>
      <w:r>
        <w:t xml:space="preserve"> </w:t>
      </w:r>
      <w:hyperlink w:anchor="eq-mcf-learning">
        <w:r>
          <w:rPr>
            <w:rStyle w:val="Hyperlink"/>
          </w:rPr>
          <w:t xml:space="preserve">Equation 6</w:t>
        </w:r>
      </w:hyperlink>
      <w:r>
        <w:t xml:space="preserve">.</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hyperlink w:anchor="fig-simulation1-unguided-sequence">
        <w:r>
          <w:rPr>
            <w:rStyle w:val="Hyperlink"/>
          </w:rPr>
          <w:t xml:space="preserve">Figure 5</w:t>
        </w:r>
      </w:hyperlink>
      <w:r>
        <w:t xml:space="preserve"> </w:t>
      </w:r>
      <w:r>
        <w:t xml:space="preserve">shows the aggregate result.</w:t>
      </w:r>
      <w:r>
        <w:t xml:space="preserve"> </w:t>
      </w:r>
      <w:r>
        <w:t xml:space="preserve">Film recall is lowest when strong task encoding follows a film reminder, and task output increases in the same condition.</w:t>
      </w:r>
      <w:r>
        <w:t xml:space="preserve"> </w:t>
      </w:r>
      <w:r>
        <w:t xml:space="preserve">The film loss therefore reflects redistribution toward task competitors under fixed retrieval settings.</w:t>
      </w:r>
      <w:r>
        <w:t xml:space="preserve"> </w:t>
      </w:r>
      <w:hyperlink w:anchor="fig-simulation1-recall-distributions">
        <w:r>
          <w:rPr>
            <w:rStyle w:val="Hyperlink"/>
          </w:rPr>
          <w:t xml:space="preserve">Figure 6</w:t>
        </w:r>
      </w:hyperlink>
      <w:r>
        <w:t xml:space="preserve"> </w:t>
      </w:r>
      <w:r>
        <w:t xml:space="preserve">shows that the redistribution is position-resolved.</w:t>
      </w:r>
      <w:r>
        <w:t xml:space="preserve"> </w:t>
      </w:r>
      <w:r>
        <w:t xml:space="preserve">Without a pre-task film reminder, increasing the task encoding multiplier produces only modest film loss and task gain,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78"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6" name="Picture"/>
            <a:graphic>
              <a:graphicData uri="http://schemas.openxmlformats.org/drawingml/2006/picture">
                <pic:pic>
                  <pic:nvPicPr>
                    <pic:cNvPr descr="work/simulation1_unguided_cued/simulation1_unguided_cued_recall_distributions.png" id="77" name="Picture"/>
                    <pic:cNvPicPr>
                      <a:picLocks noChangeArrowheads="1" noChangeAspect="1"/>
                    </pic:cNvPicPr>
                  </pic:nvPicPr>
                  <pic:blipFill>
                    <a:blip r:embed="rId75"/>
                    <a:stretch>
                      <a:fillRect/>
                    </a:stretch>
                  </pic:blipFill>
                  <pic:spPr bwMode="auto">
                    <a:xfrm>
                      <a:off x="0" y="0"/>
                      <a:ext cx="5943600" cy="5583695"/>
                    </a:xfrm>
                    <a:prstGeom prst="rect">
                      <a:avLst/>
                    </a:prstGeom>
                    <a:noFill/>
                    <a:ln w="9525">
                      <a:noFill/>
                      <a:headEnd/>
                      <a:tailEnd/>
                    </a:ln>
                  </pic:spPr>
                </pic:pic>
              </a:graphicData>
            </a:graphic>
          </wp:inline>
        </w:drawing>
      </w:r>
    </w:p>
    <w:bookmarkEnd w:id="78"/>
    <w:p>
      <w:pPr>
        <w:pStyle w:val="AfterWithoutNote"/>
      </w:pPr>
      <w:r>
        <w:t xml:space="preserve"> </w:t>
      </w:r>
    </w:p>
    <w:bookmarkStart w:id="82"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0" name="Picture"/>
            <a:graphic>
              <a:graphicData uri="http://schemas.openxmlformats.org/drawingml/2006/picture">
                <pic:pic>
                  <pic:nvPicPr>
                    <pic:cNvPr descr="work/simulation1_unguided_cued/simulation1_unguided_cued_context_overlap.png" id="81" name="Picture"/>
                    <pic:cNvPicPr>
                      <a:picLocks noChangeArrowheads="1" noChangeAspect="1"/>
                    </pic:cNvPicPr>
                  </pic:nvPicPr>
                  <pic:blipFill>
                    <a:blip r:embed="rId79"/>
                    <a:stretch>
                      <a:fillRect/>
                    </a:stretch>
                  </pic:blipFill>
                  <pic:spPr bwMode="auto">
                    <a:xfrm>
                      <a:off x="0" y="0"/>
                      <a:ext cx="5943600" cy="5653668"/>
                    </a:xfrm>
                    <a:prstGeom prst="rect">
                      <a:avLst/>
                    </a:prstGeom>
                    <a:noFill/>
                    <a:ln w="9525">
                      <a:noFill/>
                      <a:headEnd/>
                      <a:tailEnd/>
                    </a:ln>
                  </pic:spPr>
                </pic:pic>
              </a:graphicData>
            </a:graphic>
          </wp:inline>
        </w:drawing>
      </w:r>
    </w:p>
    <w:bookmarkEnd w:id="82"/>
    <w:p>
      <w:pPr>
        <w:pStyle w:val="AfterWithoutNote"/>
      </w:pPr>
      <w:hyperlink w:anchor="fig-simulation1-context-overlap">
        <w:r>
          <w:rPr>
            <w:rStyle w:val="Hyperlink"/>
          </w:rPr>
          <w:t xml:space="preserve">Figure 7</w:t>
        </w:r>
      </w:hyperlink>
      <w:r>
        <w:t xml:space="preserve"> </w:t>
      </w:r>
      <w:r>
        <w:t xml:space="preserve">helps interpret why the no-reminder and with-reminder curves diverge.</w:t>
      </w:r>
      <w:r>
        <w:t xml:space="preserve"> </w:t>
      </w:r>
      <w:r>
        <w:t xml:space="preserve">Sequential film reminders do not create one generic film context.</w:t>
      </w:r>
      <w:r>
        <w:t xml:space="preserve"> </w:t>
      </w:r>
      <w:r>
        <w:t xml:space="preserve">They move context through film-associated states before task encoding, increasing overlap between task-encoding contexts and particular positions along the film trajectory.</w:t>
      </w:r>
      <w:r>
        <w:t xml:space="preserve"> </w:t>
      </w:r>
      <w:r>
        <w:t xml:space="preserve">Task encoding strength then determines how strongly task items are learned in those overlapping states, while film encoding settings remain unchanged.</w:t>
      </w:r>
      <w:r>
        <w:t xml:space="preserve"> </w:t>
      </w:r>
      <w:r>
        <w:t xml:space="preserve">Task items remain distinct from film items, and film-item associations are not weakened.</w:t>
      </w:r>
      <w:r>
        <w:t xml:space="preserve"> </w:t>
      </w:r>
      <w:r>
        <w:t xml:space="preserve">The loss of film recall occurs because task items become more likely to be sampled from context states that also support film material.</w:t>
      </w:r>
      <w:r>
        <w:t xml:space="preserve"> </w:t>
      </w:r>
      <w:r>
        <w:t xml:space="preserve">Simulation 1 therefore establishes a retrieved-context account of how reminder-linked task encoding can create competitors for unguided film recall.</w:t>
      </w:r>
      <w:r>
        <w:t xml:space="preserve"> </w:t>
      </w:r>
      <w:r>
        <w:t xml:space="preserve">Simulation 2 examines whether deliberate retrieval control reduces the effect of those learned competitors.</w:t>
      </w:r>
    </w:p>
    <w:bookmarkEnd w:id="83"/>
    <w:bookmarkStart w:id="104" w:name="X01bab10be8432eead1f631bed9fce6a815fd83d"/>
    <w:p>
      <w:pPr>
        <w:pStyle w:val="Heading2"/>
      </w:pPr>
      <w:r>
        <w:t xml:space="preserve">Simulation 2: Control Mechanisms for Deliberate Recall</w:t>
      </w:r>
    </w:p>
    <w:p>
      <w:pPr>
        <w:pStyle w:val="FirstParagraph"/>
      </w:pPr>
      <w:r>
        <w:t xml:space="preserve">Simulation 2 examines the conditions under which deliberate film recall is protected from reminder-linked task competition.</w:t>
      </w:r>
      <w:r>
        <w:t xml:space="preserve"> </w:t>
      </w:r>
      <w:r>
        <w:t xml:space="preserve">The simulation keeps the same reminder-by-task-encoding design and periodic film cues, but varies retrieval mode and decomposes the control operations available during deliberate recall.</w:t>
      </w:r>
      <w:r>
        <w:t xml:space="preserve"> </w:t>
      </w:r>
      <w:r>
        <w:t xml:space="preserve">Deliberate recall combines three control operations: start-of-film context reinstatement before sampling, a maintained film-retrieval goal during sampling, and post-retrieval context monitoring after sampled non-film items.</w:t>
      </w:r>
      <w:r>
        <w:t xml:space="preserve"> </w:t>
      </w:r>
      <w:r>
        <w:t xml:space="preserve">The main readout is the film-recall loss produced by strong task encoding after a film reminder, not only total film recall.</w:t>
      </w:r>
    </w:p>
    <w:bookmarkStart w:id="87"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post-retrieval context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5" name="Picture"/>
            <a:graphic>
              <a:graphicData uri="http://schemas.openxmlformats.org/drawingml/2006/picture">
                <pic:pic>
                  <pic:nvPicPr>
                    <pic:cNvPr descr="work/simulation2_control_cued_behavioral/simulation2_control_cued_behavioral.png" id="86" name="Picture"/>
                    <pic:cNvPicPr>
                      <a:picLocks noChangeArrowheads="1" noChangeAspect="1"/>
                    </pic:cNvPicPr>
                  </pic:nvPicPr>
                  <pic:blipFill>
                    <a:blip r:embed="rId84"/>
                    <a:stretch>
                      <a:fillRect/>
                    </a:stretch>
                  </pic:blipFill>
                  <pic:spPr bwMode="auto">
                    <a:xfrm>
                      <a:off x="0" y="0"/>
                      <a:ext cx="5943600" cy="3596194"/>
                    </a:xfrm>
                    <a:prstGeom prst="rect">
                      <a:avLst/>
                    </a:prstGeom>
                    <a:noFill/>
                    <a:ln w="9525">
                      <a:noFill/>
                      <a:headEnd/>
                      <a:tailEnd/>
                    </a:ln>
                  </pic:spPr>
                </pic:pic>
              </a:graphicData>
            </a:graphic>
          </wp:inline>
        </w:drawing>
      </w:r>
    </w:p>
    <w:bookmarkEnd w:id="87"/>
    <w:p>
      <w:pPr>
        <w:pStyle w:val="AfterWithoutNote"/>
      </w:pPr>
      <w:hyperlink w:anchor="fig-simulation2-control-cued-behavioral">
        <w:r>
          <w:rPr>
            <w:rStyle w:val="Hyperlink"/>
          </w:rPr>
          <w:t xml:space="preserve">Figure 8</w:t>
        </w:r>
      </w:hyperlink>
      <w:r>
        <w:t xml:space="preserve"> </w:t>
      </w:r>
      <w:r>
        <w:t xml:space="preserve">demonstrate the model’s simulation of the selective interference effect.</w:t>
      </w:r>
      <w:r>
        <w:t xml:space="preserve"> </w:t>
      </w:r>
      <w:r>
        <w:t xml:space="preserve">In unguided recall, strong task encoding produces a small film-recall loss without a pre-task reminder and a much larger loss after a film reminder.</w:t>
      </w:r>
      <w:r>
        <w:t xml:space="preserve"> </w:t>
      </w:r>
      <w:r>
        <w:t xml:space="preserve">In deliberate film recall, the same reminder-linked manipulation produces a smaller reduction.</w:t>
      </w:r>
      <w:r>
        <w:t xml:space="preserve"> </w:t>
      </w:r>
      <w:r>
        <w:t xml:space="preserve">Mean film recall in the with-reminder condition drops from 2.790 to 0.793 items under unguided recall, but from 7.572 to 6.995 items under deliberate film recall.</w:t>
      </w:r>
      <w:r>
        <w:t xml:space="preserve"> </w:t>
      </w:r>
      <w:r>
        <w:t xml:space="preserve">The full deliberate-control setting therefore reproduces the selective-interference pattern under the same learned task competitors.</w:t>
      </w:r>
    </w:p>
    <w:bookmarkStart w:id="91"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89" name="Picture"/>
            <a:graphic>
              <a:graphicData uri="http://schemas.openxmlformats.org/drawingml/2006/picture">
                <pic:pic>
                  <pic:nvPicPr>
                    <pic:cNvPr descr="work/simulation2_retrieval_control_decomposition/simulation2_retrieval_control_decomposition.png" id="90" name="Picture"/>
                    <pic:cNvPicPr>
                      <a:picLocks noChangeArrowheads="1" noChangeAspect="1"/>
                    </pic:cNvPicPr>
                  </pic:nvPicPr>
                  <pic:blipFill>
                    <a:blip r:embed="rId88"/>
                    <a:stretch>
                      <a:fillRect/>
                    </a:stretch>
                  </pic:blipFill>
                  <pic:spPr bwMode="auto">
                    <a:xfrm>
                      <a:off x="0" y="0"/>
                      <a:ext cx="5943600" cy="2657138"/>
                    </a:xfrm>
                    <a:prstGeom prst="rect">
                      <a:avLst/>
                    </a:prstGeom>
                    <a:noFill/>
                    <a:ln w="9525">
                      <a:noFill/>
                      <a:headEnd/>
                      <a:tailEnd/>
                    </a:ln>
                  </pic:spPr>
                </pic:pic>
              </a:graphicData>
            </a:graphic>
          </wp:inline>
        </w:drawing>
      </w:r>
    </w:p>
    <w:bookmarkEnd w:id="91"/>
    <w:p>
      <w:pPr>
        <w:pStyle w:val="AfterWithoutNote"/>
      </w:pPr>
      <w:hyperlink w:anchor="X3f1d862adb125e692948a0e1917736f72c3ad35">
        <w:r>
          <w:rPr>
            <w:rStyle w:val="Hyperlink"/>
          </w:rPr>
          <w:t xml:space="preserve">Figure 9</w:t>
        </w:r>
      </w:hyperlink>
      <w:r>
        <w:t xml:space="preserve"> </w:t>
      </w:r>
      <w:r>
        <w:t xml:space="preserve">separates that aggregate protection into component operations.</w:t>
      </w:r>
      <w:r>
        <w:t xml:space="preserve"> </w:t>
      </w:r>
      <w:r>
        <w:t xml:space="preserve">Endpoint loss remains large when the film-retrieval goal is absent.</w:t>
      </w:r>
      <w:r>
        <w:t xml:space="preserve"> </w:t>
      </w:r>
      <w:r>
        <w:t xml:space="preserve">Start-of-film reinstatement and post-retrieval context monitoring can raise film recall, but they do not make recall insensitive to the high-interference endpoint.</w:t>
      </w:r>
      <w:r>
        <w:t xml:space="preserve"> </w:t>
      </w:r>
      <w:r>
        <w:t xml:space="preserve">When the film-retrieval goal is present, endpoint losses remain below one film item across the tested control packages; with all three controls present, film recall drops by about half an item.</w:t>
      </w:r>
      <w:r>
        <w:t xml:space="preserve"> </w:t>
      </w:r>
      <w:r>
        <w:t xml:space="preserve">The decomposition distinguishes controls that increase film recall overall from controls that protect film recall from reminder-linked task competition.</w:t>
      </w:r>
    </w:p>
    <w:bookmarkStart w:id="95"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 maintained film-category cue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schematically adds the maintained film-category cue to the film-directed retrieval cue.</w:t>
      </w:r>
      <w:r>
        <w:t xml:space="preserve"> </w:t>
      </w:r>
      <w:r>
        <w:t xml:space="preserve">Brighter cells indicate greater overlap with task-encoding context.</w:t>
      </w:r>
      <w:r>
        <w:t xml:space="preserve"> </w:t>
      </w:r>
      <w:r>
        <w:t xml:space="preserve">Adding the maintained film-category cue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3" name="Picture"/>
            <a:graphic>
              <a:graphicData uri="http://schemas.openxmlformats.org/drawingml/2006/picture">
                <pic:pic>
                  <pic:nvPicPr>
                    <pic:cNvPr descr="work/simulation2_film_retrieval_goal_context_overlap/simulation2_film_retrieval_goal_context_overlap.png" id="94" name="Picture"/>
                    <pic:cNvPicPr>
                      <a:picLocks noChangeArrowheads="1" noChangeAspect="1"/>
                    </pic:cNvPicPr>
                  </pic:nvPicPr>
                  <pic:blipFill>
                    <a:blip r:embed="rId92"/>
                    <a:stretch>
                      <a:fillRect/>
                    </a:stretch>
                  </pic:blipFill>
                  <pic:spPr bwMode="auto">
                    <a:xfrm>
                      <a:off x="0" y="0"/>
                      <a:ext cx="5943600" cy="5653668"/>
                    </a:xfrm>
                    <a:prstGeom prst="rect">
                      <a:avLst/>
                    </a:prstGeom>
                    <a:noFill/>
                    <a:ln w="9525">
                      <a:noFill/>
                      <a:headEnd/>
                      <a:tailEnd/>
                    </a:ln>
                  </pic:spPr>
                </pic:pic>
              </a:graphicData>
            </a:graphic>
          </wp:inline>
        </w:drawing>
      </w:r>
    </w:p>
    <w:bookmarkEnd w:id="95"/>
    <w:p>
      <w:pPr>
        <w:pStyle w:val="AfterWithoutNote"/>
      </w:pPr>
      <w:hyperlink w:anchor="X3f1d862adb125e692948a0e1917736f72c3ad35">
        <w:r>
          <w:rPr>
            <w:rStyle w:val="Hyperlink"/>
          </w:rPr>
          <w:t xml:space="preserve">Figure 9</w:t>
        </w:r>
      </w:hyperlink>
      <w:r>
        <w:t xml:space="preserve"> </w:t>
      </w:r>
      <w:r>
        <w:t xml:space="preserve">separates that aggregate protection into component operations.</w:t>
      </w:r>
      <w:r>
        <w:t xml:space="preserve"> </w:t>
      </w:r>
      <w:r>
        <w:t xml:space="preserve">The figure compares film recall in a low-interference setting, with no reminder and weak task encoding, against film recall in the high-interference setting, where a film reminder precedes strong task encoding.</w:t>
      </w:r>
      <w:r>
        <w:t xml:space="preserve"> </w:t>
      </w:r>
      <w:r>
        <w:t xml:space="preserve">When the film-retrieval goal is absent, film recall remains much lower in the high-interference setting.</w:t>
      </w:r>
      <w:r>
        <w:t xml:space="preserve"> </w:t>
      </w:r>
      <w:r>
        <w:t xml:space="preserve">Start-of-film reinstatement and post-retrieval context monitoring can raise film recall, but they do not eliminate the loss produced by reminder-linked strong task encoding.</w:t>
      </w:r>
      <w:r>
        <w:t xml:space="preserve"> </w:t>
      </w:r>
      <w:r>
        <w:t xml:space="preserve">When the film-retrieval goal is present, the loss remains below one film item across the tested control packages; with all three controls present, film recall drops by about half an item.</w:t>
      </w:r>
      <w:r>
        <w:t xml:space="preserve"> </w:t>
      </w:r>
      <w:r>
        <w:t xml:space="preserve">The decomposition distinguishes controls that increase film recall overall from controls that protect film recall from reminder-linked task competition.</w:t>
      </w:r>
    </w:p>
    <w:bookmarkStart w:id="99"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7" name="Picture"/>
            <a:graphic>
              <a:graphicData uri="http://schemas.openxmlformats.org/drawingml/2006/picture">
                <pic:pic>
                  <pic:nvPicPr>
                    <pic:cNvPr descr="work/simulation2_start_context_reinstatement/simulation2_start_context_reinstatement.png" id="98" name="Picture"/>
                    <pic:cNvPicPr>
                      <a:picLocks noChangeArrowheads="1" noChangeAspect="1"/>
                    </pic:cNvPicPr>
                  </pic:nvPicPr>
                  <pic:blipFill>
                    <a:blip r:embed="rId96"/>
                    <a:stretch>
                      <a:fillRect/>
                    </a:stretch>
                  </pic:blipFill>
                  <pic:spPr bwMode="auto">
                    <a:xfrm>
                      <a:off x="0" y="0"/>
                      <a:ext cx="5943600" cy="5612321"/>
                    </a:xfrm>
                    <a:prstGeom prst="rect">
                      <a:avLst/>
                    </a:prstGeom>
                    <a:noFill/>
                    <a:ln w="9525">
                      <a:noFill/>
                      <a:headEnd/>
                      <a:tailEnd/>
                    </a:ln>
                  </pic:spPr>
                </pic:pic>
              </a:graphicData>
            </a:graphic>
          </wp:inline>
        </w:drawing>
      </w:r>
    </w:p>
    <w:bookmarkEnd w:id="99"/>
    <w:p>
      <w:pPr>
        <w:pStyle w:val="AfterWithoutNote"/>
      </w:pPr>
      <w:hyperlink w:anchor="Xe96feb7454d6b23e449dfafb9c326dcfa9c3226">
        <w:r>
          <w:rPr>
            <w:rStyle w:val="Hyperlink"/>
          </w:rPr>
          <w:t xml:space="preserve">Figure 11</w:t>
        </w:r>
      </w:hyperlink>
      <w:r>
        <w:t xml:space="preserve"> </w:t>
      </w:r>
      <w:r>
        <w:t xml:space="preserve">holds the high-interference condition fixed and isolates start-of-film context reinstatement.</w:t>
      </w:r>
      <w:r>
        <w:t xml:space="preserve"> </w:t>
      </w:r>
      <w:r>
        <w:t xml:space="preserve">Reinstatement increases access to early film positions and shifts the first sampled item toward the beginning of the film sequence.</w:t>
      </w:r>
      <w:r>
        <w:t xml:space="preserve"> </w:t>
      </w:r>
      <w:r>
        <w:t xml:space="preserve">Those gains persist in the full recall curve, but later film positions remain vulnerable because the start state does not remove task support from film-overlapping context.</w:t>
      </w:r>
      <w:r>
        <w:t xml:space="preserve"> </w:t>
      </w:r>
      <w:r>
        <w:t xml:space="preserve">Start-of-film context reinstatement can increase film recall, but its protection depends on which part of the film trajectory is reinstated.</w:t>
      </w:r>
    </w:p>
    <w:p>
      <w:pPr>
        <w:pStyle w:val="BodyText"/>
      </w:pPr>
      <w:r>
        <w:t xml:space="preserve">Retrieval monitoring acts after a non-film item has already been sampled.</w:t>
      </w:r>
      <w:r>
        <w:t xml:space="preserve"> </w:t>
      </w:r>
      <w:r>
        <w:t xml:space="preserve">By dampening that item’s context update, monitoring limits how much the sample redirects subsequent retrieval.</w:t>
      </w:r>
      <w:r>
        <w:t xml:space="preserve"> </w:t>
      </w:r>
      <w:hyperlink w:anchor="Xa9c4b5e1618786b5f440768b73dd7732a592b1f">
        <w:r>
          <w:rPr>
            <w:rStyle w:val="Hyperlink"/>
          </w:rPr>
          <w:t xml:space="preserve">Figure 12</w:t>
        </w:r>
      </w:hyperlink>
      <w:r>
        <w:t xml:space="preserve"> </w:t>
      </w:r>
      <w:r>
        <w:t xml:space="preserve">shows that monitoring increases the probability that a sampled non-film item is followed by a film output.</w:t>
      </w:r>
      <w:r>
        <w:t xml:space="preserve"> </w:t>
      </w:r>
      <w:r>
        <w:t xml:space="preserve">Monitoring therefore helps recall recover after task or filler material has entered the output sequence.</w:t>
      </w:r>
      <w:r>
        <w:t xml:space="preserve"> </w:t>
      </w:r>
      <w:r>
        <w:t xml:space="preserve">It does not supply film-directed support before sampling occurs, so it is not the broadest route to protection from reminder-linked task competition.</w:t>
      </w:r>
      <w:r>
        <w:t xml:space="preserve"> </w:t>
      </w:r>
      <w:r>
        <w:t xml:space="preserve">Simulation 2 therefore constrains the account: deliberate recall is not spared by a generic voluntary-memory setting.</w:t>
      </w:r>
      <w:r>
        <w:t xml:space="preserve"> </w:t>
      </w:r>
      <w:r>
        <w:t xml:space="preserve">It is less affected when control supplies film-directed support that task competitors do not share, whereas controls that only change retrieval initiation or post-sampling carryover remain more vulnerable.</w:t>
      </w:r>
    </w:p>
    <w:bookmarkStart w:id="103"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1" name="Picture"/>
            <a:graphic>
              <a:graphicData uri="http://schemas.openxmlformats.org/drawingml/2006/picture">
                <pic:pic>
                  <pic:nvPicPr>
                    <pic:cNvPr descr="work/simulation2_target_monitoring_diagnostic/simulation2_target_monitoring_diagnostic.png" id="102" name="Picture"/>
                    <pic:cNvPicPr>
                      <a:picLocks noChangeArrowheads="1" noChangeAspect="1"/>
                    </pic:cNvPicPr>
                  </pic:nvPicPr>
                  <pic:blipFill>
                    <a:blip r:embed="rId100"/>
                    <a:stretch>
                      <a:fillRect/>
                    </a:stretch>
                  </pic:blipFill>
                  <pic:spPr bwMode="auto">
                    <a:xfrm>
                      <a:off x="0" y="0"/>
                      <a:ext cx="5943600" cy="5638967"/>
                    </a:xfrm>
                    <a:prstGeom prst="rect">
                      <a:avLst/>
                    </a:prstGeom>
                    <a:noFill/>
                    <a:ln w="9525">
                      <a:noFill/>
                      <a:headEnd/>
                      <a:tailEnd/>
                    </a:ln>
                  </pic:spPr>
                </pic:pic>
              </a:graphicData>
            </a:graphic>
          </wp:inline>
        </w:drawing>
      </w:r>
    </w:p>
    <w:bookmarkEnd w:id="103"/>
    <w:bookmarkEnd w:id="104"/>
    <w:bookmarkStart w:id="109" w:name="simulation-3-recognition"/>
    <w:p>
      <w:pPr>
        <w:pStyle w:val="Heading2"/>
      </w:pPr>
      <w:r>
        <w:t xml:space="preserve">Simulation 3: Recognition</w:t>
      </w:r>
    </w:p>
    <w:p>
      <w:pPr>
        <w:pStyle w:val="FirstParagraph"/>
      </w:pPr>
      <w:r>
        <w:t xml:space="preserve">The recognition simulation asks what happens when the test presents the candidate film item rather than requiring that item to be sampled from context.</w:t>
      </w:r>
      <w:r>
        <w:t xml:space="preserve"> </w:t>
      </w:r>
      <w:r>
        <w:t xml:space="preserve">The same reminder-by-task-encoding design is used, but the test format changes how film material enters the response.</w:t>
      </w:r>
      <w:r>
        <w:t xml:space="preserve"> </w:t>
      </w:r>
      <w:r>
        <w:t xml:space="preserve">Context-guided recall requires a film item to be sampled from the candidates supported by current context.</w:t>
      </w:r>
      <w:r>
        <w:t xml:space="preserve"> </w:t>
      </w:r>
      <w:r>
        <w:t xml:space="preserve">Recognition begins with a supplied candidate item and asks whether the context retrieved by that item supports its occurrence in the film.</w:t>
      </w:r>
    </w:p>
    <w:p>
      <w:pPr>
        <w:pStyle w:val="BodyText"/>
      </w:pPr>
      <w:r>
        <w:t xml:space="preserve">The simulation presents studied film items and unstudied film-like foils as recognition probes.</w:t>
      </w:r>
      <w:r>
        <w:t xml:space="preserve"> </w:t>
      </w:r>
      <w:r>
        <w:t xml:space="preserve">Each probe retrieves associated temporal and source context through feature-to-context associations, and recognition evidence is computed from the match between the probe-retrieved context and the current test context</w:t>
      </w:r>
      <w:r>
        <w:t xml:space="preserve"> </w:t>
      </w:r>
      <w:r>
        <w:t xml:space="preserve">(</w:t>
      </w:r>
      <w:hyperlink w:anchor="ref-healey2016four">
        <w:r>
          <w:rPr>
            <w:rStyle w:val="Hyperlink"/>
          </w:rPr>
          <w:t xml:space="preserve">Healey &amp; Kahana, 2016</w:t>
        </w:r>
      </w:hyperlink>
      <w:r>
        <w:t xml:space="preserve">;</w:t>
      </w:r>
      <w:r>
        <w:t xml:space="preserve"> </w:t>
      </w:r>
      <w:hyperlink w:anchor="ref-jin2024theory">
        <w:r>
          <w:rPr>
            <w:rStyle w:val="Hyperlink"/>
          </w:rPr>
          <w:t xml:space="preserve">Jin et al., 2024</w:t>
        </w:r>
      </w:hyperlink>
      <w:r>
        <w:t xml:space="preserve">)</w:t>
      </w:r>
      <w:r>
        <w:t xml:space="preserve">.</w:t>
      </w:r>
      <w:r>
        <w:t xml:space="preserve"> </w:t>
      </w:r>
      <w:r>
        <w:t xml:space="preserve">The simulation estimates recognition evidence after the candidate item has already been presented as a probe.</w:t>
      </w:r>
      <w:r>
        <w:t xml:space="preserve"> </w:t>
      </w:r>
      <w:r>
        <w:t xml:space="preserve">Decision criteria, confidence, and detailed foil-processing assumptions are left outside the present implementation.</w:t>
      </w:r>
    </w:p>
    <w:bookmarkStart w:id="108"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6" name="Picture"/>
            <a:graphic>
              <a:graphicData uri="http://schemas.openxmlformats.org/drawingml/2006/picture">
                <pic:pic>
                  <pic:nvPicPr>
                    <pic:cNvPr descr="work/simulation4_recognition_full_figure/item_context_recognition.png" id="107" name="Picture"/>
                    <pic:cNvPicPr>
                      <a:picLocks noChangeArrowheads="1" noChangeAspect="1"/>
                    </pic:cNvPicPr>
                  </pic:nvPicPr>
                  <pic:blipFill>
                    <a:blip r:embed="rId105"/>
                    <a:stretch>
                      <a:fillRect/>
                    </a:stretch>
                  </pic:blipFill>
                  <pic:spPr bwMode="auto">
                    <a:xfrm>
                      <a:off x="0" y="0"/>
                      <a:ext cx="5943600" cy="4316185"/>
                    </a:xfrm>
                    <a:prstGeom prst="rect">
                      <a:avLst/>
                    </a:prstGeom>
                    <a:noFill/>
                    <a:ln w="9525">
                      <a:noFill/>
                      <a:headEnd/>
                      <a:tailEnd/>
                    </a:ln>
                  </pic:spPr>
                </pic:pic>
              </a:graphicData>
            </a:graphic>
          </wp:inline>
        </w:drawing>
      </w:r>
    </w:p>
    <w:bookmarkEnd w:id="108"/>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The reminder-plus-strong-task condition that strongly reduces context-guided film recall does not produce a corresponding reduction in recognition accuracy.</w:t>
      </w:r>
      <w:r>
        <w:t xml:space="preserve"> </w:t>
      </w:r>
      <w:r>
        <w:t xml:space="preserve">Corrected recognition remains essentially unchanged across the reminder-by-task-encoding design, ranging from .397 to .399.</w:t>
      </w:r>
      <w:r>
        <w:t xml:space="preserve"> </w:t>
      </w:r>
      <w:r>
        <w:t xml:space="preserve">In context-guided recall, film and task candidates can compete whenever the retrieval context supports both.</w:t>
      </w:r>
      <w:r>
        <w:t xml:space="preserve"> </w:t>
      </w:r>
      <w:r>
        <w:t xml:space="preserve">Recognition reverses that access route: the presented film candidate retrieves associated context directly, so task items do not compete to be retrieved in place of the film item.</w:t>
      </w:r>
      <w:r>
        <w:t xml:space="preserve"> </w:t>
      </w:r>
      <w:r>
        <w:t xml:space="preserve">The simulation therefore identifies a test-format confound in designs that compare involuntary tests measuring whether film material comes to mind with voluntary tests that supply film material for recognition.</w:t>
      </w:r>
      <w:r>
        <w:t xml:space="preserve"> </w:t>
      </w:r>
      <w:r>
        <w:t xml:space="preserve">Such designs therefore do not isolate retrieval intentionality: preserved recognition alongside reduced intrusions may reflect the supplied-item test format rather than a general sparing of voluntary recall.</w:t>
      </w:r>
    </w:p>
    <w:bookmarkEnd w:id="109"/>
    <w:bookmarkEnd w:id="110"/>
    <w:bookmarkStart w:id="111" w:name="general-discussion"/>
    <w:p>
      <w:pPr>
        <w:pStyle w:val="Heading1"/>
      </w:pPr>
      <w:r>
        <w:t xml:space="preserve">General Discussion</w:t>
      </w:r>
    </w:p>
    <w:bookmarkEnd w:id="111"/>
    <w:bookmarkStart w:id="243" w:name="references"/>
    <w:p>
      <w:pPr>
        <w:pStyle w:val="Heading1"/>
      </w:pPr>
      <w:r>
        <w:t xml:space="preserve">References</w:t>
      </w:r>
    </w:p>
    <w:bookmarkStart w:id="242" w:name="refs"/>
    <w:bookmarkStart w:id="113"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2">
        <w:r>
          <w:rPr>
            <w:rStyle w:val="Hyperlink"/>
          </w:rPr>
          <w:t xml:space="preserve">https://doi.org/10.1016/j.jbtep.2023.101920</w:t>
        </w:r>
      </w:hyperlink>
    </w:p>
    <w:bookmarkEnd w:id="113"/>
    <w:bookmarkStart w:id="115"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4">
        <w:r>
          <w:rPr>
            <w:rStyle w:val="Hyperlink"/>
          </w:rPr>
          <w:t xml:space="preserve">https://doi.org/10.1016/j.jpsychires.2023.01.028</w:t>
        </w:r>
      </w:hyperlink>
    </w:p>
    <w:bookmarkEnd w:id="115"/>
    <w:bookmarkStart w:id="117"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6">
        <w:r>
          <w:rPr>
            <w:rStyle w:val="Hyperlink"/>
          </w:rPr>
          <w:t xml:space="preserve">https://doi.org/10.1037/0096-3445.129.1.126</w:t>
        </w:r>
      </w:hyperlink>
    </w:p>
    <w:bookmarkEnd w:id="117"/>
    <w:bookmarkStart w:id="119"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8">
        <w:r>
          <w:rPr>
            <w:rStyle w:val="Hyperlink"/>
          </w:rPr>
          <w:t xml:space="preserve">https://doi.org/10.1016/s2215-0366(25)00397-9</w:t>
        </w:r>
      </w:hyperlink>
    </w:p>
    <w:bookmarkEnd w:id="119"/>
    <w:bookmarkStart w:id="121"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0">
        <w:r>
          <w:rPr>
            <w:rStyle w:val="Hyperlink"/>
          </w:rPr>
          <w:t xml:space="preserve">https://doi.org/10.1037/a0033722</w:t>
        </w:r>
      </w:hyperlink>
    </w:p>
    <w:bookmarkEnd w:id="121"/>
    <w:bookmarkStart w:id="123"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2">
        <w:r>
          <w:rPr>
            <w:rStyle w:val="Hyperlink"/>
          </w:rPr>
          <w:t xml:space="preserve">https://doi.org/10.1037/0033-295X.103.4.670</w:t>
        </w:r>
      </w:hyperlink>
    </w:p>
    <w:bookmarkEnd w:id="123"/>
    <w:bookmarkStart w:id="125"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4">
        <w:r>
          <w:rPr>
            <w:rStyle w:val="Hyperlink"/>
          </w:rPr>
          <w:t xml:space="preserve">https://doi.org/10.1037/a0018113</w:t>
        </w:r>
      </w:hyperlink>
    </w:p>
    <w:bookmarkEnd w:id="125"/>
    <w:bookmarkStart w:id="127"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26">
        <w:r>
          <w:rPr>
            <w:rStyle w:val="Hyperlink"/>
          </w:rPr>
          <w:t xml:space="preserve">https://doi.org/10.1006/jmps.1999.1282</w:t>
        </w:r>
      </w:hyperlink>
    </w:p>
    <w:bookmarkEnd w:id="127"/>
    <w:bookmarkStart w:id="129"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8">
        <w:r>
          <w:rPr>
            <w:rStyle w:val="Hyperlink"/>
          </w:rPr>
          <w:t xml:space="preserve">https://doi.org/10.1037/rev0000334</w:t>
        </w:r>
      </w:hyperlink>
    </w:p>
    <w:bookmarkEnd w:id="129"/>
    <w:bookmarkStart w:id="131"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0">
        <w:r>
          <w:rPr>
            <w:rStyle w:val="Hyperlink"/>
          </w:rPr>
          <w:t xml:space="preserve">https://doi.org/10.1016/j.jbtep.2011.10.008</w:t>
        </w:r>
      </w:hyperlink>
    </w:p>
    <w:bookmarkEnd w:id="131"/>
    <w:bookmarkStart w:id="132"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2"/>
    <w:bookmarkStart w:id="134"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3">
        <w:r>
          <w:rPr>
            <w:rStyle w:val="Hyperlink"/>
          </w:rPr>
          <w:t xml:space="preserve">https://doi.org/10.1016/S0005-7967(99)00123-0</w:t>
        </w:r>
      </w:hyperlink>
    </w:p>
    <w:bookmarkEnd w:id="134"/>
    <w:bookmarkStart w:id="136"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35">
        <w:r>
          <w:rPr>
            <w:rStyle w:val="Hyperlink"/>
          </w:rPr>
          <w:t xml:space="preserve">https://doi.org/10.1037/a0033715</w:t>
        </w:r>
      </w:hyperlink>
    </w:p>
    <w:bookmarkEnd w:id="136"/>
    <w:bookmarkStart w:id="138"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7">
        <w:r>
          <w:rPr>
            <w:rStyle w:val="Hyperlink"/>
          </w:rPr>
          <w:t xml:space="preserve">https://doi.org/10.1037/rev0000015</w:t>
        </w:r>
      </w:hyperlink>
    </w:p>
    <w:bookmarkEnd w:id="138"/>
    <w:bookmarkStart w:id="140"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39">
        <w:r>
          <w:rPr>
            <w:rStyle w:val="Hyperlink"/>
          </w:rPr>
          <w:t xml:space="preserve">https://doi.org/10.3758/s13421-023-01453-z</w:t>
        </w:r>
      </w:hyperlink>
    </w:p>
    <w:bookmarkEnd w:id="140"/>
    <w:bookmarkStart w:id="142"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1">
        <w:r>
          <w:rPr>
            <w:rStyle w:val="Hyperlink"/>
          </w:rPr>
          <w:t xml:space="preserve">https://doi.org/10.1016/j.jbtep.2023.101858</w:t>
        </w:r>
      </w:hyperlink>
    </w:p>
    <w:bookmarkEnd w:id="142"/>
    <w:bookmarkStart w:id="144"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3">
        <w:r>
          <w:rPr>
            <w:rStyle w:val="Hyperlink"/>
          </w:rPr>
          <w:t xml:space="preserve">https://doi.org/10.31234/osf.io/sm3fw</w:t>
        </w:r>
      </w:hyperlink>
    </w:p>
    <w:bookmarkEnd w:id="144"/>
    <w:bookmarkStart w:id="146"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45">
        <w:r>
          <w:rPr>
            <w:rStyle w:val="Hyperlink"/>
          </w:rPr>
          <w:t xml:space="preserve">https://doi.org/10.1016/j.actpsy.2007.11.002</w:t>
        </w:r>
      </w:hyperlink>
    </w:p>
    <w:bookmarkEnd w:id="146"/>
    <w:bookmarkStart w:id="148"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7">
        <w:r>
          <w:rPr>
            <w:rStyle w:val="Hyperlink"/>
          </w:rPr>
          <w:t xml:space="preserve">https://doi.org/10.1037/0096-3445.133.1.3</w:t>
        </w:r>
      </w:hyperlink>
    </w:p>
    <w:bookmarkEnd w:id="148"/>
    <w:bookmarkStart w:id="150"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9">
        <w:r>
          <w:rPr>
            <w:rStyle w:val="Hyperlink"/>
          </w:rPr>
          <w:t xml:space="preserve">https://doi.org/10.1371/journal.pone.0004153</w:t>
        </w:r>
      </w:hyperlink>
    </w:p>
    <w:bookmarkEnd w:id="150"/>
    <w:bookmarkStart w:id="152"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1">
        <w:r>
          <w:rPr>
            <w:rStyle w:val="Hyperlink"/>
          </w:rPr>
          <w:t xml:space="preserve">https://doi.org/10.1371/journal.pone.0013706</w:t>
        </w:r>
      </w:hyperlink>
    </w:p>
    <w:bookmarkEnd w:id="152"/>
    <w:bookmarkStart w:id="154"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3">
        <w:r>
          <w:rPr>
            <w:rStyle w:val="Hyperlink"/>
          </w:rPr>
          <w:t xml:space="preserve">https://doi.org/10.1016/j.brat.2017.03.018</w:t>
        </w:r>
      </w:hyperlink>
    </w:p>
    <w:bookmarkEnd w:id="154"/>
    <w:bookmarkStart w:id="156"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55">
        <w:r>
          <w:rPr>
            <w:rStyle w:val="Hyperlink"/>
          </w:rPr>
          <w:t xml:space="preserve">https://doi.org/10.1037/0278-7393.25.4.923</w:t>
        </w:r>
      </w:hyperlink>
    </w:p>
    <w:bookmarkEnd w:id="156"/>
    <w:bookmarkStart w:id="158"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57">
        <w:r>
          <w:rPr>
            <w:rStyle w:val="Hyperlink"/>
          </w:rPr>
          <w:t xml:space="preserve">https://doi.org/10.1006/jmps.2001.1388</w:t>
        </w:r>
      </w:hyperlink>
    </w:p>
    <w:bookmarkEnd w:id="158"/>
    <w:bookmarkStart w:id="159"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9"/>
    <w:bookmarkStart w:id="161"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0">
        <w:r>
          <w:rPr>
            <w:rStyle w:val="Hyperlink"/>
          </w:rPr>
          <w:t xml:space="preserve">https://doi.org/10.1101/lm.1022308</w:t>
        </w:r>
      </w:hyperlink>
    </w:p>
    <w:bookmarkEnd w:id="161"/>
    <w:bookmarkStart w:id="163"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2">
        <w:r>
          <w:rPr>
            <w:rStyle w:val="Hyperlink"/>
          </w:rPr>
          <w:t xml:space="preserve">https://doi.org/10.1038/mp.2017.23</w:t>
        </w:r>
      </w:hyperlink>
    </w:p>
    <w:bookmarkEnd w:id="163"/>
    <w:bookmarkStart w:id="165"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4">
        <w:r>
          <w:rPr>
            <w:rStyle w:val="Hyperlink"/>
          </w:rPr>
          <w:t xml:space="preserve">https://doi.org/10.1038/s41398-023-02578-0</w:t>
        </w:r>
      </w:hyperlink>
    </w:p>
    <w:bookmarkEnd w:id="165"/>
    <w:bookmarkStart w:id="167"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66">
        <w:r>
          <w:rPr>
            <w:rStyle w:val="Hyperlink"/>
          </w:rPr>
          <w:t xml:space="preserve">https://doi.org/10.1016/j.cpr.2018.08.005</w:t>
        </w:r>
      </w:hyperlink>
    </w:p>
    <w:bookmarkEnd w:id="167"/>
    <w:bookmarkStart w:id="169"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68">
        <w:r>
          <w:rPr>
            <w:rStyle w:val="Hyperlink"/>
          </w:rPr>
          <w:t xml:space="preserve">https://doi.org/10.1177/0956797615583071</w:t>
        </w:r>
      </w:hyperlink>
    </w:p>
    <w:bookmarkEnd w:id="169"/>
    <w:bookmarkStart w:id="171"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0">
        <w:r>
          <w:rPr>
            <w:rStyle w:val="Hyperlink"/>
          </w:rPr>
          <w:t xml:space="preserve">https://doi.org/10.1016/j.cpr.2016.04.010</w:t>
        </w:r>
      </w:hyperlink>
    </w:p>
    <w:bookmarkEnd w:id="171"/>
    <w:bookmarkStart w:id="173" w:name="ref-jin2024theory"/>
    <w:p>
      <w:pPr>
        <w:pStyle w:val="Bibliography"/>
      </w:pPr>
      <w:r>
        <w:t xml:space="preserve">Jin, B. J., Halpern, D. J., &amp; Kahana, M. J. (2024).</w:t>
      </w:r>
      <w:r>
        <w:t xml:space="preserve"> </w:t>
      </w:r>
      <w:r>
        <w:rPr>
          <w:i/>
          <w:iCs/>
        </w:rPr>
        <w:t xml:space="preserve">A theory of memory for items and associations</w:t>
      </w:r>
      <w:r>
        <w:t xml:space="preserve">.</w:t>
      </w:r>
      <w:r>
        <w:t xml:space="preserve"> </w:t>
      </w:r>
      <w:hyperlink r:id="rId172">
        <w:r>
          <w:rPr>
            <w:rStyle w:val="Hyperlink"/>
          </w:rPr>
          <w:t xml:space="preserve">https://memory.psych.upenn.edu/files/pubs/JinEtal24.pdf</w:t>
        </w:r>
      </w:hyperlink>
    </w:p>
    <w:bookmarkEnd w:id="173"/>
    <w:bookmarkStart w:id="17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4"/>
    <w:bookmarkStart w:id="176"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75">
        <w:r>
          <w:rPr>
            <w:rStyle w:val="Hyperlink"/>
          </w:rPr>
          <w:t xml:space="preserve">https://doi.org/10.1146/annurev-psych-010418-103358</w:t>
        </w:r>
      </w:hyperlink>
    </w:p>
    <w:bookmarkEnd w:id="176"/>
    <w:bookmarkStart w:id="178"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77">
        <w:r>
          <w:rPr>
            <w:rStyle w:val="Hyperlink"/>
          </w:rPr>
          <w:t xml:space="preserve">https://doi.org/10.1002/cpp.2489</w:t>
        </w:r>
      </w:hyperlink>
    </w:p>
    <w:bookmarkEnd w:id="178"/>
    <w:bookmarkStart w:id="180"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79">
        <w:r>
          <w:rPr>
            <w:rStyle w:val="Hyperlink"/>
          </w:rPr>
          <w:t xml:space="preserve">https://doi.org/10.1186/s12916-024-03569-8</w:t>
        </w:r>
      </w:hyperlink>
    </w:p>
    <w:bookmarkEnd w:id="180"/>
    <w:bookmarkStart w:id="182"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1">
        <w:r>
          <w:rPr>
            <w:rStyle w:val="Hyperlink"/>
          </w:rPr>
          <w:t xml:space="preserve">https://doi.org/10.1016/j.jbtep.2019.01.006</w:t>
        </w:r>
      </w:hyperlink>
    </w:p>
    <w:bookmarkEnd w:id="182"/>
    <w:bookmarkStart w:id="184"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3">
        <w:r>
          <w:rPr>
            <w:rStyle w:val="Hyperlink"/>
          </w:rPr>
          <w:t xml:space="preserve">https://doi.org/10.1038/nn.2271</w:t>
        </w:r>
      </w:hyperlink>
    </w:p>
    <w:bookmarkEnd w:id="184"/>
    <w:bookmarkStart w:id="186"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85">
        <w:r>
          <w:rPr>
            <w:rStyle w:val="Hyperlink"/>
          </w:rPr>
          <w:t xml:space="preserve">https://doi.org/10.1523/JNEUROSCI.3378-14.2015</w:t>
        </w:r>
      </w:hyperlink>
    </w:p>
    <w:bookmarkEnd w:id="186"/>
    <w:bookmarkStart w:id="188"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87">
        <w:r>
          <w:rPr>
            <w:rStyle w:val="Hyperlink"/>
          </w:rPr>
          <w:t xml:space="preserve">https://doi.org/10.1002/acp.1611</w:t>
        </w:r>
      </w:hyperlink>
    </w:p>
    <w:bookmarkEnd w:id="188"/>
    <w:bookmarkStart w:id="190"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89">
        <w:r>
          <w:rPr>
            <w:rStyle w:val="Hyperlink"/>
          </w:rPr>
          <w:t xml:space="preserve">https://doi.org/10.1037/xge0000598</w:t>
        </w:r>
      </w:hyperlink>
    </w:p>
    <w:bookmarkEnd w:id="190"/>
    <w:bookmarkStart w:id="192"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1">
        <w:r>
          <w:rPr>
            <w:rStyle w:val="Hyperlink"/>
          </w:rPr>
          <w:t xml:space="preserve">https://doi.org/10.1177/2167702621998315</w:t>
        </w:r>
      </w:hyperlink>
    </w:p>
    <w:bookmarkEnd w:id="192"/>
    <w:bookmarkStart w:id="194"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3">
        <w:r>
          <w:rPr>
            <w:rStyle w:val="Hyperlink"/>
          </w:rPr>
          <w:t xml:space="preserve">https://doi.org/10.1037/xge0001354</w:t>
        </w:r>
      </w:hyperlink>
    </w:p>
    <w:bookmarkEnd w:id="194"/>
    <w:bookmarkStart w:id="196"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95">
        <w:r>
          <w:rPr>
            <w:rStyle w:val="Hyperlink"/>
          </w:rPr>
          <w:t xml:space="preserve">https://doi.org/10.1037/a0039036</w:t>
        </w:r>
      </w:hyperlink>
    </w:p>
    <w:bookmarkEnd w:id="196"/>
    <w:bookmarkStart w:id="198" w:name="ref-lohnas2026specialized"/>
    <w:p>
      <w:pPr>
        <w:pStyle w:val="Bibliography"/>
      </w:pPr>
      <w:r>
        <w:t xml:space="preserve">Lohnas, L. J., Polyn, S. M., &amp; Kahana, M. J. (2026). Specialized recall procedures.</w:t>
      </w:r>
      <w:r>
        <w:t xml:space="preserve"> </w:t>
      </w:r>
      <w:r>
        <w:rPr>
          <w:i/>
          <w:iCs/>
        </w:rPr>
        <w:t xml:space="preserve">Psychonomic Bulletin &amp; Review</w:t>
      </w:r>
      <w:r>
        <w:t xml:space="preserve">,</w:t>
      </w:r>
      <w:r>
        <w:t xml:space="preserve"> </w:t>
      </w:r>
      <w:r>
        <w:rPr>
          <w:i/>
          <w:iCs/>
        </w:rPr>
        <w:t xml:space="preserve">33</w:t>
      </w:r>
      <w:r>
        <w:t xml:space="preserve">(3), 96.</w:t>
      </w:r>
      <w:r>
        <w:t xml:space="preserve"> </w:t>
      </w:r>
      <w:hyperlink r:id="rId197">
        <w:r>
          <w:rPr>
            <w:rStyle w:val="Hyperlink"/>
          </w:rPr>
          <w:t xml:space="preserve">https://doi.org/10.3758/s13423-025-02744-z</w:t>
        </w:r>
      </w:hyperlink>
    </w:p>
    <w:bookmarkEnd w:id="198"/>
    <w:bookmarkStart w:id="199" w:name="ref-luce1959individual"/>
    <w:p>
      <w:pPr>
        <w:pStyle w:val="Bibliography"/>
      </w:pPr>
      <w:r>
        <w:t xml:space="preserve">Luce, R. D. (1959).</w:t>
      </w:r>
      <w:r>
        <w:t xml:space="preserve"> </w:t>
      </w:r>
      <w:r>
        <w:rPr>
          <w:i/>
          <w:iCs/>
        </w:rPr>
        <w:t xml:space="preserve">Individual choice behavior: A theoretical analysis</w:t>
      </w:r>
      <w:r>
        <w:t xml:space="preserve">. Wiley.</w:t>
      </w:r>
    </w:p>
    <w:bookmarkEnd w:id="199"/>
    <w:bookmarkStart w:id="201"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0">
        <w:r>
          <w:rPr>
            <w:rStyle w:val="Hyperlink"/>
          </w:rPr>
          <w:t xml:space="preserve">https://osf.io/preprints/psyarxiv/m3pnz_v1/</w:t>
        </w:r>
      </w:hyperlink>
    </w:p>
    <w:bookmarkEnd w:id="201"/>
    <w:bookmarkStart w:id="203"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2">
        <w:r>
          <w:rPr>
            <w:rStyle w:val="Hyperlink"/>
          </w:rPr>
          <w:t xml:space="preserve">https://doi.org/10.1016/j.jml.2015.10.002</w:t>
        </w:r>
      </w:hyperlink>
    </w:p>
    <w:bookmarkEnd w:id="203"/>
    <w:bookmarkStart w:id="205" w:name="ref-norman2017neuronal"/>
    <w:p>
      <w:pPr>
        <w:pStyle w:val="Bibliography"/>
      </w:pPr>
      <w:r>
        <w:t xml:space="preserve">Norman, Y., Yeagle, E. M., Harel, M., Mehta, A. D., &amp; Malach, R. (2017). Neuronal baseline shifts underlying boundary setting during free recall.</w:t>
      </w:r>
      <w:r>
        <w:t xml:space="preserve"> </w:t>
      </w:r>
      <w:r>
        <w:rPr>
          <w:i/>
          <w:iCs/>
        </w:rPr>
        <w:t xml:space="preserve">Nature Communications</w:t>
      </w:r>
      <w:r>
        <w:t xml:space="preserve">,</w:t>
      </w:r>
      <w:r>
        <w:t xml:space="preserve"> </w:t>
      </w:r>
      <w:r>
        <w:rPr>
          <w:i/>
          <w:iCs/>
        </w:rPr>
        <w:t xml:space="preserve">8</w:t>
      </w:r>
      <w:r>
        <w:t xml:space="preserve">(1), 1301.</w:t>
      </w:r>
      <w:r>
        <w:t xml:space="preserve"> </w:t>
      </w:r>
      <w:hyperlink r:id="rId204">
        <w:r>
          <w:rPr>
            <w:rStyle w:val="Hyperlink"/>
          </w:rPr>
          <w:t xml:space="preserve">https://doi.org/10.1038/s41467-017-01184-1</w:t>
        </w:r>
      </w:hyperlink>
    </w:p>
    <w:bookmarkEnd w:id="205"/>
    <w:bookmarkStart w:id="207" w:name="ref-polyn2011semantic"/>
    <w:p>
      <w:pPr>
        <w:pStyle w:val="Bibliography"/>
      </w:pPr>
      <w:r>
        <w:t xml:space="preserve">Polyn, S. M., Erlikhman, G., &amp; Kahana, M. J. (2011). Semantic cuing and the scale insensitivity of recency and contiguity.</w:t>
      </w:r>
      <w:r>
        <w:t xml:space="preserve"> </w:t>
      </w:r>
      <w:r>
        <w:rPr>
          <w:i/>
          <w:iCs/>
        </w:rPr>
        <w:t xml:space="preserve">Journal of Experimental Psychology: Learning, Memory, and Cognition</w:t>
      </w:r>
      <w:r>
        <w:t xml:space="preserve">,</w:t>
      </w:r>
      <w:r>
        <w:t xml:space="preserve"> </w:t>
      </w:r>
      <w:r>
        <w:rPr>
          <w:i/>
          <w:iCs/>
        </w:rPr>
        <w:t xml:space="preserve">37</w:t>
      </w:r>
      <w:r>
        <w:t xml:space="preserve">(3), 766–775.</w:t>
      </w:r>
      <w:r>
        <w:t xml:space="preserve"> </w:t>
      </w:r>
      <w:hyperlink r:id="rId206">
        <w:r>
          <w:rPr>
            <w:rStyle w:val="Hyperlink"/>
          </w:rPr>
          <w:t xml:space="preserve">https://doi.org/10.1037/a0022475</w:t>
        </w:r>
      </w:hyperlink>
    </w:p>
    <w:bookmarkEnd w:id="207"/>
    <w:bookmarkStart w:id="209"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08">
        <w:r>
          <w:rPr>
            <w:rStyle w:val="Hyperlink"/>
          </w:rPr>
          <w:t xml:space="preserve">https://doi.org/10.1016/j.neuropsychologia.2011.08.025</w:t>
        </w:r>
      </w:hyperlink>
    </w:p>
    <w:bookmarkEnd w:id="209"/>
    <w:bookmarkStart w:id="211"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10">
        <w:r>
          <w:rPr>
            <w:rStyle w:val="Hyperlink"/>
          </w:rPr>
          <w:t xml:space="preserve">https://doi.org/10.1037/a0014420</w:t>
        </w:r>
      </w:hyperlink>
    </w:p>
    <w:bookmarkEnd w:id="211"/>
    <w:bookmarkStart w:id="213"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12">
        <w:r>
          <w:rPr>
            <w:rStyle w:val="Hyperlink"/>
          </w:rPr>
          <w:t xml:space="preserve">https://doi.org/10.1016/j.neuropsychologia.2009.02.013</w:t>
        </w:r>
      </w:hyperlink>
    </w:p>
    <w:bookmarkEnd w:id="213"/>
    <w:bookmarkStart w:id="215" w:name="ref-raaijmakers1980sam"/>
    <w:p>
      <w:pPr>
        <w:pStyle w:val="Bibliography"/>
      </w:pPr>
      <w:r>
        <w:t xml:space="preserve">Raaijmakers, J. G. W., &amp; Shiffrin, R. M. (1980).</w:t>
      </w:r>
      <w:r>
        <w:t xml:space="preserve"> </w:t>
      </w:r>
      <w:r>
        <w:t xml:space="preserve">SAM</w:t>
      </w:r>
      <w:r>
        <w:t xml:space="preserve">: A theory of probabilistic search of associative memory. In G. H. Bower (Ed.),</w:t>
      </w:r>
      <w:r>
        <w:t xml:space="preserve"> </w:t>
      </w:r>
      <w:r>
        <w:rPr>
          <w:i/>
          <w:iCs/>
        </w:rPr>
        <w:t xml:space="preserve">The psychology of learning and motivation: Advances in research and theory</w:t>
      </w:r>
      <w:r>
        <w:t xml:space="preserve"> </w:t>
      </w:r>
      <w:r>
        <w:t xml:space="preserve">(Vol. 14, pp. 207–262). Academic Press.</w:t>
      </w:r>
      <w:r>
        <w:t xml:space="preserve"> </w:t>
      </w:r>
      <w:hyperlink r:id="rId214">
        <w:r>
          <w:rPr>
            <w:rStyle w:val="Hyperlink"/>
          </w:rPr>
          <w:t xml:space="preserve">https://doi.org/10.1016/S0079-7421(08)60162-0</w:t>
        </w:r>
      </w:hyperlink>
    </w:p>
    <w:bookmarkEnd w:id="215"/>
    <w:bookmarkStart w:id="217"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16">
        <w:r>
          <w:rPr>
            <w:rStyle w:val="Hyperlink"/>
          </w:rPr>
          <w:t xml:space="preserve">https://doi.org/10.1038/s41380-023-02062-7</w:t>
        </w:r>
      </w:hyperlink>
    </w:p>
    <w:bookmarkEnd w:id="217"/>
    <w:bookmarkStart w:id="219"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18">
        <w:r>
          <w:rPr>
            <w:rStyle w:val="Hyperlink"/>
          </w:rPr>
          <w:t xml:space="preserve">https://doi.org/10.1111/j.1467-9280.2005.01634.x</w:t>
        </w:r>
      </w:hyperlink>
    </w:p>
    <w:bookmarkEnd w:id="219"/>
    <w:bookmarkStart w:id="221"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20">
        <w:r>
          <w:rPr>
            <w:rStyle w:val="Hyperlink"/>
          </w:rPr>
          <w:t xml:space="preserve">https://doi.org/10.3758/s13423-011-0086-9</w:t>
        </w:r>
      </w:hyperlink>
    </w:p>
    <w:bookmarkEnd w:id="221"/>
    <w:bookmarkStart w:id="223"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22">
        <w:r>
          <w:rPr>
            <w:rStyle w:val="Hyperlink"/>
          </w:rPr>
          <w:t xml:space="preserve">https://doi.org/10.1037/a0013396</w:t>
        </w:r>
      </w:hyperlink>
    </w:p>
    <w:bookmarkEnd w:id="223"/>
    <w:bookmarkStart w:id="225"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24">
        <w:r>
          <w:rPr>
            <w:rStyle w:val="Hyperlink"/>
          </w:rPr>
          <w:t xml:space="preserve">https://doi.org/10.1177/0963721413498893</w:t>
        </w:r>
      </w:hyperlink>
    </w:p>
    <w:bookmarkEnd w:id="225"/>
    <w:bookmarkStart w:id="227"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26">
        <w:r>
          <w:rPr>
            <w:rStyle w:val="Hyperlink"/>
          </w:rPr>
          <w:t xml:space="preserve">https://doi.org/10.1037/rev0000132</w:t>
        </w:r>
      </w:hyperlink>
    </w:p>
    <w:bookmarkEnd w:id="227"/>
    <w:bookmarkStart w:id="229"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28">
        <w:r>
          <w:rPr>
            <w:rStyle w:val="Hyperlink"/>
          </w:rPr>
          <w:t xml:space="preserve">https://doi.org/10.1016/j.jml.2007.01.002</w:t>
        </w:r>
      </w:hyperlink>
    </w:p>
    <w:bookmarkEnd w:id="229"/>
    <w:bookmarkStart w:id="231"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30">
        <w:r>
          <w:rPr>
            <w:rStyle w:val="Hyperlink"/>
          </w:rPr>
          <w:t xml:space="preserve">https://doi.org/10.3758/bf03195864</w:t>
        </w:r>
      </w:hyperlink>
    </w:p>
    <w:bookmarkEnd w:id="231"/>
    <w:bookmarkStart w:id="233" w:name="ref-unsworth2010understanding"/>
    <w:p>
      <w:pPr>
        <w:pStyle w:val="Bibliography"/>
      </w:pPr>
      <w:r>
        <w:t xml:space="preserve">Unsworth, N., Brewer, G. A., &amp; Spillers, G. J. (2010). Understanding the dynamics of correct and error responses in free recall: Evidence from externalized free recall.</w:t>
      </w:r>
      <w:r>
        <w:t xml:space="preserve"> </w:t>
      </w:r>
      <w:r>
        <w:rPr>
          <w:i/>
          <w:iCs/>
        </w:rPr>
        <w:t xml:space="preserve">Memory &amp; Cognition</w:t>
      </w:r>
      <w:r>
        <w:t xml:space="preserve">,</w:t>
      </w:r>
      <w:r>
        <w:t xml:space="preserve"> </w:t>
      </w:r>
      <w:r>
        <w:rPr>
          <w:i/>
          <w:iCs/>
        </w:rPr>
        <w:t xml:space="preserve">38</w:t>
      </w:r>
      <w:r>
        <w:t xml:space="preserve">(4), 419–430.</w:t>
      </w:r>
      <w:r>
        <w:t xml:space="preserve"> </w:t>
      </w:r>
      <w:hyperlink r:id="rId232">
        <w:r>
          <w:rPr>
            <w:rStyle w:val="Hyperlink"/>
          </w:rPr>
          <w:t xml:space="preserve">https://doi.org/10.3758/MC.38.4.419</w:t>
        </w:r>
      </w:hyperlink>
    </w:p>
    <w:bookmarkEnd w:id="233"/>
    <w:bookmarkStart w:id="235"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34">
        <w:r>
          <w:rPr>
            <w:rStyle w:val="Hyperlink"/>
          </w:rPr>
          <w:t xml:space="preserve">https://doi.org/10.1038/s41562-024-01956-y</w:t>
        </w:r>
      </w:hyperlink>
    </w:p>
    <w:bookmarkEnd w:id="235"/>
    <w:bookmarkStart w:id="237"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36">
        <w:r>
          <w:rPr>
            <w:rStyle w:val="Hyperlink"/>
          </w:rPr>
          <w:t xml:space="preserve">https://doi.org/10.1525/collabra.130791</w:t>
        </w:r>
      </w:hyperlink>
    </w:p>
    <w:bookmarkEnd w:id="237"/>
    <w:bookmarkStart w:id="239"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38">
        <w:r>
          <w:rPr>
            <w:rStyle w:val="Hyperlink"/>
          </w:rPr>
          <w:t xml:space="preserve">https://doi.org/10.1037/0278-7393.32.4.792</w:t>
        </w:r>
      </w:hyperlink>
    </w:p>
    <w:bookmarkEnd w:id="239"/>
    <w:bookmarkStart w:id="241"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40">
        <w:r>
          <w:rPr>
            <w:rStyle w:val="Hyperlink"/>
          </w:rPr>
          <w:t xml:space="preserve">https://doi.org/10.1037/rev0000505</w:t>
        </w:r>
      </w:hyperlink>
    </w:p>
    <w:bookmarkEnd w:id="241"/>
    <w:bookmarkEnd w:id="242"/>
    <w:bookmarkEnd w:id="24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71" Target="media/rId71.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88" Target="media/rId88.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5" Target="media/rId105.png" /><Relationship Type="http://schemas.openxmlformats.org/officeDocument/2006/relationships/hyperlink" Id="rId187" Target="https://doi.org/10.1002/acp.1611" TargetMode="External" /><Relationship Type="http://schemas.openxmlformats.org/officeDocument/2006/relationships/hyperlink" Id="rId177" Target="https://doi.org/10.1002/cpp.2489" TargetMode="External" /><Relationship Type="http://schemas.openxmlformats.org/officeDocument/2006/relationships/hyperlink" Id="rId126" Target="https://doi.org/10.1006/jmps.1999.1282" TargetMode="External" /><Relationship Type="http://schemas.openxmlformats.org/officeDocument/2006/relationships/hyperlink" Id="rId157" Target="https://doi.org/10.1006/jmps.2001.1388" TargetMode="External" /><Relationship Type="http://schemas.openxmlformats.org/officeDocument/2006/relationships/hyperlink" Id="rId133" Target="https://doi.org/10.1016/S0005-7967(99)00123-0" TargetMode="External" /><Relationship Type="http://schemas.openxmlformats.org/officeDocument/2006/relationships/hyperlink" Id="rId214" Target="https://doi.org/10.1016/S0079-7421(08)60162-0" TargetMode="External" /><Relationship Type="http://schemas.openxmlformats.org/officeDocument/2006/relationships/hyperlink" Id="rId145" Target="https://doi.org/10.1016/j.actpsy.2007.11.002" TargetMode="External" /><Relationship Type="http://schemas.openxmlformats.org/officeDocument/2006/relationships/hyperlink" Id="rId153" Target="https://doi.org/10.1016/j.brat.2017.03.018" TargetMode="External" /><Relationship Type="http://schemas.openxmlformats.org/officeDocument/2006/relationships/hyperlink" Id="rId170" Target="https://doi.org/10.1016/j.cpr.2016.04.010" TargetMode="External" /><Relationship Type="http://schemas.openxmlformats.org/officeDocument/2006/relationships/hyperlink" Id="rId166" Target="https://doi.org/10.1016/j.cpr.2018.08.005" TargetMode="External" /><Relationship Type="http://schemas.openxmlformats.org/officeDocument/2006/relationships/hyperlink" Id="rId130" Target="https://doi.org/10.1016/j.jbtep.2011.10.008" TargetMode="External" /><Relationship Type="http://schemas.openxmlformats.org/officeDocument/2006/relationships/hyperlink" Id="rId181" Target="https://doi.org/10.1016/j.jbtep.2019.01.006" TargetMode="External" /><Relationship Type="http://schemas.openxmlformats.org/officeDocument/2006/relationships/hyperlink" Id="rId141" Target="https://doi.org/10.1016/j.jbtep.2023.101858" TargetMode="External" /><Relationship Type="http://schemas.openxmlformats.org/officeDocument/2006/relationships/hyperlink" Id="rId112" Target="https://doi.org/10.1016/j.jbtep.2023.101920" TargetMode="External" /><Relationship Type="http://schemas.openxmlformats.org/officeDocument/2006/relationships/hyperlink" Id="rId228"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4" Target="https://doi.org/10.1016/j.jpsychires.2023.01.028" TargetMode="External" /><Relationship Type="http://schemas.openxmlformats.org/officeDocument/2006/relationships/hyperlink" Id="rId212" Target="https://doi.org/10.1016/j.neuropsychologia.2009.02.013" TargetMode="External" /><Relationship Type="http://schemas.openxmlformats.org/officeDocument/2006/relationships/hyperlink" Id="rId208" Target="https://doi.org/10.1016/j.neuropsychologia.2011.08.025" TargetMode="External" /><Relationship Type="http://schemas.openxmlformats.org/officeDocument/2006/relationships/hyperlink" Id="rId118" Target="https://doi.org/10.1016/s2215-0366(25)00397-9" TargetMode="External" /><Relationship Type="http://schemas.openxmlformats.org/officeDocument/2006/relationships/hyperlink" Id="rId122" Target="https://doi.org/10.1037/0033-295X.103.4.670" TargetMode="External" /><Relationship Type="http://schemas.openxmlformats.org/officeDocument/2006/relationships/hyperlink" Id="rId116" Target="https://doi.org/10.1037/0096-3445.129.1.126" TargetMode="External" /><Relationship Type="http://schemas.openxmlformats.org/officeDocument/2006/relationships/hyperlink" Id="rId147" Target="https://doi.org/10.1037/0096-3445.133.1.3" TargetMode="External" /><Relationship Type="http://schemas.openxmlformats.org/officeDocument/2006/relationships/hyperlink" Id="rId155" Target="https://doi.org/10.1037/0278-7393.25.4.923" TargetMode="External" /><Relationship Type="http://schemas.openxmlformats.org/officeDocument/2006/relationships/hyperlink" Id="rId238" Target="https://doi.org/10.1037/0278-7393.32.4.792" TargetMode="External" /><Relationship Type="http://schemas.openxmlformats.org/officeDocument/2006/relationships/hyperlink" Id="rId222" Target="https://doi.org/10.1037/a0013396" TargetMode="External" /><Relationship Type="http://schemas.openxmlformats.org/officeDocument/2006/relationships/hyperlink" Id="rId210" Target="https://doi.org/10.1037/a0014420" TargetMode="External" /><Relationship Type="http://schemas.openxmlformats.org/officeDocument/2006/relationships/hyperlink" Id="rId124" Target="https://doi.org/10.1037/a0018113" TargetMode="External" /><Relationship Type="http://schemas.openxmlformats.org/officeDocument/2006/relationships/hyperlink" Id="rId206" Target="https://doi.org/10.1037/a0022475" TargetMode="External" /><Relationship Type="http://schemas.openxmlformats.org/officeDocument/2006/relationships/hyperlink" Id="rId135" Target="https://doi.org/10.1037/a0033715" TargetMode="External" /><Relationship Type="http://schemas.openxmlformats.org/officeDocument/2006/relationships/hyperlink" Id="rId120" Target="https://doi.org/10.1037/a0033722" TargetMode="External" /><Relationship Type="http://schemas.openxmlformats.org/officeDocument/2006/relationships/hyperlink" Id="rId195" Target="https://doi.org/10.1037/a0039036" TargetMode="External" /><Relationship Type="http://schemas.openxmlformats.org/officeDocument/2006/relationships/hyperlink" Id="rId137" Target="https://doi.org/10.1037/rev0000015" TargetMode="External" /><Relationship Type="http://schemas.openxmlformats.org/officeDocument/2006/relationships/hyperlink" Id="rId226" Target="https://doi.org/10.1037/rev0000132" TargetMode="External" /><Relationship Type="http://schemas.openxmlformats.org/officeDocument/2006/relationships/hyperlink" Id="rId128" Target="https://doi.org/10.1037/rev0000334" TargetMode="External" /><Relationship Type="http://schemas.openxmlformats.org/officeDocument/2006/relationships/hyperlink" Id="rId240" Target="https://doi.org/10.1037/rev0000505" TargetMode="External" /><Relationship Type="http://schemas.openxmlformats.org/officeDocument/2006/relationships/hyperlink" Id="rId189" Target="https://doi.org/10.1037/xge0000598" TargetMode="External" /><Relationship Type="http://schemas.openxmlformats.org/officeDocument/2006/relationships/hyperlink" Id="rId193" Target="https://doi.org/10.1037/xge0001354" TargetMode="External" /><Relationship Type="http://schemas.openxmlformats.org/officeDocument/2006/relationships/hyperlink" Id="rId162" Target="https://doi.org/10.1038/mp.2017.23" TargetMode="External" /><Relationship Type="http://schemas.openxmlformats.org/officeDocument/2006/relationships/hyperlink" Id="rId183" Target="https://doi.org/10.1038/nn.2271" TargetMode="External" /><Relationship Type="http://schemas.openxmlformats.org/officeDocument/2006/relationships/hyperlink" Id="rId216" Target="https://doi.org/10.1038/s41380-023-02062-7" TargetMode="External" /><Relationship Type="http://schemas.openxmlformats.org/officeDocument/2006/relationships/hyperlink" Id="rId164" Target="https://doi.org/10.1038/s41398-023-02578-0" TargetMode="External" /><Relationship Type="http://schemas.openxmlformats.org/officeDocument/2006/relationships/hyperlink" Id="rId204" Target="https://doi.org/10.1038/s41467-017-01184-1" TargetMode="External" /><Relationship Type="http://schemas.openxmlformats.org/officeDocument/2006/relationships/hyperlink" Id="rId234" Target="https://doi.org/10.1038/s41562-024-01956-y" TargetMode="External" /><Relationship Type="http://schemas.openxmlformats.org/officeDocument/2006/relationships/hyperlink" Id="rId160" Target="https://doi.org/10.1101/lm.1022308" TargetMode="External" /><Relationship Type="http://schemas.openxmlformats.org/officeDocument/2006/relationships/hyperlink" Id="rId218" Target="https://doi.org/10.1111/j.1467-9280.2005.01634.x" TargetMode="External" /><Relationship Type="http://schemas.openxmlformats.org/officeDocument/2006/relationships/hyperlink" Id="rId175" Target="https://doi.org/10.1146/annurev-psych-010418-103358" TargetMode="External" /><Relationship Type="http://schemas.openxmlformats.org/officeDocument/2006/relationships/hyperlink" Id="rId168" Target="https://doi.org/10.1177/0956797615583071" TargetMode="External" /><Relationship Type="http://schemas.openxmlformats.org/officeDocument/2006/relationships/hyperlink" Id="rId224" Target="https://doi.org/10.1177/0963721413498893" TargetMode="External" /><Relationship Type="http://schemas.openxmlformats.org/officeDocument/2006/relationships/hyperlink" Id="rId191" Target="https://doi.org/10.1177/2167702621998315" TargetMode="External" /><Relationship Type="http://schemas.openxmlformats.org/officeDocument/2006/relationships/hyperlink" Id="rId179" Target="https://doi.org/10.1186/s12916-024-03569-8" TargetMode="External" /><Relationship Type="http://schemas.openxmlformats.org/officeDocument/2006/relationships/hyperlink" Id="rId149" Target="https://doi.org/10.1371/journal.pone.0004153" TargetMode="External" /><Relationship Type="http://schemas.openxmlformats.org/officeDocument/2006/relationships/hyperlink" Id="rId151" Target="https://doi.org/10.1371/journal.pone.0013706" TargetMode="External" /><Relationship Type="http://schemas.openxmlformats.org/officeDocument/2006/relationships/hyperlink" Id="rId185" Target="https://doi.org/10.1523/JNEUROSCI.3378-14.2015" TargetMode="External" /><Relationship Type="http://schemas.openxmlformats.org/officeDocument/2006/relationships/hyperlink" Id="rId236" Target="https://doi.org/10.1525/collabra.130791" TargetMode="External" /><Relationship Type="http://schemas.openxmlformats.org/officeDocument/2006/relationships/hyperlink" Id="rId143" Target="https://doi.org/10.31234/osf.io/sm3fw" TargetMode="External" /><Relationship Type="http://schemas.openxmlformats.org/officeDocument/2006/relationships/hyperlink" Id="rId232" Target="https://doi.org/10.3758/MC.38.4.419" TargetMode="External" /><Relationship Type="http://schemas.openxmlformats.org/officeDocument/2006/relationships/hyperlink" Id="rId230" Target="https://doi.org/10.3758/bf03195864" TargetMode="External" /><Relationship Type="http://schemas.openxmlformats.org/officeDocument/2006/relationships/hyperlink" Id="rId139" Target="https://doi.org/10.3758/s13421-023-01453-z" TargetMode="External" /><Relationship Type="http://schemas.openxmlformats.org/officeDocument/2006/relationships/hyperlink" Id="rId220" Target="https://doi.org/10.3758/s13423-011-0086-9" TargetMode="External" /><Relationship Type="http://schemas.openxmlformats.org/officeDocument/2006/relationships/hyperlink" Id="rId197" Target="https://doi.org/10.3758/s13423-025-02744-z" TargetMode="External" /><Relationship Type="http://schemas.openxmlformats.org/officeDocument/2006/relationships/hyperlink" Id="rId172" Target="https://memory.psych.upenn.edu/files/pubs/JinEtal24.pdf" TargetMode="External" /><Relationship Type="http://schemas.openxmlformats.org/officeDocument/2006/relationships/hyperlink" Id="rId200"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87" Target="https://doi.org/10.1002/acp.1611" TargetMode="External" /><Relationship Type="http://schemas.openxmlformats.org/officeDocument/2006/relationships/hyperlink" Id="rId177" Target="https://doi.org/10.1002/cpp.2489" TargetMode="External" /><Relationship Type="http://schemas.openxmlformats.org/officeDocument/2006/relationships/hyperlink" Id="rId126" Target="https://doi.org/10.1006/jmps.1999.1282" TargetMode="External" /><Relationship Type="http://schemas.openxmlformats.org/officeDocument/2006/relationships/hyperlink" Id="rId157" Target="https://doi.org/10.1006/jmps.2001.1388" TargetMode="External" /><Relationship Type="http://schemas.openxmlformats.org/officeDocument/2006/relationships/hyperlink" Id="rId133" Target="https://doi.org/10.1016/S0005-7967(99)00123-0" TargetMode="External" /><Relationship Type="http://schemas.openxmlformats.org/officeDocument/2006/relationships/hyperlink" Id="rId214" Target="https://doi.org/10.1016/S0079-7421(08)60162-0" TargetMode="External" /><Relationship Type="http://schemas.openxmlformats.org/officeDocument/2006/relationships/hyperlink" Id="rId145" Target="https://doi.org/10.1016/j.actpsy.2007.11.002" TargetMode="External" /><Relationship Type="http://schemas.openxmlformats.org/officeDocument/2006/relationships/hyperlink" Id="rId153" Target="https://doi.org/10.1016/j.brat.2017.03.018" TargetMode="External" /><Relationship Type="http://schemas.openxmlformats.org/officeDocument/2006/relationships/hyperlink" Id="rId170" Target="https://doi.org/10.1016/j.cpr.2016.04.010" TargetMode="External" /><Relationship Type="http://schemas.openxmlformats.org/officeDocument/2006/relationships/hyperlink" Id="rId166" Target="https://doi.org/10.1016/j.cpr.2018.08.005" TargetMode="External" /><Relationship Type="http://schemas.openxmlformats.org/officeDocument/2006/relationships/hyperlink" Id="rId130" Target="https://doi.org/10.1016/j.jbtep.2011.10.008" TargetMode="External" /><Relationship Type="http://schemas.openxmlformats.org/officeDocument/2006/relationships/hyperlink" Id="rId181" Target="https://doi.org/10.1016/j.jbtep.2019.01.006" TargetMode="External" /><Relationship Type="http://schemas.openxmlformats.org/officeDocument/2006/relationships/hyperlink" Id="rId141" Target="https://doi.org/10.1016/j.jbtep.2023.101858" TargetMode="External" /><Relationship Type="http://schemas.openxmlformats.org/officeDocument/2006/relationships/hyperlink" Id="rId112" Target="https://doi.org/10.1016/j.jbtep.2023.101920" TargetMode="External" /><Relationship Type="http://schemas.openxmlformats.org/officeDocument/2006/relationships/hyperlink" Id="rId228"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4" Target="https://doi.org/10.1016/j.jpsychires.2023.01.028" TargetMode="External" /><Relationship Type="http://schemas.openxmlformats.org/officeDocument/2006/relationships/hyperlink" Id="rId212" Target="https://doi.org/10.1016/j.neuropsychologia.2009.02.013" TargetMode="External" /><Relationship Type="http://schemas.openxmlformats.org/officeDocument/2006/relationships/hyperlink" Id="rId208" Target="https://doi.org/10.1016/j.neuropsychologia.2011.08.025" TargetMode="External" /><Relationship Type="http://schemas.openxmlformats.org/officeDocument/2006/relationships/hyperlink" Id="rId118" Target="https://doi.org/10.1016/s2215-0366(25)00397-9" TargetMode="External" /><Relationship Type="http://schemas.openxmlformats.org/officeDocument/2006/relationships/hyperlink" Id="rId122" Target="https://doi.org/10.1037/0033-295X.103.4.670" TargetMode="External" /><Relationship Type="http://schemas.openxmlformats.org/officeDocument/2006/relationships/hyperlink" Id="rId116" Target="https://doi.org/10.1037/0096-3445.129.1.126" TargetMode="External" /><Relationship Type="http://schemas.openxmlformats.org/officeDocument/2006/relationships/hyperlink" Id="rId147" Target="https://doi.org/10.1037/0096-3445.133.1.3" TargetMode="External" /><Relationship Type="http://schemas.openxmlformats.org/officeDocument/2006/relationships/hyperlink" Id="rId155" Target="https://doi.org/10.1037/0278-7393.25.4.923" TargetMode="External" /><Relationship Type="http://schemas.openxmlformats.org/officeDocument/2006/relationships/hyperlink" Id="rId238" Target="https://doi.org/10.1037/0278-7393.32.4.792" TargetMode="External" /><Relationship Type="http://schemas.openxmlformats.org/officeDocument/2006/relationships/hyperlink" Id="rId222" Target="https://doi.org/10.1037/a0013396" TargetMode="External" /><Relationship Type="http://schemas.openxmlformats.org/officeDocument/2006/relationships/hyperlink" Id="rId210" Target="https://doi.org/10.1037/a0014420" TargetMode="External" /><Relationship Type="http://schemas.openxmlformats.org/officeDocument/2006/relationships/hyperlink" Id="rId124" Target="https://doi.org/10.1037/a0018113" TargetMode="External" /><Relationship Type="http://schemas.openxmlformats.org/officeDocument/2006/relationships/hyperlink" Id="rId206" Target="https://doi.org/10.1037/a0022475" TargetMode="External" /><Relationship Type="http://schemas.openxmlformats.org/officeDocument/2006/relationships/hyperlink" Id="rId135" Target="https://doi.org/10.1037/a0033715" TargetMode="External" /><Relationship Type="http://schemas.openxmlformats.org/officeDocument/2006/relationships/hyperlink" Id="rId120" Target="https://doi.org/10.1037/a0033722" TargetMode="External" /><Relationship Type="http://schemas.openxmlformats.org/officeDocument/2006/relationships/hyperlink" Id="rId195" Target="https://doi.org/10.1037/a0039036" TargetMode="External" /><Relationship Type="http://schemas.openxmlformats.org/officeDocument/2006/relationships/hyperlink" Id="rId137" Target="https://doi.org/10.1037/rev0000015" TargetMode="External" /><Relationship Type="http://schemas.openxmlformats.org/officeDocument/2006/relationships/hyperlink" Id="rId226" Target="https://doi.org/10.1037/rev0000132" TargetMode="External" /><Relationship Type="http://schemas.openxmlformats.org/officeDocument/2006/relationships/hyperlink" Id="rId128" Target="https://doi.org/10.1037/rev0000334" TargetMode="External" /><Relationship Type="http://schemas.openxmlformats.org/officeDocument/2006/relationships/hyperlink" Id="rId240" Target="https://doi.org/10.1037/rev0000505" TargetMode="External" /><Relationship Type="http://schemas.openxmlformats.org/officeDocument/2006/relationships/hyperlink" Id="rId189" Target="https://doi.org/10.1037/xge0000598" TargetMode="External" /><Relationship Type="http://schemas.openxmlformats.org/officeDocument/2006/relationships/hyperlink" Id="rId193" Target="https://doi.org/10.1037/xge0001354" TargetMode="External" /><Relationship Type="http://schemas.openxmlformats.org/officeDocument/2006/relationships/hyperlink" Id="rId162" Target="https://doi.org/10.1038/mp.2017.23" TargetMode="External" /><Relationship Type="http://schemas.openxmlformats.org/officeDocument/2006/relationships/hyperlink" Id="rId183" Target="https://doi.org/10.1038/nn.2271" TargetMode="External" /><Relationship Type="http://schemas.openxmlformats.org/officeDocument/2006/relationships/hyperlink" Id="rId216" Target="https://doi.org/10.1038/s41380-023-02062-7" TargetMode="External" /><Relationship Type="http://schemas.openxmlformats.org/officeDocument/2006/relationships/hyperlink" Id="rId164" Target="https://doi.org/10.1038/s41398-023-02578-0" TargetMode="External" /><Relationship Type="http://schemas.openxmlformats.org/officeDocument/2006/relationships/hyperlink" Id="rId204" Target="https://doi.org/10.1038/s41467-017-01184-1" TargetMode="External" /><Relationship Type="http://schemas.openxmlformats.org/officeDocument/2006/relationships/hyperlink" Id="rId234" Target="https://doi.org/10.1038/s41562-024-01956-y" TargetMode="External" /><Relationship Type="http://schemas.openxmlformats.org/officeDocument/2006/relationships/hyperlink" Id="rId160" Target="https://doi.org/10.1101/lm.1022308" TargetMode="External" /><Relationship Type="http://schemas.openxmlformats.org/officeDocument/2006/relationships/hyperlink" Id="rId218" Target="https://doi.org/10.1111/j.1467-9280.2005.01634.x" TargetMode="External" /><Relationship Type="http://schemas.openxmlformats.org/officeDocument/2006/relationships/hyperlink" Id="rId175" Target="https://doi.org/10.1146/annurev-psych-010418-103358" TargetMode="External" /><Relationship Type="http://schemas.openxmlformats.org/officeDocument/2006/relationships/hyperlink" Id="rId168" Target="https://doi.org/10.1177/0956797615583071" TargetMode="External" /><Relationship Type="http://schemas.openxmlformats.org/officeDocument/2006/relationships/hyperlink" Id="rId224" Target="https://doi.org/10.1177/0963721413498893" TargetMode="External" /><Relationship Type="http://schemas.openxmlformats.org/officeDocument/2006/relationships/hyperlink" Id="rId191" Target="https://doi.org/10.1177/2167702621998315" TargetMode="External" /><Relationship Type="http://schemas.openxmlformats.org/officeDocument/2006/relationships/hyperlink" Id="rId179" Target="https://doi.org/10.1186/s12916-024-03569-8" TargetMode="External" /><Relationship Type="http://schemas.openxmlformats.org/officeDocument/2006/relationships/hyperlink" Id="rId149" Target="https://doi.org/10.1371/journal.pone.0004153" TargetMode="External" /><Relationship Type="http://schemas.openxmlformats.org/officeDocument/2006/relationships/hyperlink" Id="rId151" Target="https://doi.org/10.1371/journal.pone.0013706" TargetMode="External" /><Relationship Type="http://schemas.openxmlformats.org/officeDocument/2006/relationships/hyperlink" Id="rId185" Target="https://doi.org/10.1523/JNEUROSCI.3378-14.2015" TargetMode="External" /><Relationship Type="http://schemas.openxmlformats.org/officeDocument/2006/relationships/hyperlink" Id="rId236" Target="https://doi.org/10.1525/collabra.130791" TargetMode="External" /><Relationship Type="http://schemas.openxmlformats.org/officeDocument/2006/relationships/hyperlink" Id="rId143" Target="https://doi.org/10.31234/osf.io/sm3fw" TargetMode="External" /><Relationship Type="http://schemas.openxmlformats.org/officeDocument/2006/relationships/hyperlink" Id="rId232" Target="https://doi.org/10.3758/MC.38.4.419" TargetMode="External" /><Relationship Type="http://schemas.openxmlformats.org/officeDocument/2006/relationships/hyperlink" Id="rId230" Target="https://doi.org/10.3758/bf03195864" TargetMode="External" /><Relationship Type="http://schemas.openxmlformats.org/officeDocument/2006/relationships/hyperlink" Id="rId139" Target="https://doi.org/10.3758/s13421-023-01453-z" TargetMode="External" /><Relationship Type="http://schemas.openxmlformats.org/officeDocument/2006/relationships/hyperlink" Id="rId220" Target="https://doi.org/10.3758/s13423-011-0086-9" TargetMode="External" /><Relationship Type="http://schemas.openxmlformats.org/officeDocument/2006/relationships/hyperlink" Id="rId197" Target="https://doi.org/10.3758/s13423-025-02744-z" TargetMode="External" /><Relationship Type="http://schemas.openxmlformats.org/officeDocument/2006/relationships/hyperlink" Id="rId172" Target="https://memory.psych.upenn.edu/files/pubs/JinEtal24.pdf" TargetMode="External" /><Relationship Type="http://schemas.openxmlformats.org/officeDocument/2006/relationships/hyperlink" Id="rId200"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2026-07-08T08:48:00Z</dcterms:created>
  <dcterms:modified xsi:type="dcterms:W3CDTF">2026-07-08T08:48:00Z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