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79.png" ContentType="image/png"/>
  <Override PartName="/word/media/rId75.png" ContentType="image/png"/>
  <Override PartName="/word/media/rId71.png" ContentType="image/png"/>
  <Override PartName="/word/media/rId84.png" ContentType="image/png"/>
  <Override PartName="/word/media/rId92.png" ContentType="image/png"/>
  <Override PartName="/word/media/rId88.png" ContentType="image/png"/>
  <Override PartName="/word/media/rId96.png" ContentType="image/png"/>
  <Override PartName="/word/media/rId100.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recognition-and-supplied-film-items"/>
    <w:p>
      <w:pPr>
        <w:pStyle w:val="Heading2"/>
      </w:pPr>
      <w:r>
        <w:t xml:space="preserve">Recognition and Supplied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A retrieved-context account therefore interprets the dissociation between recognition and intrusion-like measures under reminder-linked task interference as primarily test-format dissociations.</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one recognition probe can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film-related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film-related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film-related context.</w:t>
      </w:r>
      <w:r>
        <w:t xml:space="preserve"> </w:t>
      </w:r>
      <w:hyperlink w:anchor="fig-recognition-test-format">
        <w:r>
          <w:rPr>
            <w:rStyle w:val="Hyperlink"/>
          </w:rPr>
          <w:t xml:space="preserve">Figure 13</w:t>
        </w:r>
      </w:hyperlink>
      <w:r>
        <w:t xml:space="preserve"> </w:t>
      </w:r>
      <w:r>
        <w:t xml:space="preserve">formalizes this supplied-item route: reminder-linked task items remain competitors during context-guided recall, but they do not compete for the initial availability of a presented film probe.</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supplied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film-related context across the retrieval period, film cues can support recall in both monitoring and deliberate-search conditions.</w:t>
      </w:r>
      <w:r>
        <w:t xml:space="preserve"> </w:t>
      </w:r>
      <w:r>
        <w:t xml:space="preserve">That cue support does not automatically remove reminder-linked competition.</w:t>
      </w:r>
      <w:r>
        <w:t xml:space="preserve"> </w:t>
      </w:r>
      <w:r>
        <w:t xml:space="preserve">After reminder-linked task encoding, the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supplied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associating task events with film-overlapping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Retrieved-context models provide a formal precedent for this kind of non-temporal support: semantic, task, and source information can contribute to candidate support alongside temporal context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Category-directed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use this logic in reduced form by adding a maintained film-category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making recall less sensitive to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film-related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68"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after reminder-linked encoding.</w:t>
      </w:r>
      <w:r>
        <w:t xml:space="preserve"> </w:t>
      </w:r>
      <w:r>
        <w:t xml:space="preserve">For the delay periods, they represent filler items: non-film events that can also be encoded and later sampled.</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47" w:name="tbl-model-notation"/>
    <w:p>
      <w:pPr>
        <w:pStyle w:val="FigureTitle"/>
      </w:pPr>
      <w:r>
        <w:t xml:space="preserve">Table 1</w:t>
      </w:r>
    </w:p>
    <w:p>
      <w:pPr>
        <w:pStyle w:val="Caption"/>
      </w:pPr>
      <w:r>
        <w:t xml:space="preserve">Core notation used in the model specification.</w:t>
      </w:r>
      <w:r>
        <w:t xml:space="preserve"> </w:t>
      </w:r>
      <w:r>
        <w:t xml:space="preserve">Parameters are defined with the operations they control, and numerical values are reported with the simulation methodology.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Role</w:t>
            </w:r>
          </w:p>
        </w:tc>
        <w:tc>
          <w:tcPr/>
          <w:p>
            <w:pPr>
              <w:pStyle w:val="Compact"/>
            </w:pPr>
            <w:r>
              <w:t xml:space="preserve">Main use</w:t>
            </w:r>
          </w:p>
        </w:tc>
      </w:tr>
      <w:tr>
        <w:tc>
          <w:tcPr/>
          <w:p>
            <w:pPr>
              <w:pStyle w:val="Compact"/>
            </w:pPr>
            <m:oMath>
              <m:sSub>
                <m:e>
                  <m:r>
                    <m:t>f</m:t>
                  </m:r>
                </m:e>
                <m:sub>
                  <m:r>
                    <m:t>i</m:t>
                  </m:r>
                </m:sub>
              </m:sSub>
            </m:oMath>
          </w:p>
        </w:tc>
        <w:tc>
          <w:tcPr/>
          <w:p>
            <w:pPr>
              <w:pStyle w:val="Compact"/>
            </w:pPr>
            <w:r>
              <w:t xml:space="preserve">Item feature vector for encoded event</w:t>
            </w:r>
            <w:r>
              <w:t xml:space="preserve"> </w:t>
            </w:r>
            <m:oMath>
              <m:r>
                <m:t>i</m:t>
              </m:r>
            </m:oMath>
          </w:p>
        </w:tc>
        <w:tc>
          <w:tcPr/>
          <w:p>
            <w:pPr>
              <w:pStyle w:val="Compact"/>
            </w:pPr>
            <w:r>
              <w:t xml:space="preserve">Encoding, reminders, recall updates, recognition probes</w:t>
            </w:r>
          </w:p>
        </w:tc>
      </w:tr>
      <w:tr>
        <w:tc>
          <w:tcPr/>
          <w:p>
            <w:pPr>
              <w:pStyle w:val="Compact"/>
            </w:pPr>
            <m:oMath>
              <m:sSub>
                <m:e>
                  <m:r>
                    <m:t>s</m:t>
                  </m:r>
                </m:e>
                <m:sub>
                  <m:r>
                    <m:t>i</m:t>
                  </m:r>
                </m:sub>
              </m:sSub>
            </m:oMath>
          </w:p>
        </w:tc>
        <w:tc>
          <w:tcPr/>
          <w:p>
            <w:pPr>
              <w:pStyle w:val="Compact"/>
            </w:pPr>
            <w:r>
              <w:t xml:space="preserve">Source feature vector distinguishing film from non-film items</w:t>
            </w:r>
          </w:p>
        </w:tc>
        <w:tc>
          <w:tcPr/>
          <w:p>
            <w:pPr>
              <w:pStyle w:val="Compact"/>
            </w:pPr>
            <w:r>
              <w:t xml:space="preserve">Source-context encoding</w:t>
            </w:r>
          </w:p>
        </w:tc>
      </w:tr>
      <w:tr>
        <w:tc>
          <w:tcPr/>
          <w:p>
            <w:pPr>
              <w:pStyle w:val="Compact"/>
            </w:pPr>
            <m:oMath>
              <m:sSub>
                <m:e>
                  <m:r>
                    <m:t>c</m:t>
                  </m:r>
                </m:e>
                <m:sub>
                  <m:r>
                    <m:t>i</m:t>
                  </m:r>
                </m:sub>
              </m:sSub>
            </m:oMath>
          </w:p>
        </w:tc>
        <w:tc>
          <w:tcPr/>
          <w:p>
            <w:pPr>
              <w:pStyle w:val="Compact"/>
            </w:pPr>
            <w:r>
              <w:t xml:space="preserve">Context state after encoded event</w:t>
            </w:r>
            <w:r>
              <w:t xml:space="preserve"> </w:t>
            </w:r>
            <m:oMath>
              <m:r>
                <m:t>i</m:t>
              </m:r>
            </m:oMath>
          </w:p>
        </w:tc>
        <w:tc>
          <w:tcPr/>
          <w:p>
            <w:pPr>
              <w:pStyle w:val="Compact"/>
            </w:pPr>
            <w:r>
              <w:t xml:space="preserve">Encoding and learning</w:t>
            </w:r>
          </w:p>
        </w:tc>
      </w:tr>
      <w:tr>
        <w:tc>
          <w:tcPr/>
          <w:p>
            <w:pPr>
              <w:pStyle w:val="Compact"/>
            </w:pPr>
            <m:oMath>
              <m:sSup>
                <m:e>
                  <m:r>
                    <m:t>M</m:t>
                  </m:r>
                </m:e>
                <m:sup>
                  <m:r>
                    <m:t>F</m:t>
                  </m:r>
                  <m:r>
                    <m:t>C</m:t>
                  </m:r>
                </m:sup>
              </m:sSup>
            </m:oMath>
          </w:p>
        </w:tc>
        <w:tc>
          <w:tcPr/>
          <w:p>
            <w:pPr>
              <w:pStyle w:val="Compact"/>
            </w:pPr>
            <w:r>
              <w:t xml:space="preserve">Feature-to-context associations</w:t>
            </w:r>
          </w:p>
        </w:tc>
        <w:tc>
          <w:tcPr/>
          <w:p>
            <w:pPr>
              <w:pStyle w:val="Compact"/>
            </w:pPr>
            <w:r>
              <w:t xml:space="preserve">Context reinstatement from encoded, cued, sampled, or probed items</w:t>
            </w:r>
          </w:p>
        </w:tc>
      </w:tr>
      <w:tr>
        <w:tc>
          <w:tcPr/>
          <w:p>
            <w:pPr>
              <w:pStyle w:val="Compact"/>
            </w:pPr>
            <m:oMath>
              <m:sSup>
                <m:e>
                  <m:r>
                    <m:t>M</m:t>
                  </m:r>
                </m:e>
                <m:sup>
                  <m:r>
                    <m:t>C</m:t>
                  </m:r>
                  <m:r>
                    <m:t>F</m:t>
                  </m:r>
                </m:sup>
              </m:sSup>
            </m:oMath>
          </w:p>
        </w:tc>
        <w:tc>
          <w:tcPr/>
          <w:p>
            <w:pPr>
              <w:pStyle w:val="Compact"/>
            </w:pPr>
            <w:r>
              <w:t xml:space="preserve">Context-to-feature associations</w:t>
            </w:r>
          </w:p>
        </w:tc>
        <w:tc>
          <w:tcPr/>
          <w:p>
            <w:pPr>
              <w:pStyle w:val="Compact"/>
            </w:pPr>
            <w:r>
              <w:t xml:space="preserve">Candidate support during context-guided recall</w:t>
            </w:r>
          </w:p>
        </w:tc>
      </w:tr>
      <w:tr>
        <w:tc>
          <w:tcPr/>
          <w:p>
            <w:pPr>
              <w:pStyle w:val="Compact"/>
            </w:pPr>
            <m:oMath>
              <m:r>
                <m:t>α</m:t>
              </m:r>
            </m:oMath>
          </w:p>
        </w:tc>
        <w:tc>
          <w:tcPr/>
          <w:p>
            <w:pPr>
              <w:pStyle w:val="Compact"/>
            </w:pPr>
            <w:r>
              <w:t xml:space="preserve">Background support from nonpaired item-associated context units</w:t>
            </w:r>
          </w:p>
        </w:tc>
        <w:tc>
          <w:tcPr/>
          <w:p>
            <w:pPr>
              <w:pStyle w:val="Compact"/>
            </w:pPr>
            <w:r>
              <w:t xml:space="preserve">Initial</w:t>
            </w:r>
            <w:r>
              <w:t xml:space="preserve"> </w:t>
            </w:r>
            <m:oMath>
              <m:sSup>
                <m:e>
                  <m:r>
                    <m:t>M</m:t>
                  </m:r>
                </m:e>
                <m:sup>
                  <m:r>
                    <m:t>C</m:t>
                  </m:r>
                  <m:r>
                    <m:t>F</m:t>
                  </m:r>
                </m:sup>
              </m:sSup>
            </m:oMath>
          </w:p>
        </w:tc>
      </w:tr>
      <w:tr>
        <w:tc>
          <w:tcPr/>
          <w:p>
            <w:pPr>
              <w:pStyle w:val="Compact"/>
            </w:pPr>
            <m:oMath>
              <m:r>
                <m:t>δ</m:t>
              </m:r>
            </m:oMath>
          </w:p>
        </w:tc>
        <w:tc>
          <w:tcPr/>
          <w:p>
            <w:pPr>
              <w:pStyle w:val="Compact"/>
            </w:pPr>
            <w:r>
              <w:t xml:space="preserve">Support from each item’s paired context unit</w:t>
            </w:r>
          </w:p>
        </w:tc>
        <w:tc>
          <w:tcPr/>
          <w:p>
            <w:pPr>
              <w:pStyle w:val="Compact"/>
            </w:pPr>
            <w:r>
              <w:t xml:space="preserve">Initial</w:t>
            </w:r>
            <w:r>
              <w:t xml:space="preserve"> </w:t>
            </w:r>
            <m:oMath>
              <m:sSup>
                <m:e>
                  <m:r>
                    <m:t>M</m:t>
                  </m:r>
                </m:e>
                <m:sup>
                  <m:r>
                    <m:t>C</m:t>
                  </m:r>
                  <m:r>
                    <m:t>F</m:t>
                  </m:r>
                </m:sup>
              </m:sSup>
            </m:oMath>
          </w:p>
        </w:tc>
      </w:tr>
      <w:tr>
        <w:tc>
          <w:tcPr/>
          <w:p>
            <w:pPr>
              <w:pStyle w:val="Compact"/>
            </w:pPr>
            <m:oMath>
              <m:sSub>
                <m:e>
                  <m:r>
                    <m:t>β</m:t>
                  </m:r>
                </m:e>
                <m:sub>
                  <m:r>
                    <m:rPr>
                      <m:sty m:val="p"/>
                    </m:rPr>
                    <m:t>e</m:t>
                  </m:r>
                  <m:r>
                    <m:rPr>
                      <m:sty m:val="p"/>
                    </m:rPr>
                    <m:t>n</m:t>
                  </m:r>
                  <m:r>
                    <m:rPr>
                      <m:sty m:val="p"/>
                    </m:rPr>
                    <m:t>c</m:t>
                  </m:r>
                </m:sub>
              </m:sSub>
            </m:oMath>
          </w:p>
        </w:tc>
        <w:tc>
          <w:tcPr/>
          <w:p>
            <w:pPr>
              <w:pStyle w:val="Compact"/>
            </w:pPr>
            <w:r>
              <w:t xml:space="preserve">Drift toward item-cued context input during encoding</w:t>
            </w:r>
          </w:p>
        </w:tc>
        <w:tc>
          <w:tcPr/>
          <w:p>
            <w:pPr>
              <w:pStyle w:val="Compact"/>
            </w:pPr>
            <w:r>
              <w:t xml:space="preserve">Film, task, and filler encoding</w:t>
            </w:r>
          </w:p>
        </w:tc>
      </w:tr>
      <w:tr>
        <w:tc>
          <w:tcPr/>
          <w:p>
            <w:pPr>
              <w:pStyle w:val="Compact"/>
            </w:pPr>
            <m:oMath>
              <m:sSub>
                <m:e>
                  <m:r>
                    <m:t>β</m:t>
                  </m:r>
                </m:e>
                <m:sub>
                  <m:r>
                    <m:rPr>
                      <m:sty m:val="p"/>
                    </m:rPr>
                    <m:t>r</m:t>
                  </m:r>
                  <m:r>
                    <m:rPr>
                      <m:sty m:val="p"/>
                    </m:rPr>
                    <m:t>e</m:t>
                  </m:r>
                  <m:r>
                    <m:rPr>
                      <m:sty m:val="p"/>
                    </m:rPr>
                    <m:t>c</m:t>
                  </m:r>
                </m:sub>
              </m:sSub>
            </m:oMath>
          </w:p>
        </w:tc>
        <w:tc>
          <w:tcPr/>
          <w:p>
            <w:pPr>
              <w:pStyle w:val="Compact"/>
            </w:pPr>
            <w:r>
              <w:t xml:space="preserve">Drift toward a sampled item’s associated context</w:t>
            </w:r>
          </w:p>
        </w:tc>
        <w:tc>
          <w:tcPr/>
          <w:p>
            <w:pPr>
              <w:pStyle w:val="Compact"/>
            </w:pPr>
            <w:r>
              <w:t xml:space="preserve">Recall updates</w:t>
            </w:r>
          </w:p>
        </w:tc>
      </w:tr>
      <w:tr>
        <w:tc>
          <w:tcPr/>
          <w:p>
            <w:pPr>
              <w:pStyle w:val="Compact"/>
            </w:pPr>
            <m:oMath>
              <m:sSub>
                <m:e>
                  <m:r>
                    <m:t>β</m:t>
                  </m:r>
                </m:e>
                <m:sub>
                  <m:r>
                    <m:t>e</m:t>
                  </m:r>
                  <m:r>
                    <m:t>m</m:t>
                  </m:r>
                  <m:r>
                    <m:t>o</m:t>
                  </m:r>
                  <m:r>
                    <m:t>t</m:t>
                  </m:r>
                </m:sub>
              </m:sSub>
            </m:oMath>
          </w:p>
        </w:tc>
        <w:tc>
          <w:tcPr/>
          <w:p>
            <w:pPr>
              <w:pStyle w:val="Compact"/>
            </w:pPr>
            <w:r>
              <w:t xml:space="preserve">Drift in the source-context component</w:t>
            </w:r>
          </w:p>
        </w:tc>
        <w:tc>
          <w:tcPr/>
          <w:p>
            <w:pPr>
              <w:pStyle w:val="Compact"/>
            </w:pPr>
            <w:r>
              <w:t xml:space="preserve">Source-context encoding</w:t>
            </w:r>
          </w:p>
        </w:tc>
      </w:tr>
      <w:tr>
        <w:tc>
          <w:tcPr/>
          <w:p>
            <w:pPr>
              <w:pStyle w:val="Compact"/>
            </w:pPr>
            <m:oMath>
              <m:r>
                <m:t>γ</m:t>
              </m:r>
            </m:oMath>
          </w:p>
        </w:tc>
        <w:tc>
          <w:tcPr/>
          <w:p>
            <w:pPr>
              <w:pStyle w:val="Compact"/>
            </w:pPr>
            <w:r>
              <w:t xml:space="preserve">Feature-to-context learning rate</w:t>
            </w:r>
          </w:p>
        </w:tc>
        <w:tc>
          <w:tcPr/>
          <w:p>
            <w:pPr>
              <w:pStyle w:val="Compact"/>
            </w:pPr>
            <w:r>
              <w:t xml:space="preserve">Updates to</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Updates to</w:t>
            </w:r>
            <w:r>
              <w:t xml:space="preserve"> </w:t>
            </w:r>
            <m:oMath>
              <m:sSup>
                <m:e>
                  <m:r>
                    <m:t>M</m:t>
                  </m:r>
                </m:e>
                <m:sup>
                  <m:r>
                    <m:t>C</m:t>
                  </m:r>
                  <m:r>
                    <m:t>F</m:t>
                  </m:r>
                </m:sup>
              </m:sSup>
            </m:oMath>
          </w:p>
        </w:tc>
      </w:tr>
      <w:tr>
        <w:tc>
          <w:tcPr/>
          <w:p>
            <w:pPr>
              <w:pStyle w:val="Compact"/>
            </w:pPr>
            <m:oMath>
              <m:sSub>
                <m:e>
                  <m:r>
                    <m:t>ϕ</m:t>
                  </m:r>
                </m:e>
                <m:sub>
                  <m:r>
                    <m:t>i</m:t>
                  </m:r>
                </m:sub>
              </m:sSub>
            </m:oMath>
          </w:p>
        </w:tc>
        <w:tc>
          <w:tcPr/>
          <w:p>
            <w:pPr>
              <w:pStyle w:val="Compact"/>
            </w:pPr>
            <w:r>
              <w:t xml:space="preserve">Primacy learning scale for event</w:t>
            </w:r>
            <w:r>
              <w:t xml:space="preserve"> </w:t>
            </w:r>
            <m:oMath>
              <m:r>
                <m:t>i</m:t>
              </m:r>
            </m:oMath>
          </w:p>
        </w:tc>
        <w:tc>
          <w:tcPr/>
          <w:p>
            <w:pPr>
              <w:pStyle w:val="Compact"/>
            </w:pPr>
            <w:r>
              <w:t xml:space="preserve">Context-to-feature learning</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Added source-context learning for film items</w:t>
            </w:r>
          </w:p>
        </w:tc>
        <w:tc>
          <w:tcPr/>
          <w:p>
            <w:pPr>
              <w:pStyle w:val="Compact"/>
            </w:pPr>
            <w:r>
              <w:t xml:space="preserve">Film-source encoding</w:t>
            </w:r>
          </w:p>
        </w:tc>
      </w:tr>
      <w:tr>
        <w:tc>
          <w:tcPr/>
          <w:p>
            <w:pPr>
              <w:pStyle w:val="Compact"/>
            </w:pPr>
            <m:oMath>
              <m:r>
                <m:t>τ</m:t>
              </m:r>
            </m:oMath>
          </w:p>
        </w:tc>
        <w:tc>
          <w:tcPr/>
          <w:p>
            <w:pPr>
              <w:pStyle w:val="Compact"/>
            </w:pPr>
            <w:r>
              <w:t xml:space="preserve">Degree to which sampling favors higher-support candidates</w:t>
            </w:r>
          </w:p>
        </w:tc>
        <w:tc>
          <w:tcPr/>
          <w:p>
            <w:pPr>
              <w:pStyle w:val="Compact"/>
            </w:pPr>
            <w:r>
              <w:t xml:space="preserve">Candidate sampling</w:t>
            </w:r>
          </w:p>
        </w:tc>
      </w:tr>
      <w:tr>
        <w:tc>
          <w:tcPr/>
          <w:p>
            <w:pPr>
              <w:pStyle w:val="Compact"/>
            </w:pPr>
            <m:oMath>
              <m:sSub>
                <m:e>
                  <m:r>
                    <m:t>θ</m:t>
                  </m:r>
                </m:e>
                <m:sub>
                  <m:r>
                    <m:t>s</m:t>
                  </m:r>
                </m:sub>
              </m:sSub>
              <m:r>
                <m:rPr>
                  <m:sty m:val="p"/>
                </m:rPr>
                <m:t>,</m:t>
              </m:r>
              <m:sSub>
                <m:e>
                  <m:r>
                    <m:t>θ</m:t>
                  </m:r>
                </m:e>
                <m:sub>
                  <m:r>
                    <m:t>r</m:t>
                  </m:r>
                </m:sub>
              </m:sSub>
            </m:oMath>
          </w:p>
        </w:tc>
        <w:tc>
          <w:tcPr/>
          <w:p>
            <w:pPr>
              <w:pStyle w:val="Compact"/>
            </w:pPr>
            <w:r>
              <w:t xml:space="preserve">Baseline tendency to stop and its growth across sampled outputs</w:t>
            </w:r>
          </w:p>
        </w:tc>
        <w:tc>
          <w:tcPr/>
          <w:p>
            <w:pPr>
              <w:pStyle w:val="Compact"/>
            </w:pPr>
            <w:r>
              <w:t xml:space="preserve">Recall termination</w:t>
            </w:r>
          </w:p>
        </w:tc>
      </w:tr>
      <w:tr>
        <w:tc>
          <w:tcPr/>
          <w:p>
            <w:pPr>
              <w:pStyle w:val="Compact"/>
            </w:pPr>
            <m:oMath>
              <m:r>
                <m:t>κ</m:t>
              </m:r>
            </m:oMath>
          </w:p>
        </w:tc>
        <w:tc>
          <w:tcPr/>
          <w:p>
            <w:pPr>
              <w:pStyle w:val="Compact"/>
            </w:pPr>
            <w:r>
              <w:t xml:space="preserve">Degree to which sampled non-film items carry context forward</w:t>
            </w:r>
          </w:p>
        </w:tc>
        <w:tc>
          <w:tcPr/>
          <w:p>
            <w:pPr>
              <w:pStyle w:val="Compact"/>
            </w:pPr>
            <w:r>
              <w:t xml:space="preserve">Retrieval monitoring</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Added support for candidates matching the maintained film goal</w:t>
            </w:r>
          </w:p>
        </w:tc>
        <w:tc>
          <w:tcPr/>
          <w:p>
            <w:pPr>
              <w:pStyle w:val="Compact"/>
            </w:pPr>
            <w:r>
              <w:t xml:space="preserve">Film-goal support</w:t>
            </w:r>
          </w:p>
        </w:tc>
      </w:tr>
    </w:tbl>
    <w:bookmarkEnd w:id="47"/>
    <w:bookmarkStart w:id="54"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50"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50"/>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1"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1"/>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w:bookmarkStart w:id="52"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r>
            <m:t>  </m:t>
          </m:r>
          <m:d>
            <m:dPr>
              <m:begChr m:val="("/>
              <m:sepChr m:val=""/>
              <m:endChr m:val=")"/>
              <m:grow/>
            </m:dPr>
            <m:e>
              <m:r>
                <m:t>5</m:t>
              </m:r>
            </m:e>
          </m:d>
        </m:oMath>
      </m:oMathPara>
      <w:bookmarkEnd w:id="52"/>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w:bookmarkStart w:id="53"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6</m:t>
              </m:r>
            </m:e>
          </m:d>
        </m:oMath>
      </m:oMathPara>
      <w:bookmarkEnd w:id="53"/>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The source component of context follows the same normalized-drift form as temporal context, with source drift rate</w:t>
      </w:r>
      <w:r>
        <w:t xml:space="preserve"> </w:t>
      </w:r>
      <m:oMath>
        <m:sSub>
          <m:e>
            <m:r>
              <m:t>β</m:t>
            </m:r>
          </m:e>
          <m:sub>
            <m:r>
              <m:t>e</m:t>
            </m:r>
            <m:r>
              <m:t>m</m:t>
            </m:r>
            <m:r>
              <m:t>o</m:t>
            </m:r>
            <m:r>
              <m:t>t</m:t>
            </m:r>
          </m:sub>
        </m:sSub>
      </m:oMath>
      <w:r>
        <w:t xml:space="preserve">.</w:t>
      </w:r>
      <w:r>
        <w:t xml:space="preserve"> </w:t>
      </w:r>
      <w:r>
        <w:t xml:space="preserve">All items can form associations with the source context active for that event, scaled by a baseline source-learning term</w:t>
      </w:r>
      <w:r>
        <w:t xml:space="preserve"> </w:t>
      </w:r>
      <m:oMath>
        <m:sSub>
          <m:e>
            <m:r>
              <m:t>η</m:t>
            </m:r>
          </m:e>
          <m:sub>
            <m:r>
              <m:t>s</m:t>
            </m:r>
          </m:sub>
        </m:sSub>
      </m:oMath>
      <w:r>
        <w:t xml:space="preserve">.</w:t>
      </w:r>
      <w:r>
        <w:t xml:space="preserve"> </w:t>
      </w:r>
      <w:r>
        <w:t xml:space="preserve">For film encoding events, the source-context portion of the context-to-feature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54"/>
    <w:bookmarkStart w:id="57"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5"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7</m:t>
              </m:r>
            </m:e>
          </m:d>
        </m:oMath>
      </m:oMathPara>
      <w:bookmarkEnd w:id="55"/>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6"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8</m:t>
              </m:r>
            </m:e>
          </m:d>
        </m:oMath>
      </m:oMathPara>
      <w:bookmarkEnd w:id="56"/>
    </w:p>
    <w:p>
      <w:pPr>
        <w:pStyle w:val="FirstParagraph"/>
      </w:pPr>
      <w:r>
        <w:t xml:space="preserve">Task items become interfering competitors in later recall because they become associated with context states that can cue film material.</w:t>
      </w:r>
      <w:r>
        <w:t xml:space="preserve"> </w:t>
      </w:r>
      <w:r>
        <w:t xml:space="preserve">The intervention therefore changes how non-film items are cued by film-related context, without weakening the film-item associations formed during film encoding.</w:t>
      </w:r>
    </w:p>
    <w:bookmarkEnd w:id="57"/>
    <w:bookmarkStart w:id="62"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8"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9</m:t>
              </m:r>
            </m:e>
          </m:d>
        </m:oMath>
      </m:oMathPara>
      <w:bookmarkEnd w:id="58"/>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9"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10</m:t>
              </m:r>
            </m:e>
          </m:d>
        </m:oMath>
      </m:oMathPara>
      <w:bookmarkEnd w:id="59"/>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11</m:t>
              </m:r>
            </m:e>
          </m:d>
        </m:oMath>
      </m:oMathPara>
      <w:bookmarkEnd w:id="60"/>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12</m:t>
              </m:r>
            </m:e>
          </m:d>
        </m:oMath>
      </m:oMathPara>
      <w:bookmarkEnd w:id="61"/>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Recall sampling then resumes from the updated context state.</w:t>
      </w:r>
    </w:p>
    <w:bookmarkEnd w:id="62"/>
    <w:bookmarkStart w:id="65" w:name="deliberate-recall-control"/>
    <w:p>
      <w:pPr>
        <w:pStyle w:val="Heading2"/>
      </w:pPr>
      <w:r>
        <w:t xml:space="preserve">Deliberate Recall Control</w:t>
      </w:r>
    </w:p>
    <w:p>
      <w:pPr>
        <w:pStyle w:val="FirstParagraph"/>
      </w:pPr>
      <w:r>
        <w:t xml:space="preserve">Deliberate recall uses the same sampling rule as unguided recall, with control settings applied before, during, or after sampling.</w:t>
      </w:r>
      <w:r>
        <w:t xml:space="preserve"> </w:t>
      </w:r>
      <w:r>
        <w:t xml:space="preserve">The control settings change the retrieval cue, candidate support, or sampled-item carryover without changing the film and task associations learned during encoding.</w:t>
      </w:r>
      <w:r>
        <w:t xml:space="preserve"> </w:t>
      </w:r>
      <w:r>
        <w:t xml:space="preserve">This lets the simulations test which retrieval operations increase film recall and which ones protect film recall from reminder-linked task competition.</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w:t>
      </w:r>
      <w:r>
        <w:t xml:space="preserve"> </w:t>
      </w:r>
      <m:oMath>
        <m:sSub>
          <m:e>
            <m:r>
              <m:t>β</m:t>
            </m:r>
          </m:e>
          <m:sub>
            <m:r>
              <m:rPr>
                <m:sty m:val="p"/>
              </m:rPr>
              <m:t>s</m:t>
            </m:r>
            <m:r>
              <m:rPr>
                <m:sty m:val="p"/>
              </m:rPr>
              <m:t>t</m:t>
            </m:r>
            <m:r>
              <m:rPr>
                <m:sty m:val="p"/>
              </m:rPr>
              <m:t>a</m:t>
            </m:r>
            <m:r>
              <m:rPr>
                <m:sty m:val="p"/>
              </m:rPr>
              <m:t>r</m:t>
            </m:r>
            <m:r>
              <m:rPr>
                <m:sty m:val="p"/>
              </m:rPr>
              <m:t>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can therefore increase film recall.</w:t>
      </w:r>
      <w:r>
        <w:t xml:space="preserve"> </w:t>
      </w:r>
      <w:r>
        <w:t xml:space="preserve">However, because it still relies on film-associated context to cue candidates, it does not substantially protect deliberate recall from the interference effects of reminder-linked task encoding.</w:t>
      </w:r>
    </w:p>
    <w:p>
      <w:pPr>
        <w:pStyle w:val="BodyText"/>
      </w:pPr>
      <w:r>
        <w:t xml:space="preserve">In retrieved-context models of externalized free recall, monitoring is implemented as a post-sampling match check: rejected candidates are withheld as target responses but still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present simulations keep the post-sampling timing but change the consequence of sampled non-film candidates.</w:t>
      </w:r>
      <w:r>
        <w:t xml:space="preserve"> </w:t>
      </w:r>
      <w:r>
        <w:t xml:space="preserve">Post-retrieval context monitoring reduces the context update after sampled task or filler candidates.</w:t>
      </w:r>
      <w:r>
        <w:t xml:space="preserve"> </w:t>
      </w:r>
      <w:r>
        <w:t xml:space="preserve">Let</w:t>
      </w:r>
      <w:r>
        <w:t xml:space="preserve"> </w:t>
      </w:r>
      <m:oMath>
        <m:sSub>
          <m:e>
            <m:r>
              <m:t>κ</m:t>
            </m:r>
          </m:e>
          <m:sub>
            <m:r>
              <m:t>i</m:t>
            </m:r>
          </m:sub>
        </m:sSub>
        <m:r>
          <m:rPr>
            <m:sty m:val="p"/>
          </m:rPr>
          <m:t>=</m:t>
        </m:r>
        <m:r>
          <m:t>1</m:t>
        </m:r>
      </m:oMath>
      <w:r>
        <w:t xml:space="preserve"> </w:t>
      </w:r>
      <w:r>
        <w:t xml:space="preserve">for film candidates and</w:t>
      </w:r>
      <w:r>
        <w:t xml:space="preserve"> </w:t>
      </w:r>
      <m:oMath>
        <m:sSub>
          <m:e>
            <m:r>
              <m:t>κ</m:t>
            </m:r>
          </m:e>
          <m:sub>
            <m:r>
              <m:t>i</m:t>
            </m:r>
          </m:sub>
        </m:sSub>
        <m:r>
          <m:rPr>
            <m:sty m:val="p"/>
          </m:rPr>
          <m:t>=</m:t>
        </m:r>
        <m:r>
          <m:t>κ</m:t>
        </m:r>
      </m:oMath>
      <w:r>
        <w:t xml:space="preserve"> </w:t>
      </w:r>
      <w:r>
        <w:t xml:space="preserve">for task and filler candidates.</w:t>
      </w:r>
      <w:r>
        <w:t xml:space="preserve"> </w:t>
      </w:r>
      <w:r>
        <w:t xml:space="preserve">With monitoring, the sampled-item update becomes:</w:t>
      </w:r>
    </w:p>
    <w:p>
      <w:pPr>
        <w:pStyle w:val="BodyText"/>
      </w:pPr>
      <w:bookmarkStart w:id="63" w:name="eq-monitoring-update"/>
      <m:oMathPara>
        <m:oMathParaPr>
          <m:jc m:val="center"/>
        </m:oMathParaPr>
        <m:oMath>
          <m:sSub>
            <m:e>
              <m:r>
                <m:t>c</m:t>
              </m:r>
            </m:e>
            <m:sub>
              <m:r>
                <m:t>j</m:t>
              </m:r>
              <m:r>
                <m:rPr>
                  <m:sty m:val="p"/>
                </m:rPr>
                <m:t>+</m:t>
              </m:r>
              <m:r>
                <m:t>1</m:t>
              </m:r>
            </m:sub>
          </m:sSub>
          <m:r>
            <m:rPr>
              <m:sty m:val="p"/>
            </m:rPr>
            <m:t>=</m:t>
          </m:r>
          <m:sSub>
            <m:e>
              <m:r>
                <m:t>ρ</m:t>
              </m:r>
            </m:e>
            <m:sub>
              <m:r>
                <m:t>j</m:t>
              </m:r>
            </m:sub>
          </m:sSub>
          <m:d>
            <m:dPr>
              <m:begChr m:val="("/>
              <m:sepChr m:val=""/>
              <m:endChr m:val=")"/>
              <m:grow/>
            </m:dPr>
            <m:e>
              <m:sSub>
                <m:e>
                  <m:r>
                    <m:t>κ</m:t>
                  </m:r>
                </m:e>
                <m:sub>
                  <m:r>
                    <m:t>i</m:t>
                  </m:r>
                </m:sub>
              </m:sSub>
              <m:sSub>
                <m:e>
                  <m:r>
                    <m:t>β</m:t>
                  </m:r>
                </m:e>
                <m:sub>
                  <m:r>
                    <m:rPr>
                      <m:sty m:val="p"/>
                    </m:rPr>
                    <m:t>r</m:t>
                  </m:r>
                  <m:r>
                    <m:rPr>
                      <m:sty m:val="p"/>
                    </m:rPr>
                    <m:t>e</m:t>
                  </m:r>
                  <m:r>
                    <m:rPr>
                      <m:sty m:val="p"/>
                    </m:rPr>
                    <m:t>c</m:t>
                  </m:r>
                </m:sub>
              </m:sSub>
            </m:e>
          </m:d>
          <m:sSub>
            <m:e>
              <m:r>
                <m:t>c</m:t>
              </m:r>
            </m:e>
            <m:sub>
              <m:r>
                <m:t>j</m:t>
              </m:r>
            </m:sub>
          </m:sSub>
          <m:r>
            <m:rPr>
              <m:sty m:val="p"/>
            </m:rPr>
            <m:t>+</m:t>
          </m:r>
          <m:sSub>
            <m:e>
              <m:r>
                <m:t>κ</m:t>
              </m:r>
            </m:e>
            <m:sub>
              <m:r>
                <m:t>i</m:t>
              </m:r>
            </m:sub>
          </m:sSub>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13</m:t>
              </m:r>
            </m:e>
          </m:d>
        </m:oMath>
      </m:oMathPara>
      <w:bookmarkEnd w:id="63"/>
    </w:p>
    <w:p>
      <w:pPr>
        <w:pStyle w:val="FirstParagraph"/>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r>
        <w:t xml:space="preserve"> </w:t>
      </w:r>
      <w:r>
        <w:t xml:space="preserve">This reduces carryover from sampled task or filler candidates without changing the candidate support that made them available.</w:t>
      </w:r>
      <w:r>
        <w:t xml:space="preserve"> </w:t>
      </w:r>
      <w:r>
        <w:t xml:space="preserve">Like start-of-film reinstatement, this operation does not by itself remove task support from film-associated context.</w:t>
      </w:r>
    </w:p>
    <w:p>
      <w:pPr>
        <w:pStyle w:val="BodyText"/>
      </w:pPr>
      <w:r>
        <w:t xml:space="preserve">The maintained film-retrieval goal is specified as a retrieval-stage film-category cue.</w:t>
      </w:r>
      <w:r>
        <w:t xml:space="preserve"> </w:t>
      </w:r>
      <w:r>
        <w:t xml:space="preserve">This term abstracts the kind of semantic or category support used in retrieved-context models of selective recall, rather than updating temporal or source context during retrieval</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The goal adds support to candidates marked as film items during sampling:</w:t>
      </w:r>
    </w:p>
    <w:p>
      <w:pPr>
        <w:pStyle w:val="BodyText"/>
      </w:pPr>
      <w:bookmarkStart w:id="64" w:name="eq-film-goal-support"/>
      <m:oMathPara>
        <m:oMathParaPr>
          <m:jc m:val="center"/>
        </m:oMathParaPr>
        <m:oMath>
          <m:sSubSup>
            <m:e>
              <m:r>
                <m:t>a</m:t>
              </m:r>
            </m:e>
            <m:sub>
              <m:r>
                <m:t>i</m:t>
              </m:r>
              <m:r>
                <m:rPr>
                  <m:sty m:val="p"/>
                </m:rPr>
                <m:t>,</m:t>
              </m:r>
              <m:r>
                <m:t>j</m:t>
              </m:r>
            </m:sub>
            <m:sup>
              <m:r>
                <m:rPr>
                  <m:sty m:val="p"/>
                </m:rPr>
                <m:t>g</m:t>
              </m:r>
              <m:r>
                <m:rPr>
                  <m:sty m:val="p"/>
                </m:rPr>
                <m:t>o</m:t>
              </m:r>
              <m:r>
                <m:rPr>
                  <m:sty m:val="p"/>
                </m:rPr>
                <m:t>a</m:t>
              </m:r>
              <m:r>
                <m:rPr>
                  <m:sty m:val="p"/>
                </m:rPr>
                <m:t>l</m:t>
              </m:r>
            </m:sup>
          </m:sSubSup>
          <m:r>
            <m:rPr>
              <m:sty m:val="p"/>
            </m:rPr>
            <m:t>=</m:t>
          </m:r>
          <m:sSub>
            <m:e>
              <m:r>
                <m:t>a</m:t>
              </m:r>
            </m:e>
            <m:sub>
              <m:r>
                <m:t>i</m:t>
              </m:r>
              <m:r>
                <m:rPr>
                  <m:sty m:val="p"/>
                </m:rPr>
                <m:t>,</m:t>
              </m:r>
              <m:r>
                <m:t>j</m:t>
              </m:r>
            </m:sub>
          </m:sSub>
          <m:r>
            <m:rPr>
              <m:sty m:val="p"/>
            </m:rPr>
            <m:t>+</m:t>
          </m:r>
          <m:sSub>
            <m:e>
              <m:r>
                <m:t>ω</m:t>
              </m:r>
            </m:e>
            <m:sub>
              <m:r>
                <m:rPr>
                  <m:sty m:val="p"/>
                </m:rPr>
                <m:t>g</m:t>
              </m:r>
              <m:r>
                <m:rPr>
                  <m:sty m:val="p"/>
                </m:rPr>
                <m:t>o</m:t>
              </m:r>
              <m:r>
                <m:rPr>
                  <m:sty m:val="p"/>
                </m:rPr>
                <m:t>a</m:t>
              </m:r>
              <m:r>
                <m:rPr>
                  <m:sty m:val="p"/>
                </m:rPr>
                <m:t>l</m:t>
              </m:r>
            </m:sub>
          </m:sSub>
          <m:sSub>
            <m:e>
              <m:r>
                <m:t>g</m:t>
              </m:r>
            </m:e>
            <m:sub>
              <m:r>
                <m:t>i</m:t>
              </m:r>
            </m:sub>
          </m:sSub>
          <m:r>
            <m:rPr>
              <m:sty m:val="p"/>
            </m:rPr>
            <m:t>.</m:t>
          </m:r>
          <m:r>
            <m:t>  </m:t>
          </m:r>
          <m:d>
            <m:dPr>
              <m:begChr m:val="("/>
              <m:sepChr m:val=""/>
              <m:endChr m:val=")"/>
              <m:grow/>
            </m:dPr>
            <m:e>
              <m:r>
                <m:t>14</m:t>
              </m:r>
            </m:e>
          </m:d>
        </m:oMath>
      </m:oMathPara>
      <w:bookmarkEnd w:id="64"/>
    </w:p>
    <w:p>
      <w:pPr>
        <w:pStyle w:val="FirstParagraph"/>
      </w:pPr>
      <w:r>
        <w:t xml:space="preserve">Here,</w:t>
      </w:r>
      <w:r>
        <w:t xml:space="preserve"> </w:t>
      </w:r>
      <m:oMath>
        <m:sSub>
          <m:e>
            <m:r>
              <m:t>g</m:t>
            </m:r>
          </m:e>
          <m:sub>
            <m:r>
              <m:t>i</m:t>
            </m:r>
          </m:sub>
        </m:sSub>
        <m:r>
          <m:rPr>
            <m:sty m:val="p"/>
          </m:rPr>
          <m:t>=</m:t>
        </m:r>
        <m:r>
          <m:t>1</m:t>
        </m:r>
      </m:oMath>
      <w:r>
        <w:t xml:space="preserve"> </w:t>
      </w:r>
      <w:r>
        <w:t xml:space="preserve">for film candidates and</w:t>
      </w:r>
      <w:r>
        <w:t xml:space="preserve"> </w:t>
      </w:r>
      <m:oMath>
        <m:sSub>
          <m:e>
            <m:r>
              <m:t>g</m:t>
            </m:r>
          </m:e>
          <m:sub>
            <m:r>
              <m:t>i</m:t>
            </m:r>
          </m:sub>
        </m:sSub>
        <m:r>
          <m:rPr>
            <m:sty m:val="p"/>
          </m:rPr>
          <m:t>=</m:t>
        </m:r>
        <m:r>
          <m:t>0</m:t>
        </m:r>
      </m:oMath>
      <w:r>
        <w:t xml:space="preserve"> </w:t>
      </w:r>
      <w:r>
        <w:t xml:space="preserve">for task and filler candidates.</w:t>
      </w:r>
      <w:r>
        <w:t xml:space="preserve"> </w:t>
      </w:r>
      <w:r>
        <w:t xml:space="preserve">The indicator</w:t>
      </w:r>
      <w:r>
        <w:t xml:space="preserve"> </w:t>
      </w:r>
      <m:oMath>
        <m:sSub>
          <m:e>
            <m:r>
              <m:t>g</m:t>
            </m:r>
          </m:e>
          <m:sub>
            <m:r>
              <m:t>i</m:t>
            </m:r>
          </m:sub>
        </m:sSub>
      </m:oMath>
      <w:r>
        <w:t xml:space="preserve"> </w:t>
      </w:r>
      <w:r>
        <w:t xml:space="preserve">is a retrieval-control cue, distinct from the source feature vector</w:t>
      </w:r>
      <w:r>
        <w:t xml:space="preserve"> </w:t>
      </w:r>
      <m:oMath>
        <m:sSub>
          <m:e>
            <m:r>
              <m:t>s</m:t>
            </m:r>
          </m:e>
          <m:sub>
            <m:r>
              <m:t>i</m:t>
            </m:r>
          </m:sub>
        </m:sSub>
      </m:oMath>
      <w:r>
        <w:t xml:space="preserve"> </w:t>
      </w:r>
      <w:r>
        <w:t xml:space="preserve">used during encoding.</w:t>
      </w:r>
      <w:r>
        <w:t xml:space="preserve"> </w:t>
      </w:r>
      <w:r>
        <w:t xml:space="preserve">Task items encoded in film-overlapping context can still compete through</w:t>
      </w:r>
      <w:r>
        <w:t xml:space="preserve"> </w:t>
      </w:r>
      <m:oMath>
        <m:sSub>
          <m:e>
            <m:r>
              <m:t>a</m:t>
            </m:r>
          </m:e>
          <m:sub>
            <m:r>
              <m:t>i</m:t>
            </m:r>
            <m:r>
              <m:rPr>
                <m:sty m:val="p"/>
              </m:rPr>
              <m:t>,</m:t>
            </m:r>
            <m:r>
              <m:t>j</m:t>
            </m:r>
          </m:sub>
        </m:sSub>
      </m:oMath>
      <w:r>
        <w:t xml:space="preserve">, but they do not receive the film-category increment.</w:t>
      </w:r>
      <w:r>
        <w:t xml:space="preserve"> </w:t>
      </w:r>
      <w:r>
        <w:t xml:space="preserve">Therefore, unlike start-of-film reinstatement and post-sampling monitoring, the maintained film-retrieval goal can reduce the impact of reminder-linked task encoding on film recall.</w:t>
      </w:r>
    </w:p>
    <w:p>
      <w:pPr>
        <w:pStyle w:val="BodyText"/>
      </w:pPr>
      <w:r>
        <w:t xml:space="preserve">The three evaluated control mechanisms therefore enter the same retrieval cycle at different points: start-state reinstatement before sampling, film-category support during sampling, and monitoring after sampling.</w:t>
      </w:r>
    </w:p>
    <w:bookmarkEnd w:id="65"/>
    <w:bookmarkStart w:id="67" w:name="supplied-item-recognition"/>
    <w:p>
      <w:pPr>
        <w:pStyle w:val="Heading2"/>
      </w:pPr>
      <w:r>
        <w:t xml:space="preserve">Supplied-Item Recognition</w:t>
      </w:r>
    </w:p>
    <w:p>
      <w:pPr>
        <w:pStyle w:val="FirstParagraph"/>
      </w:pPr>
      <w:r>
        <w:t xml:space="preserve">Recognition begins with a supplied candidate item rather than a sampled recall candidate.</w:t>
      </w:r>
      <w:r>
        <w:t xml:space="preserve"> </w:t>
      </w:r>
      <w:r>
        <w:t xml:space="preserve">A presented film item retrieves associated context through the same feature-to-context associations used by reminders, cues, and sampled items.</w:t>
      </w:r>
      <w:r>
        <w:t xml:space="preserve"> </w:t>
      </w:r>
      <w:r>
        <w:t xml:space="preserve">Following retrieved-context accounts of recognition, recognition evidence is the match between the context retrieved by the probe and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lohnas2015expanding">
        <w:r>
          <w:rPr>
            <w:rStyle w:val="Hyperlink"/>
          </w:rPr>
          <w:t xml:space="preserve">Lohnas et al., 2015</w:t>
        </w:r>
      </w:hyperlink>
      <w:r>
        <w:t xml:space="preserve">)</w:t>
      </w:r>
      <w:r>
        <w:t xml:space="preserve">:</w:t>
      </w:r>
    </w:p>
    <w:p>
      <w:pPr>
        <w:pStyle w:val="BodyText"/>
      </w:pPr>
      <w:bookmarkStart w:id="66" w:name="eq-recognition-evidence"/>
      <m:oMathPara>
        <m:oMathParaPr>
          <m:jc m:val="center"/>
        </m:oMathParaPr>
        <m:oMath>
          <m:sSub>
            <m:e>
              <m:r>
                <m:t>e</m:t>
              </m:r>
            </m:e>
            <m:sub>
              <m:r>
                <m:t>q</m:t>
              </m:r>
            </m:sub>
          </m:sSub>
          <m:r>
            <m:rPr>
              <m:sty m:val="p"/>
            </m:rPr>
            <m:t>=</m:t>
          </m:r>
          <m:sSup>
            <m:e>
              <m:d>
                <m:dPr>
                  <m:begChr m:val="("/>
                  <m:sepChr m:val=""/>
                  <m:endChr m:val=")"/>
                  <m:grow/>
                </m:dPr>
                <m:e>
                  <m:sSup>
                    <m:e>
                      <m:r>
                        <m:t>M</m:t>
                      </m:r>
                    </m:e>
                    <m:sup>
                      <m:r>
                        <m:t>F</m:t>
                      </m:r>
                      <m:r>
                        <m:t>C</m:t>
                      </m:r>
                    </m:sup>
                  </m:sSup>
                  <m:sSub>
                    <m:e>
                      <m:r>
                        <m:t>f</m:t>
                      </m:r>
                    </m:e>
                    <m:sub>
                      <m:r>
                        <m:t>q</m:t>
                      </m:r>
                    </m:sub>
                  </m:sSub>
                </m:e>
              </m:d>
            </m:e>
            <m:sup>
              <m:r>
                <m:rPr>
                  <m:sty m:val="p"/>
                </m:rPr>
                <m:t>⊤</m:t>
              </m:r>
            </m:sup>
          </m:sSup>
          <m:sSub>
            <m:e>
              <m:r>
                <m:t>c</m:t>
              </m:r>
            </m:e>
            <m:sub>
              <m:r>
                <m:rPr>
                  <m:sty m:val="p"/>
                </m:rPr>
                <m:t>t</m:t>
              </m:r>
              <m:r>
                <m:rPr>
                  <m:sty m:val="p"/>
                </m:rPr>
                <m:t>e</m:t>
              </m:r>
              <m:r>
                <m:rPr>
                  <m:sty m:val="p"/>
                </m:rPr>
                <m:t>s</m:t>
              </m:r>
              <m:r>
                <m:rPr>
                  <m:sty m:val="p"/>
                </m:rPr>
                <m:t>t</m:t>
              </m:r>
            </m:sub>
          </m:sSub>
          <m:r>
            <m:rPr>
              <m:sty m:val="p"/>
            </m:rPr>
            <m:t>.</m:t>
          </m:r>
          <m:r>
            <m:t>  </m:t>
          </m:r>
          <m:d>
            <m:dPr>
              <m:begChr m:val="("/>
              <m:sepChr m:val=""/>
              <m:endChr m:val=")"/>
              <m:grow/>
            </m:dPr>
            <m:e>
              <m:r>
                <m:t>15</m:t>
              </m:r>
            </m:e>
          </m:d>
        </m:oMath>
      </m:oMathPara>
      <w:bookmarkEnd w:id="66"/>
    </w:p>
    <w:p>
      <w:pPr>
        <w:pStyle w:val="FirstParagraph"/>
      </w:pPr>
      <w:r>
        <w:t xml:space="preserve">The simulations use this evidence as a supplied-item access step rather than a full recognition-decision model.</w:t>
      </w:r>
      <w:r>
        <w:t xml:space="preserve"> </w:t>
      </w:r>
      <w:r>
        <w:t xml:space="preserve">A recognition probe can update context after evidence is scored, but it is not treated as a recalled output.</w:t>
      </w:r>
      <w:r>
        <w:t xml:space="preserve"> </w:t>
      </w:r>
      <w:r>
        <w:t xml:space="preserve">It does not enter the recallable candidate set, make the probed item unavailable for later recall, or add new learning.</w:t>
      </w:r>
      <w:r>
        <w:t xml:space="preserve"> </w:t>
      </w:r>
      <w:r>
        <w:t xml:space="preserve">This implements the focal distinction between recognition and context-guided recall measures in the trauma-film paradigm: recall requires film material to be selected from context-supported candidates, whereas recognition starts with the candidate item and evaluates the context it retrieves.</w:t>
      </w:r>
    </w:p>
    <w:bookmarkEnd w:id="67"/>
    <w:bookmarkEnd w:id="68"/>
    <w:bookmarkStart w:id="110" w:name="simulations"/>
    <w:p>
      <w:pPr>
        <w:pStyle w:val="Heading1"/>
      </w:pPr>
      <w:r>
        <w:t xml:space="preserve">Simulations</w:t>
      </w:r>
    </w:p>
    <w:p>
      <w:pPr>
        <w:pStyle w:val="FirstParagraph"/>
      </w:pPr>
      <w:r>
        <w:t xml:space="preserve">The simulations instantiate the retrieved-context account by mapping the trauma-film paradigm onto sequences of film, delay, task, and filler events.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contrasting unguided retrieval with deliberate recall and examining control mechanisms that could protect film recall.</w:t>
      </w:r>
      <w:r>
        <w:t xml:space="preserve"> </w:t>
      </w:r>
      <w:r>
        <w:t xml:space="preserve">The recognition simulation then examines a boundary case in which the test supplies a candidate film item for judgment rather than requiring that item to be sampled from context.</w:t>
      </w:r>
      <w:r>
        <w:t xml:space="preserve"> </w:t>
      </w:r>
      <w:r>
        <w:t xml:space="preserve">Together, these simulations show how selective interference can arise from reminder-linked competitor encoding and retrieval conditions that differ in how they access or support film material.</w:t>
      </w:r>
    </w:p>
    <w:bookmarkStart w:id="70" w:name="methodology"/>
    <w:p>
      <w:pPr>
        <w:pStyle w:val="Heading2"/>
      </w:pPr>
      <w:r>
        <w:t xml:space="preserve">Methodology</w:t>
      </w:r>
    </w:p>
    <w:p>
      <w:pPr>
        <w:pStyle w:val="FirstParagraph"/>
      </w:pPr>
      <w:r>
        <w:t xml:space="preserve">The simulations require default values for context drift, associative learning, sampling, and stopping before the trauma-film manipulations are applied.</w:t>
      </w:r>
      <w:r>
        <w:t xml:space="preserve"> </w:t>
      </w:r>
      <w:r>
        <w:t xml:space="preserve">Estimating those values from selective-interference data would require the full modeled paradigm together with trial-by-trial recall sequences that identify which film, task, and non-film candidates entered retrieval.</w:t>
      </w:r>
      <w:r>
        <w:t xml:space="preserve"> </w:t>
      </w:r>
      <w:r>
        <w:t xml:space="preserve">Existing trauma-film studies define the target phenomenon, but they typically report intrusion counts or final memory scores rather than the sequence-level data needed to estimate retrieval competition.</w:t>
      </w:r>
      <w:r>
        <w:t xml:space="preserve"> </w:t>
      </w:r>
      <w:r>
        <w:t xml:space="preserve">We therefore use an immediate affective free-recall dataset to set the model’s core encoding, retrieval, and stopping parameters.</w:t>
      </w:r>
    </w:p>
    <w:p>
      <w:pPr>
        <w:pStyle w:val="BodyText"/>
      </w:pPr>
      <w:r>
        <w:t xml:space="preserve">In that dataset,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Parameters were estimated from the ordered recall sequences using the model likelihood, yielding a pooled parameter regime rather than separate fits to the selective-interference simulations.</w:t>
      </w:r>
      <w:r>
        <w:t xml:space="preserve"> </w:t>
      </w:r>
      <w:r>
        <w:t xml:space="preserve">The resulting parameter values provide a starting regime for context-guided recall of affective and neutral photographs.</w:t>
      </w:r>
    </w:p>
    <w:p>
      <w:pPr>
        <w:pStyle w:val="BodyText"/>
      </w:pPr>
      <w:r>
        <w:t xml:space="preserve">The selective-interference simulations then add the trauma-film phase structure, reminder manipulation, task-encoding manipulation, and retrieval-control settings.</w:t>
      </w:r>
      <w:r>
        <w:t xml:space="preserve"> </w:t>
      </w:r>
      <w:r>
        <w:t xml:space="preserve">Additional implementation settings adapt this regime to the trauma-film sequence.</w:t>
      </w:r>
      <w:r>
        <w:t xml:space="preserve"> </w:t>
      </w:r>
      <w:r>
        <w:t xml:space="preserve">Film items reinstate the marked source feature into source context, neutral/default events can weakly bind active source context, and retrieval begins with partial film-source reinstatement.</w:t>
      </w:r>
      <w:r>
        <w:t xml:space="preserve"> </w:t>
      </w:r>
      <w:r>
        <w:t xml:space="preserve">The primacy profile is also moderated relative to the immediate-recall fit so that the shorter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simulations.</w:t>
      </w:r>
    </w:p>
    <w:bookmarkStart w:id="69"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Drift toward item-cued context during encoding</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Drift toward the start context during start-of-film reinstatement</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Drift toward sampled-item context during recall</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w:t>
            </w:r>
          </w:p>
        </w:tc>
      </w:tr>
      <w:tr>
        <w:tc>
          <w:tcPr/>
          <w:p>
            <w:pPr>
              <w:pStyle w:val="Compact"/>
            </w:pPr>
            <m:oMath>
              <m:r>
                <m:t>δ</m:t>
              </m:r>
            </m:oMath>
          </w:p>
        </w:tc>
        <w:tc>
          <w:tcPr/>
          <w:p>
            <w:pPr>
              <w:pStyle w:val="Compact"/>
              <w:jc w:val="right"/>
            </w:pPr>
            <w:r>
              <w:t xml:space="preserve">0.00022</w:t>
            </w:r>
          </w:p>
        </w:tc>
        <w:tc>
          <w:tcPr/>
          <w:p>
            <w:pPr>
              <w:pStyle w:val="Compact"/>
            </w:pPr>
            <w:r>
              <w:t xml:space="preserve">Initial support from each item’s paired context unit</w:t>
            </w:r>
          </w:p>
        </w:tc>
      </w:tr>
      <w:tr>
        <w:tc>
          <w:tcPr/>
          <w:p>
            <w:pPr>
              <w:pStyle w:val="Compact"/>
            </w:pPr>
            <m:oMath>
              <m:r>
                <m:t>α</m:t>
              </m:r>
            </m:oMath>
          </w:p>
        </w:tc>
        <w:tc>
          <w:tcPr/>
          <w:p>
            <w:pPr>
              <w:pStyle w:val="Compact"/>
              <w:jc w:val="right"/>
            </w:pPr>
            <w:r>
              <w:t xml:space="preserve">0</w:t>
            </w:r>
          </w:p>
        </w:tc>
        <w:tc>
          <w:tcPr/>
          <w:p>
            <w:pPr>
              <w:pStyle w:val="Compact"/>
            </w:pPr>
            <w:r>
              <w:t xml:space="preserve">Initial background support from other item-associated context units</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Scale parameter for the primacy profile</w:t>
            </w:r>
            <w:r>
              <w:t xml:space="preserve"> </w:t>
            </w:r>
            <m:oMath>
              <m:sSub>
                <m:e>
                  <m:r>
                    <m:t>ϕ</m:t>
                  </m:r>
                </m:e>
                <m:sub>
                  <m:r>
                    <m:t>i</m:t>
                  </m:r>
                </m:sub>
              </m:sSub>
            </m:oMath>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Decay parameter for the primacy profile</w:t>
            </w:r>
            <w:r>
              <w:t xml:space="preserve"> </w:t>
            </w:r>
            <m:oMath>
              <m:sSub>
                <m:e>
                  <m:r>
                    <m:t>ϕ</m:t>
                  </m:r>
                </m:e>
                <m:sub>
                  <m:r>
                    <m:t>i</m:t>
                  </m:r>
                </m:sub>
              </m:sSub>
            </m:oMath>
          </w:p>
        </w:tc>
      </w:tr>
      <w:tr>
        <w:tc>
          <w:tcPr/>
          <w:p>
            <w:pPr>
              <w:pStyle w:val="Compact"/>
            </w:pPr>
            <m:oMath>
              <m:r>
                <m:t>τ</m:t>
              </m:r>
            </m:oMath>
          </w:p>
        </w:tc>
        <w:tc>
          <w:tcPr/>
          <w:p>
            <w:pPr>
              <w:pStyle w:val="Compact"/>
              <w:jc w:val="right"/>
            </w:pPr>
            <w:r>
              <w:t xml:space="preserve">3.562</w:t>
            </w:r>
          </w:p>
        </w:tc>
        <w:tc>
          <w:tcPr/>
          <w:p>
            <w:pPr>
              <w:pStyle w:val="Compact"/>
            </w:pPr>
            <w:r>
              <w:t xml:space="preserve">Luce-choice exponent for candidate sampling</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Drift toward the active source feature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Added source-context learning for film items</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 for all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Partial film-source reinstatement before recall</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Initial scale of the position-dependent stopping hazard</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Growth of the stopping hazard across sampled outputs</w:t>
            </w:r>
          </w:p>
        </w:tc>
      </w:tr>
    </w:tbl>
    <w:bookmarkEnd w:id="69"/>
    <w:p>
      <w:pPr>
        <w:pStyle w:val="AfterWithoutNote"/>
      </w:pPr>
      <w:r>
        <w:t xml:space="preserve">All simulations follow the same encode-then-retrieve order.</w:t>
      </w:r>
      <w:r>
        <w:t xml:space="preserve"> </w:t>
      </w:r>
      <w:r>
        <w:t xml:space="preserve">Associations are updated after context integration, and sampled items are removed from the candidate set so the same item is not sampled twice.</w:t>
      </w:r>
      <w:r>
        <w:t xml:space="preserve"> </w:t>
      </w:r>
      <w:r>
        <w:t xml:space="preserve">Film, break/buffer, task, and filler items are encoded by the CMR operations defined above.</w:t>
      </w:r>
      <w:r>
        <w:t xml:space="preserve"> </w:t>
      </w:r>
      <w:r>
        <w:t xml:space="preserve">Each simulated trial contains 16 film items, 16 break/buffer items, 16 task items, and 16 filler items unless otherwise noted.</w:t>
      </w:r>
      <w:r>
        <w:t xml:space="preserve"> </w:t>
      </w:r>
      <w:r>
        <w:t xml:space="preserve">Break/buffer items implement the delay before the reminder or task, and filler items implement the post-task delay.</w:t>
      </w:r>
      <w:r>
        <w:t xml:space="preserve"> </w:t>
      </w:r>
      <w:r>
        <w:t xml:space="preserve">Equal phase lengths make redistribution across film, task, and filler periods directly comparable.</w:t>
      </w:r>
    </w:p>
    <w:p>
      <w:pPr>
        <w:pStyle w:val="BodyText"/>
      </w:pPr>
      <w:r>
        <w:t xml:space="preserve">Reminder cues and test-phase film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add recallable items or new item-context learning.</w:t>
      </w:r>
      <w:r>
        <w:t xml:space="preserve"> </w:t>
      </w:r>
      <w:r>
        <w:t xml:space="preserve">Simulations that present candidate item information in a different test format specify that route separately.</w:t>
      </w:r>
      <w:r>
        <w:t xml:space="preserve"> </w:t>
      </w:r>
      <w:r>
        <w:t xml:space="preserve">Retrieval allows up to 48 sampling steps.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by candidate type and encoded position, rather than only final film counts.</w:t>
      </w:r>
    </w:p>
    <w:p>
      <w:pPr>
        <w:pStyle w:val="BodyText"/>
      </w:pPr>
      <w:r>
        <w:t xml:space="preserve">Parameter sweeps rerun the full encode-then-retrieve simulation across planned values of a manipulated parameter.</w:t>
      </w:r>
      <w:r>
        <w:t xml:space="preserve"> </w:t>
      </w:r>
      <w:r>
        <w:t xml:space="preserve">For each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cell.</w:t>
      </w:r>
      <w:r>
        <w:t xml:space="preserve"> </w:t>
      </w:r>
      <w:r>
        <w:t xml:space="preserve">When figures plot recall across the encoded stream, they summarize retrieval after the full phase sequence has been encoded.</w:t>
      </w:r>
      <w:r>
        <w:t xml:space="preserve"> </w:t>
      </w:r>
      <w:r>
        <w:t xml:space="preserve">Recall curves score which encoded items appeared in each retrieval sequence.</w:t>
      </w:r>
      <w:r>
        <w:t xml:space="preserve"> </w:t>
      </w:r>
      <w:r>
        <w:t xml:space="preserve">Serial-position curves plot the proportion of trials in which each encoding position was retrieved, and phase summaries average those proportions within each phase.</w:t>
      </w:r>
      <w:r>
        <w:t xml:space="preserve"> </w:t>
      </w:r>
      <w:r>
        <w:t xml:space="preserve">Thus, position and phase labels identify the encoding positions, whereas recall probabilities refer to subsequent retrieval.</w:t>
      </w:r>
    </w:p>
    <w:bookmarkEnd w:id="70"/>
    <w:bookmarkStart w:id="83" w:name="X2c2b19ca61f0d8679fb357e3aa386e7efdd5f9f"/>
    <w:p>
      <w:pPr>
        <w:pStyle w:val="Heading2"/>
      </w:pPr>
      <w:r>
        <w:t xml:space="preserve">Simulation 1: Task Encoding and Contextual Overlap</w:t>
      </w:r>
    </w:p>
    <w:p>
      <w:pPr>
        <w:pStyle w:val="FirstParagraph"/>
      </w:pPr>
      <w:r>
        <w:t xml:space="preserve">Simulation 1 tests whether reminder-linked task encoding can create competitors for unguided film recall.</w:t>
      </w:r>
      <w:r>
        <w:t xml:space="preserve"> </w:t>
      </w:r>
      <w:r>
        <w:t xml:space="preserve">Retrieval settings are held fixed, so differences across conditions reflect associations formed before retrieval rather than deliberate control.</w:t>
      </w:r>
      <w:r>
        <w:t xml:space="preserve"> </w:t>
      </w:r>
      <w:r>
        <w:t xml:space="preserve">The design crosses pre-task reminder presence with task encoding strength while weak film cues are supplied periodically during recall in all conditions.</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recallable items.</w:t>
      </w:r>
      <w:r>
        <w:t xml:space="preserve"> </w:t>
      </w:r>
      <w:r>
        <w:t xml:space="preserve">Task encoding strength is modeled as a multiplier on task-phase context-to-feature learning in</w:t>
      </w:r>
      <w:r>
        <w:t xml:space="preserve"> </w:t>
      </w:r>
      <w:hyperlink w:anchor="eq-mcf-learning">
        <w:r>
          <w:rPr>
            <w:rStyle w:val="Hyperlink"/>
          </w:rPr>
          <w:t xml:space="preserve">Equation 6</w:t>
        </w:r>
      </w:hyperlink>
      <w:r>
        <w:t xml:space="preserve">.</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hyperlink w:anchor="fig-simulation1-unguided-sequence">
        <w:r>
          <w:rPr>
            <w:rStyle w:val="Hyperlink"/>
          </w:rPr>
          <w:t xml:space="preserve">Figure 5</w:t>
        </w:r>
      </w:hyperlink>
      <w:r>
        <w:t xml:space="preserve"> </w:t>
      </w:r>
      <w:r>
        <w:t xml:space="preserve">shows the aggregate result.</w:t>
      </w:r>
      <w:r>
        <w:t xml:space="preserve"> </w:t>
      </w:r>
      <w:r>
        <w:t xml:space="preserve">Film recall is lowest when strong task encoding follows a film reminder, and task output increases in the same condition.</w:t>
      </w:r>
      <w:r>
        <w:t xml:space="preserve"> </w:t>
      </w:r>
      <w:r>
        <w:t xml:space="preserve">The film loss therefore reflects redistribution toward task competitors under fixed retrieval settings.</w:t>
      </w:r>
      <w:r>
        <w:t xml:space="preserve"> </w:t>
      </w:r>
      <w:hyperlink w:anchor="fig-simulation1-recall-distributions">
        <w:r>
          <w:rPr>
            <w:rStyle w:val="Hyperlink"/>
          </w:rPr>
          <w:t xml:space="preserve">Figure 6</w:t>
        </w:r>
      </w:hyperlink>
      <w:r>
        <w:t xml:space="preserve"> </w:t>
      </w:r>
      <w:r>
        <w:t xml:space="preserve">shows that the redistribution is position-resolved.</w:t>
      </w:r>
      <w:r>
        <w:t xml:space="preserve"> </w:t>
      </w:r>
      <w:r>
        <w:t xml:space="preserve">Without a pre-task film reminder, increasing the task encoding multiplier produces only modest film loss and task gain,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7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6" name="Picture"/>
            <a:graphic>
              <a:graphicData uri="http://schemas.openxmlformats.org/drawingml/2006/picture">
                <pic:pic>
                  <pic:nvPicPr>
                    <pic:cNvPr descr="work/simulation1_unguided_cued/simulation1_unguided_cued_recall_distributions.png" id="77" name="Picture"/>
                    <pic:cNvPicPr>
                      <a:picLocks noChangeArrowheads="1" noChangeAspect="1"/>
                    </pic:cNvPicPr>
                  </pic:nvPicPr>
                  <pic:blipFill>
                    <a:blip r:embed="rId75"/>
                    <a:stretch>
                      <a:fillRect/>
                    </a:stretch>
                  </pic:blipFill>
                  <pic:spPr bwMode="auto">
                    <a:xfrm>
                      <a:off x="0" y="0"/>
                      <a:ext cx="5943600" cy="5583695"/>
                    </a:xfrm>
                    <a:prstGeom prst="rect">
                      <a:avLst/>
                    </a:prstGeom>
                    <a:noFill/>
                    <a:ln w="9525">
                      <a:noFill/>
                      <a:headEnd/>
                      <a:tailEnd/>
                    </a:ln>
                  </pic:spPr>
                </pic:pic>
              </a:graphicData>
            </a:graphic>
          </wp:inline>
        </w:drawing>
      </w:r>
    </w:p>
    <w:bookmarkEnd w:id="78"/>
    <w:p>
      <w:pPr>
        <w:pStyle w:val="AfterWithoutNote"/>
      </w:pPr>
      <w:r>
        <w:t xml:space="preserve"> </w:t>
      </w:r>
    </w:p>
    <w:bookmarkStart w:id="82"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0" name="Picture"/>
            <a:graphic>
              <a:graphicData uri="http://schemas.openxmlformats.org/drawingml/2006/picture">
                <pic:pic>
                  <pic:nvPicPr>
                    <pic:cNvPr descr="work/simulation1_unguided_cued/simulation1_unguided_cued_context_overlap.png" id="81" name="Picture"/>
                    <pic:cNvPicPr>
                      <a:picLocks noChangeArrowheads="1" noChangeAspect="1"/>
                    </pic:cNvPicPr>
                  </pic:nvPicPr>
                  <pic:blipFill>
                    <a:blip r:embed="rId79"/>
                    <a:stretch>
                      <a:fillRect/>
                    </a:stretch>
                  </pic:blipFill>
                  <pic:spPr bwMode="auto">
                    <a:xfrm>
                      <a:off x="0" y="0"/>
                      <a:ext cx="5943600" cy="5653668"/>
                    </a:xfrm>
                    <a:prstGeom prst="rect">
                      <a:avLst/>
                    </a:prstGeom>
                    <a:noFill/>
                    <a:ln w="9525">
                      <a:noFill/>
                      <a:headEnd/>
                      <a:tailEnd/>
                    </a:ln>
                  </pic:spPr>
                </pic:pic>
              </a:graphicData>
            </a:graphic>
          </wp:inline>
        </w:drawing>
      </w:r>
    </w:p>
    <w:bookmarkEnd w:id="82"/>
    <w:p>
      <w:pPr>
        <w:pStyle w:val="AfterWithoutNote"/>
      </w:pPr>
      <w:hyperlink w:anchor="fig-simulation1-context-overlap">
        <w:r>
          <w:rPr>
            <w:rStyle w:val="Hyperlink"/>
          </w:rPr>
          <w:t xml:space="preserve">Figure 7</w:t>
        </w:r>
      </w:hyperlink>
      <w:r>
        <w:t xml:space="preserve"> </w:t>
      </w:r>
      <w:r>
        <w:t xml:space="preserve">helps interpret why the no-reminder and with-reminder curves diverge.</w:t>
      </w:r>
      <w:r>
        <w:t xml:space="preserve"> </w:t>
      </w:r>
      <w:r>
        <w:t xml:space="preserve">Sequential film reminders do not create one generic film context.</w:t>
      </w:r>
      <w:r>
        <w:t xml:space="preserve"> </w:t>
      </w:r>
      <w:r>
        <w:t xml:space="preserve">They move context through film-associated states before task encoding, increasing overlap between task-encoding contexts and particular positions along the film trajectory.</w:t>
      </w:r>
      <w:r>
        <w:t xml:space="preserve"> </w:t>
      </w:r>
      <w:r>
        <w:t xml:space="preserve">Task encoding strength then determines how strongly task items are learned in those overlapping states, while film encoding settings remain unchanged.</w:t>
      </w:r>
      <w:r>
        <w:t xml:space="preserve"> </w:t>
      </w:r>
      <w:r>
        <w:t xml:space="preserve">Task items remain distinct from film items, and film-item associations are not weakened.</w:t>
      </w:r>
      <w:r>
        <w:t xml:space="preserve"> </w:t>
      </w:r>
      <w:r>
        <w:t xml:space="preserve">The loss of film recall occurs because task items become more likely to be sampled from context states that also support film material.</w:t>
      </w:r>
      <w:r>
        <w:t xml:space="preserve"> </w:t>
      </w:r>
      <w:r>
        <w:t xml:space="preserve">Simulation 1 therefore establishes a retrieved-context account of how reminder-linked task encoding can create competitors for unguided film recall.</w:t>
      </w:r>
      <w:r>
        <w:t xml:space="preserve"> </w:t>
      </w:r>
      <w:r>
        <w:t xml:space="preserve">Simulation 2 examines whether deliberate retrieval control reduces the effect of those learned competitors.</w:t>
      </w:r>
    </w:p>
    <w:bookmarkEnd w:id="83"/>
    <w:bookmarkStart w:id="104"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5" name="Picture"/>
            <a:graphic>
              <a:graphicData uri="http://schemas.openxmlformats.org/drawingml/2006/picture">
                <pic:pic>
                  <pic:nvPicPr>
                    <pic:cNvPr descr="work/simulation2_control_cued_behavioral/simulation2_control_cued_behavioral.png" id="86" name="Picture"/>
                    <pic:cNvPicPr>
                      <a:picLocks noChangeArrowheads="1" noChangeAspect="1"/>
                    </pic:cNvPicPr>
                  </pic:nvPicPr>
                  <pic:blipFill>
                    <a:blip r:embed="rId84"/>
                    <a:stretch>
                      <a:fillRect/>
                    </a:stretch>
                  </pic:blipFill>
                  <pic:spPr bwMode="auto">
                    <a:xfrm>
                      <a:off x="0" y="0"/>
                      <a:ext cx="5943600" cy="3596194"/>
                    </a:xfrm>
                    <a:prstGeom prst="rect">
                      <a:avLst/>
                    </a:prstGeom>
                    <a:noFill/>
                    <a:ln w="9525">
                      <a:noFill/>
                      <a:headEnd/>
                      <a:tailEnd/>
                    </a:ln>
                  </pic:spPr>
                </pic:pic>
              </a:graphicData>
            </a:graphic>
          </wp:inline>
        </w:drawing>
      </w:r>
    </w:p>
    <w:bookmarkEnd w:id="87"/>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89" name="Picture"/>
            <a:graphic>
              <a:graphicData uri="http://schemas.openxmlformats.org/drawingml/2006/picture">
                <pic:pic>
                  <pic:nvPicPr>
                    <pic:cNvPr descr="work/simulation2_retrieval_control_decomposition/simulation2_retrieval_control_decomposition.png" id="90" name="Picture"/>
                    <pic:cNvPicPr>
                      <a:picLocks noChangeArrowheads="1" noChangeAspect="1"/>
                    </pic:cNvPicPr>
                  </pic:nvPicPr>
                  <pic:blipFill>
                    <a:blip r:embed="rId88"/>
                    <a:stretch>
                      <a:fillRect/>
                    </a:stretch>
                  </pic:blipFill>
                  <pic:spPr bwMode="auto">
                    <a:xfrm>
                      <a:off x="0" y="0"/>
                      <a:ext cx="5943600" cy="2657138"/>
                    </a:xfrm>
                    <a:prstGeom prst="rect">
                      <a:avLst/>
                    </a:prstGeom>
                    <a:noFill/>
                    <a:ln w="9525">
                      <a:noFill/>
                      <a:headEnd/>
                      <a:tailEnd/>
                    </a:ln>
                  </pic:spPr>
                </pic:pic>
              </a:graphicData>
            </a:graphic>
          </wp:inline>
        </w:drawing>
      </w:r>
    </w:p>
    <w:bookmarkEnd w:id="91"/>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5"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 maintained film-category cue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schematically adds the maintained film-category cue to the film-directed retrieval cue.</w:t>
      </w:r>
      <w:r>
        <w:t xml:space="preserve"> </w:t>
      </w:r>
      <w:r>
        <w:t xml:space="preserve">Brighter cells indicate greater overlap with task-encoding context.</w:t>
      </w:r>
      <w:r>
        <w:t xml:space="preserve"> </w:t>
      </w:r>
      <w:r>
        <w:t xml:space="preserve">Adding the maintained film-category cue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3" name="Picture"/>
            <a:graphic>
              <a:graphicData uri="http://schemas.openxmlformats.org/drawingml/2006/picture">
                <pic:pic>
                  <pic:nvPicPr>
                    <pic:cNvPr descr="work/simulation2_film_retrieval_goal_context_overlap/simulation2_film_retrieval_goal_context_overlap.png" id="94" name="Picture"/>
                    <pic:cNvPicPr>
                      <a:picLocks noChangeArrowheads="1" noChangeAspect="1"/>
                    </pic:cNvPicPr>
                  </pic:nvPicPr>
                  <pic:blipFill>
                    <a:blip r:embed="rId92"/>
                    <a:stretch>
                      <a:fillRect/>
                    </a:stretch>
                  </pic:blipFill>
                  <pic:spPr bwMode="auto">
                    <a:xfrm>
                      <a:off x="0" y="0"/>
                      <a:ext cx="5943600" cy="5653668"/>
                    </a:xfrm>
                    <a:prstGeom prst="rect">
                      <a:avLst/>
                    </a:prstGeom>
                    <a:noFill/>
                    <a:ln w="9525">
                      <a:noFill/>
                      <a:headEnd/>
                      <a:tailEnd/>
                    </a:ln>
                  </pic:spPr>
                </pic:pic>
              </a:graphicData>
            </a:graphic>
          </wp:inline>
        </w:drawing>
      </w:r>
    </w:p>
    <w:bookmarkEnd w:id="95"/>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illustrates why the goal-present conditions are less affected by reminder-linked task encoding.</w:t>
      </w:r>
      <w:r>
        <w:t xml:space="preserve"> </w:t>
      </w:r>
      <w:r>
        <w:t xml:space="preserve">Adding the maintained film-category cue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99"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7" name="Picture"/>
            <a:graphic>
              <a:graphicData uri="http://schemas.openxmlformats.org/drawingml/2006/picture">
                <pic:pic>
                  <pic:nvPicPr>
                    <pic:cNvPr descr="work/simulation2_start_context_reinstatement/simulation2_start_context_reinstatement.png" id="98" name="Picture"/>
                    <pic:cNvPicPr>
                      <a:picLocks noChangeArrowheads="1" noChangeAspect="1"/>
                    </pic:cNvPicPr>
                  </pic:nvPicPr>
                  <pic:blipFill>
                    <a:blip r:embed="rId96"/>
                    <a:stretch>
                      <a:fillRect/>
                    </a:stretch>
                  </pic:blipFill>
                  <pic:spPr bwMode="auto">
                    <a:xfrm>
                      <a:off x="0" y="0"/>
                      <a:ext cx="5943600" cy="5612321"/>
                    </a:xfrm>
                    <a:prstGeom prst="rect">
                      <a:avLst/>
                    </a:prstGeom>
                    <a:noFill/>
                    <a:ln w="9525">
                      <a:noFill/>
                      <a:headEnd/>
                      <a:tailEnd/>
                    </a:ln>
                  </pic:spPr>
                </pic:pic>
              </a:graphicData>
            </a:graphic>
          </wp:inline>
        </w:drawing>
      </w:r>
    </w:p>
    <w:bookmarkEnd w:id="99"/>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3"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1" name="Picture"/>
            <a:graphic>
              <a:graphicData uri="http://schemas.openxmlformats.org/drawingml/2006/picture">
                <pic:pic>
                  <pic:nvPicPr>
                    <pic:cNvPr descr="work/simulation2_target_monitoring_diagnostic/simulation2_target_monitoring_diagnostic.png" id="102" name="Picture"/>
                    <pic:cNvPicPr>
                      <a:picLocks noChangeArrowheads="1" noChangeAspect="1"/>
                    </pic:cNvPicPr>
                  </pic:nvPicPr>
                  <pic:blipFill>
                    <a:blip r:embed="rId100"/>
                    <a:stretch>
                      <a:fillRect/>
                    </a:stretch>
                  </pic:blipFill>
                  <pic:spPr bwMode="auto">
                    <a:xfrm>
                      <a:off x="0" y="0"/>
                      <a:ext cx="5943600" cy="5638967"/>
                    </a:xfrm>
                    <a:prstGeom prst="rect">
                      <a:avLst/>
                    </a:prstGeom>
                    <a:noFill/>
                    <a:ln w="9525">
                      <a:noFill/>
                      <a:headEnd/>
                      <a:tailEnd/>
                    </a:ln>
                  </pic:spPr>
                </pic:pic>
              </a:graphicData>
            </a:graphic>
          </wp:inline>
        </w:drawing>
      </w:r>
    </w:p>
    <w:bookmarkEnd w:id="103"/>
    <w:bookmarkEnd w:id="104"/>
    <w:bookmarkStart w:id="109"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8"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6" name="Picture"/>
            <a:graphic>
              <a:graphicData uri="http://schemas.openxmlformats.org/drawingml/2006/picture">
                <pic:pic>
                  <pic:nvPicPr>
                    <pic:cNvPr descr="work/simulation4_recognition_full_figure/item_context_recognition.png" id="107" name="Picture"/>
                    <pic:cNvPicPr>
                      <a:picLocks noChangeArrowheads="1" noChangeAspect="1"/>
                    </pic:cNvPicPr>
                  </pic:nvPicPr>
                  <pic:blipFill>
                    <a:blip r:embed="rId105"/>
                    <a:stretch>
                      <a:fillRect/>
                    </a:stretch>
                  </pic:blipFill>
                  <pic:spPr bwMode="auto">
                    <a:xfrm>
                      <a:off x="0" y="0"/>
                      <a:ext cx="5943600" cy="4316185"/>
                    </a:xfrm>
                    <a:prstGeom prst="rect">
                      <a:avLst/>
                    </a:prstGeom>
                    <a:noFill/>
                    <a:ln w="9525">
                      <a:noFill/>
                      <a:headEnd/>
                      <a:tailEnd/>
                    </a:ln>
                  </pic:spPr>
                </pic:pic>
              </a:graphicData>
            </a:graphic>
          </wp:inline>
        </w:drawing>
      </w:r>
    </w:p>
    <w:bookmarkEnd w:id="108"/>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09"/>
    <w:bookmarkEnd w:id="110"/>
    <w:bookmarkStart w:id="111" w:name="general-discussion"/>
    <w:p>
      <w:pPr>
        <w:pStyle w:val="Heading1"/>
      </w:pPr>
      <w:r>
        <w:t xml:space="preserve">General Discussion</w:t>
      </w:r>
    </w:p>
    <w:bookmarkEnd w:id="111"/>
    <w:bookmarkStart w:id="243" w:name="references"/>
    <w:p>
      <w:pPr>
        <w:pStyle w:val="Heading1"/>
      </w:pPr>
      <w:r>
        <w:t xml:space="preserve">References</w:t>
      </w:r>
    </w:p>
    <w:bookmarkStart w:id="242" w:name="refs"/>
    <w:bookmarkStart w:id="113"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2">
        <w:r>
          <w:rPr>
            <w:rStyle w:val="Hyperlink"/>
          </w:rPr>
          <w:t xml:space="preserve">https://doi.org/10.1016/j.jbtep.2023.101920</w:t>
        </w:r>
      </w:hyperlink>
    </w:p>
    <w:bookmarkEnd w:id="113"/>
    <w:bookmarkStart w:id="115"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4">
        <w:r>
          <w:rPr>
            <w:rStyle w:val="Hyperlink"/>
          </w:rPr>
          <w:t xml:space="preserve">https://doi.org/10.1016/j.jpsychires.2023.01.028</w:t>
        </w:r>
      </w:hyperlink>
    </w:p>
    <w:bookmarkEnd w:id="115"/>
    <w:bookmarkStart w:id="117"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6">
        <w:r>
          <w:rPr>
            <w:rStyle w:val="Hyperlink"/>
          </w:rPr>
          <w:t xml:space="preserve">https://doi.org/10.1037/0096-3445.129.1.126</w:t>
        </w:r>
      </w:hyperlink>
    </w:p>
    <w:bookmarkEnd w:id="117"/>
    <w:bookmarkStart w:id="119"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8">
        <w:r>
          <w:rPr>
            <w:rStyle w:val="Hyperlink"/>
          </w:rPr>
          <w:t xml:space="preserve">https://doi.org/10.1016/s2215-0366(25)00397-9</w:t>
        </w:r>
      </w:hyperlink>
    </w:p>
    <w:bookmarkEnd w:id="119"/>
    <w:bookmarkStart w:id="121"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0">
        <w:r>
          <w:rPr>
            <w:rStyle w:val="Hyperlink"/>
          </w:rPr>
          <w:t xml:space="preserve">https://doi.org/10.1037/a0033722</w:t>
        </w:r>
      </w:hyperlink>
    </w:p>
    <w:bookmarkEnd w:id="121"/>
    <w:bookmarkStart w:id="123"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2">
        <w:r>
          <w:rPr>
            <w:rStyle w:val="Hyperlink"/>
          </w:rPr>
          <w:t xml:space="preserve">https://doi.org/10.1037/0033-295X.103.4.670</w:t>
        </w:r>
      </w:hyperlink>
    </w:p>
    <w:bookmarkEnd w:id="123"/>
    <w:bookmarkStart w:id="125"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4">
        <w:r>
          <w:rPr>
            <w:rStyle w:val="Hyperlink"/>
          </w:rPr>
          <w:t xml:space="preserve">https://doi.org/10.1037/a0018113</w:t>
        </w:r>
      </w:hyperlink>
    </w:p>
    <w:bookmarkEnd w:id="125"/>
    <w:bookmarkStart w:id="127"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26">
        <w:r>
          <w:rPr>
            <w:rStyle w:val="Hyperlink"/>
          </w:rPr>
          <w:t xml:space="preserve">https://doi.org/10.1006/jmps.1999.1282</w:t>
        </w:r>
      </w:hyperlink>
    </w:p>
    <w:bookmarkEnd w:id="127"/>
    <w:bookmarkStart w:id="129"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8">
        <w:r>
          <w:rPr>
            <w:rStyle w:val="Hyperlink"/>
          </w:rPr>
          <w:t xml:space="preserve">https://doi.org/10.1037/rev0000334</w:t>
        </w:r>
      </w:hyperlink>
    </w:p>
    <w:bookmarkEnd w:id="129"/>
    <w:bookmarkStart w:id="131"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0">
        <w:r>
          <w:rPr>
            <w:rStyle w:val="Hyperlink"/>
          </w:rPr>
          <w:t xml:space="preserve">https://doi.org/10.1016/j.jbtep.2011.10.008</w:t>
        </w:r>
      </w:hyperlink>
    </w:p>
    <w:bookmarkEnd w:id="131"/>
    <w:bookmarkStart w:id="132"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2"/>
    <w:bookmarkStart w:id="134"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3">
        <w:r>
          <w:rPr>
            <w:rStyle w:val="Hyperlink"/>
          </w:rPr>
          <w:t xml:space="preserve">https://doi.org/10.1016/S0005-7967(99)00123-0</w:t>
        </w:r>
      </w:hyperlink>
    </w:p>
    <w:bookmarkEnd w:id="134"/>
    <w:bookmarkStart w:id="136"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35">
        <w:r>
          <w:rPr>
            <w:rStyle w:val="Hyperlink"/>
          </w:rPr>
          <w:t xml:space="preserve">https://doi.org/10.1037/a0033715</w:t>
        </w:r>
      </w:hyperlink>
    </w:p>
    <w:bookmarkEnd w:id="136"/>
    <w:bookmarkStart w:id="138"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7">
        <w:r>
          <w:rPr>
            <w:rStyle w:val="Hyperlink"/>
          </w:rPr>
          <w:t xml:space="preserve">https://doi.org/10.1037/rev0000015</w:t>
        </w:r>
      </w:hyperlink>
    </w:p>
    <w:bookmarkEnd w:id="138"/>
    <w:bookmarkStart w:id="140"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39">
        <w:r>
          <w:rPr>
            <w:rStyle w:val="Hyperlink"/>
          </w:rPr>
          <w:t xml:space="preserve">https://doi.org/10.3758/s13421-023-01453-z</w:t>
        </w:r>
      </w:hyperlink>
    </w:p>
    <w:bookmarkEnd w:id="140"/>
    <w:bookmarkStart w:id="142"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1">
        <w:r>
          <w:rPr>
            <w:rStyle w:val="Hyperlink"/>
          </w:rPr>
          <w:t xml:space="preserve">https://doi.org/10.1016/j.jbtep.2023.101858</w:t>
        </w:r>
      </w:hyperlink>
    </w:p>
    <w:bookmarkEnd w:id="142"/>
    <w:bookmarkStart w:id="144"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3">
        <w:r>
          <w:rPr>
            <w:rStyle w:val="Hyperlink"/>
          </w:rPr>
          <w:t xml:space="preserve">https://doi.org/10.31234/osf.io/sm3fw</w:t>
        </w:r>
      </w:hyperlink>
    </w:p>
    <w:bookmarkEnd w:id="144"/>
    <w:bookmarkStart w:id="146"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5">
        <w:r>
          <w:rPr>
            <w:rStyle w:val="Hyperlink"/>
          </w:rPr>
          <w:t xml:space="preserve">https://doi.org/10.1016/j.actpsy.2007.11.002</w:t>
        </w:r>
      </w:hyperlink>
    </w:p>
    <w:bookmarkEnd w:id="146"/>
    <w:bookmarkStart w:id="148"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7">
        <w:r>
          <w:rPr>
            <w:rStyle w:val="Hyperlink"/>
          </w:rPr>
          <w:t xml:space="preserve">https://doi.org/10.1037/0096-3445.133.1.3</w:t>
        </w:r>
      </w:hyperlink>
    </w:p>
    <w:bookmarkEnd w:id="148"/>
    <w:bookmarkStart w:id="150"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9">
        <w:r>
          <w:rPr>
            <w:rStyle w:val="Hyperlink"/>
          </w:rPr>
          <w:t xml:space="preserve">https://doi.org/10.1371/journal.pone.0004153</w:t>
        </w:r>
      </w:hyperlink>
    </w:p>
    <w:bookmarkEnd w:id="150"/>
    <w:bookmarkStart w:id="152"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1">
        <w:r>
          <w:rPr>
            <w:rStyle w:val="Hyperlink"/>
          </w:rPr>
          <w:t xml:space="preserve">https://doi.org/10.1371/journal.pone.0013706</w:t>
        </w:r>
      </w:hyperlink>
    </w:p>
    <w:bookmarkEnd w:id="152"/>
    <w:bookmarkStart w:id="154"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3">
        <w:r>
          <w:rPr>
            <w:rStyle w:val="Hyperlink"/>
          </w:rPr>
          <w:t xml:space="preserve">https://doi.org/10.1016/j.brat.2017.03.018</w:t>
        </w:r>
      </w:hyperlink>
    </w:p>
    <w:bookmarkEnd w:id="154"/>
    <w:bookmarkStart w:id="156"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55">
        <w:r>
          <w:rPr>
            <w:rStyle w:val="Hyperlink"/>
          </w:rPr>
          <w:t xml:space="preserve">https://doi.org/10.1037/0278-7393.25.4.923</w:t>
        </w:r>
      </w:hyperlink>
    </w:p>
    <w:bookmarkEnd w:id="156"/>
    <w:bookmarkStart w:id="158"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7">
        <w:r>
          <w:rPr>
            <w:rStyle w:val="Hyperlink"/>
          </w:rPr>
          <w:t xml:space="preserve">https://doi.org/10.1006/jmps.2001.1388</w:t>
        </w:r>
      </w:hyperlink>
    </w:p>
    <w:bookmarkEnd w:id="158"/>
    <w:bookmarkStart w:id="159"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9"/>
    <w:bookmarkStart w:id="161"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0">
        <w:r>
          <w:rPr>
            <w:rStyle w:val="Hyperlink"/>
          </w:rPr>
          <w:t xml:space="preserve">https://doi.org/10.1101/lm.1022308</w:t>
        </w:r>
      </w:hyperlink>
    </w:p>
    <w:bookmarkEnd w:id="161"/>
    <w:bookmarkStart w:id="16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2">
        <w:r>
          <w:rPr>
            <w:rStyle w:val="Hyperlink"/>
          </w:rPr>
          <w:t xml:space="preserve">https://doi.org/10.1038/mp.2017.23</w:t>
        </w:r>
      </w:hyperlink>
    </w:p>
    <w:bookmarkEnd w:id="163"/>
    <w:bookmarkStart w:id="165"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4">
        <w:r>
          <w:rPr>
            <w:rStyle w:val="Hyperlink"/>
          </w:rPr>
          <w:t xml:space="preserve">https://doi.org/10.1038/s41398-023-02578-0</w:t>
        </w:r>
      </w:hyperlink>
    </w:p>
    <w:bookmarkEnd w:id="165"/>
    <w:bookmarkStart w:id="167"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66">
        <w:r>
          <w:rPr>
            <w:rStyle w:val="Hyperlink"/>
          </w:rPr>
          <w:t xml:space="preserve">https://doi.org/10.1016/j.cpr.2018.08.005</w:t>
        </w:r>
      </w:hyperlink>
    </w:p>
    <w:bookmarkEnd w:id="167"/>
    <w:bookmarkStart w:id="169"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68">
        <w:r>
          <w:rPr>
            <w:rStyle w:val="Hyperlink"/>
          </w:rPr>
          <w:t xml:space="preserve">https://doi.org/10.1177/0956797615583071</w:t>
        </w:r>
      </w:hyperlink>
    </w:p>
    <w:bookmarkEnd w:id="169"/>
    <w:bookmarkStart w:id="171"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0">
        <w:r>
          <w:rPr>
            <w:rStyle w:val="Hyperlink"/>
          </w:rPr>
          <w:t xml:space="preserve">https://doi.org/10.1016/j.cpr.2016.04.010</w:t>
        </w:r>
      </w:hyperlink>
    </w:p>
    <w:bookmarkEnd w:id="171"/>
    <w:bookmarkStart w:id="173"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72">
        <w:r>
          <w:rPr>
            <w:rStyle w:val="Hyperlink"/>
          </w:rPr>
          <w:t xml:space="preserve">https://memory.psych.upenn.edu/files/pubs/JinEtal24.pdf</w:t>
        </w:r>
      </w:hyperlink>
    </w:p>
    <w:bookmarkEnd w:id="173"/>
    <w:bookmarkStart w:id="17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4"/>
    <w:bookmarkStart w:id="176"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5">
        <w:r>
          <w:rPr>
            <w:rStyle w:val="Hyperlink"/>
          </w:rPr>
          <w:t xml:space="preserve">https://doi.org/10.1146/annurev-psych-010418-103358</w:t>
        </w:r>
      </w:hyperlink>
    </w:p>
    <w:bookmarkEnd w:id="176"/>
    <w:bookmarkStart w:id="17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77">
        <w:r>
          <w:rPr>
            <w:rStyle w:val="Hyperlink"/>
          </w:rPr>
          <w:t xml:space="preserve">https://doi.org/10.1002/cpp.2489</w:t>
        </w:r>
      </w:hyperlink>
    </w:p>
    <w:bookmarkEnd w:id="178"/>
    <w:bookmarkStart w:id="180"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79">
        <w:r>
          <w:rPr>
            <w:rStyle w:val="Hyperlink"/>
          </w:rPr>
          <w:t xml:space="preserve">https://doi.org/10.1186/s12916-024-03569-8</w:t>
        </w:r>
      </w:hyperlink>
    </w:p>
    <w:bookmarkEnd w:id="180"/>
    <w:bookmarkStart w:id="182"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1">
        <w:r>
          <w:rPr>
            <w:rStyle w:val="Hyperlink"/>
          </w:rPr>
          <w:t xml:space="preserve">https://doi.org/10.1016/j.jbtep.2019.01.006</w:t>
        </w:r>
      </w:hyperlink>
    </w:p>
    <w:bookmarkEnd w:id="182"/>
    <w:bookmarkStart w:id="184"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3">
        <w:r>
          <w:rPr>
            <w:rStyle w:val="Hyperlink"/>
          </w:rPr>
          <w:t xml:space="preserve">https://doi.org/10.1038/nn.2271</w:t>
        </w:r>
      </w:hyperlink>
    </w:p>
    <w:bookmarkEnd w:id="184"/>
    <w:bookmarkStart w:id="186"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5">
        <w:r>
          <w:rPr>
            <w:rStyle w:val="Hyperlink"/>
          </w:rPr>
          <w:t xml:space="preserve">https://doi.org/10.1523/JNEUROSCI.3378-14.2015</w:t>
        </w:r>
      </w:hyperlink>
    </w:p>
    <w:bookmarkEnd w:id="186"/>
    <w:bookmarkStart w:id="188"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87">
        <w:r>
          <w:rPr>
            <w:rStyle w:val="Hyperlink"/>
          </w:rPr>
          <w:t xml:space="preserve">https://doi.org/10.1002/acp.1611</w:t>
        </w:r>
      </w:hyperlink>
    </w:p>
    <w:bookmarkEnd w:id="188"/>
    <w:bookmarkStart w:id="190"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89">
        <w:r>
          <w:rPr>
            <w:rStyle w:val="Hyperlink"/>
          </w:rPr>
          <w:t xml:space="preserve">https://doi.org/10.1037/xge0000598</w:t>
        </w:r>
      </w:hyperlink>
    </w:p>
    <w:bookmarkEnd w:id="190"/>
    <w:bookmarkStart w:id="192"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1">
        <w:r>
          <w:rPr>
            <w:rStyle w:val="Hyperlink"/>
          </w:rPr>
          <w:t xml:space="preserve">https://doi.org/10.1177/2167702621998315</w:t>
        </w:r>
      </w:hyperlink>
    </w:p>
    <w:bookmarkEnd w:id="192"/>
    <w:bookmarkStart w:id="194"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3">
        <w:r>
          <w:rPr>
            <w:rStyle w:val="Hyperlink"/>
          </w:rPr>
          <w:t xml:space="preserve">https://doi.org/10.1037/xge0001354</w:t>
        </w:r>
      </w:hyperlink>
    </w:p>
    <w:bookmarkEnd w:id="194"/>
    <w:bookmarkStart w:id="196"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5">
        <w:r>
          <w:rPr>
            <w:rStyle w:val="Hyperlink"/>
          </w:rPr>
          <w:t xml:space="preserve">https://doi.org/10.1037/a0039036</w:t>
        </w:r>
      </w:hyperlink>
    </w:p>
    <w:bookmarkEnd w:id="196"/>
    <w:bookmarkStart w:id="198"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197">
        <w:r>
          <w:rPr>
            <w:rStyle w:val="Hyperlink"/>
          </w:rPr>
          <w:t xml:space="preserve">https://doi.org/10.3758/s13423-025-02744-z</w:t>
        </w:r>
      </w:hyperlink>
    </w:p>
    <w:bookmarkEnd w:id="198"/>
    <w:bookmarkStart w:id="199"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199"/>
    <w:bookmarkStart w:id="20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0">
        <w:r>
          <w:rPr>
            <w:rStyle w:val="Hyperlink"/>
          </w:rPr>
          <w:t xml:space="preserve">https://osf.io/preprints/psyarxiv/m3pnz_v1/</w:t>
        </w:r>
      </w:hyperlink>
    </w:p>
    <w:bookmarkEnd w:id="201"/>
    <w:bookmarkStart w:id="203"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2">
        <w:r>
          <w:rPr>
            <w:rStyle w:val="Hyperlink"/>
          </w:rPr>
          <w:t xml:space="preserve">https://doi.org/10.1016/j.jml.2015.10.002</w:t>
        </w:r>
      </w:hyperlink>
    </w:p>
    <w:bookmarkEnd w:id="203"/>
    <w:bookmarkStart w:id="205"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04">
        <w:r>
          <w:rPr>
            <w:rStyle w:val="Hyperlink"/>
          </w:rPr>
          <w:t xml:space="preserve">https://doi.org/10.1038/s41467-017-01184-1</w:t>
        </w:r>
      </w:hyperlink>
    </w:p>
    <w:bookmarkEnd w:id="205"/>
    <w:bookmarkStart w:id="207"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06">
        <w:r>
          <w:rPr>
            <w:rStyle w:val="Hyperlink"/>
          </w:rPr>
          <w:t xml:space="preserve">https://doi.org/10.1037/a0022475</w:t>
        </w:r>
      </w:hyperlink>
    </w:p>
    <w:bookmarkEnd w:id="207"/>
    <w:bookmarkStart w:id="209"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8">
        <w:r>
          <w:rPr>
            <w:rStyle w:val="Hyperlink"/>
          </w:rPr>
          <w:t xml:space="preserve">https://doi.org/10.1016/j.neuropsychologia.2011.08.025</w:t>
        </w:r>
      </w:hyperlink>
    </w:p>
    <w:bookmarkEnd w:id="209"/>
    <w:bookmarkStart w:id="211"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0">
        <w:r>
          <w:rPr>
            <w:rStyle w:val="Hyperlink"/>
          </w:rPr>
          <w:t xml:space="preserve">https://doi.org/10.1037/a0014420</w:t>
        </w:r>
      </w:hyperlink>
    </w:p>
    <w:bookmarkEnd w:id="211"/>
    <w:bookmarkStart w:id="213"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2">
        <w:r>
          <w:rPr>
            <w:rStyle w:val="Hyperlink"/>
          </w:rPr>
          <w:t xml:space="preserve">https://doi.org/10.1016/j.neuropsychologia.2009.02.013</w:t>
        </w:r>
      </w:hyperlink>
    </w:p>
    <w:bookmarkEnd w:id="213"/>
    <w:bookmarkStart w:id="215"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14">
        <w:r>
          <w:rPr>
            <w:rStyle w:val="Hyperlink"/>
          </w:rPr>
          <w:t xml:space="preserve">https://doi.org/10.1016/S0079-7421(08)60162-0</w:t>
        </w:r>
      </w:hyperlink>
    </w:p>
    <w:bookmarkEnd w:id="215"/>
    <w:bookmarkStart w:id="217"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6">
        <w:r>
          <w:rPr>
            <w:rStyle w:val="Hyperlink"/>
          </w:rPr>
          <w:t xml:space="preserve">https://doi.org/10.1038/s41380-023-02062-7</w:t>
        </w:r>
      </w:hyperlink>
    </w:p>
    <w:bookmarkEnd w:id="217"/>
    <w:bookmarkStart w:id="219"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8">
        <w:r>
          <w:rPr>
            <w:rStyle w:val="Hyperlink"/>
          </w:rPr>
          <w:t xml:space="preserve">https://doi.org/10.1111/j.1467-9280.2005.01634.x</w:t>
        </w:r>
      </w:hyperlink>
    </w:p>
    <w:bookmarkEnd w:id="219"/>
    <w:bookmarkStart w:id="221"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20">
        <w:r>
          <w:rPr>
            <w:rStyle w:val="Hyperlink"/>
          </w:rPr>
          <w:t xml:space="preserve">https://doi.org/10.3758/s13423-011-0086-9</w:t>
        </w:r>
      </w:hyperlink>
    </w:p>
    <w:bookmarkEnd w:id="221"/>
    <w:bookmarkStart w:id="22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2">
        <w:r>
          <w:rPr>
            <w:rStyle w:val="Hyperlink"/>
          </w:rPr>
          <w:t xml:space="preserve">https://doi.org/10.1037/a0013396</w:t>
        </w:r>
      </w:hyperlink>
    </w:p>
    <w:bookmarkEnd w:id="223"/>
    <w:bookmarkStart w:id="225"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4">
        <w:r>
          <w:rPr>
            <w:rStyle w:val="Hyperlink"/>
          </w:rPr>
          <w:t xml:space="preserve">https://doi.org/10.1177/0963721413498893</w:t>
        </w:r>
      </w:hyperlink>
    </w:p>
    <w:bookmarkEnd w:id="225"/>
    <w:bookmarkStart w:id="227"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6">
        <w:r>
          <w:rPr>
            <w:rStyle w:val="Hyperlink"/>
          </w:rPr>
          <w:t xml:space="preserve">https://doi.org/10.1037/rev0000132</w:t>
        </w:r>
      </w:hyperlink>
    </w:p>
    <w:bookmarkEnd w:id="227"/>
    <w:bookmarkStart w:id="229"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8">
        <w:r>
          <w:rPr>
            <w:rStyle w:val="Hyperlink"/>
          </w:rPr>
          <w:t xml:space="preserve">https://doi.org/10.1016/j.jml.2007.01.002</w:t>
        </w:r>
      </w:hyperlink>
    </w:p>
    <w:bookmarkEnd w:id="229"/>
    <w:bookmarkStart w:id="231"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30">
        <w:r>
          <w:rPr>
            <w:rStyle w:val="Hyperlink"/>
          </w:rPr>
          <w:t xml:space="preserve">https://doi.org/10.3758/bf03195864</w:t>
        </w:r>
      </w:hyperlink>
    </w:p>
    <w:bookmarkEnd w:id="231"/>
    <w:bookmarkStart w:id="233"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32">
        <w:r>
          <w:rPr>
            <w:rStyle w:val="Hyperlink"/>
          </w:rPr>
          <w:t xml:space="preserve">https://doi.org/10.3758/MC.38.4.419</w:t>
        </w:r>
      </w:hyperlink>
    </w:p>
    <w:bookmarkEnd w:id="233"/>
    <w:bookmarkStart w:id="235"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4">
        <w:r>
          <w:rPr>
            <w:rStyle w:val="Hyperlink"/>
          </w:rPr>
          <w:t xml:space="preserve">https://doi.org/10.1038/s41562-024-01956-y</w:t>
        </w:r>
      </w:hyperlink>
    </w:p>
    <w:bookmarkEnd w:id="235"/>
    <w:bookmarkStart w:id="237"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36">
        <w:r>
          <w:rPr>
            <w:rStyle w:val="Hyperlink"/>
          </w:rPr>
          <w:t xml:space="preserve">https://doi.org/10.1525/collabra.130791</w:t>
        </w:r>
      </w:hyperlink>
    </w:p>
    <w:bookmarkEnd w:id="237"/>
    <w:bookmarkStart w:id="239"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8">
        <w:r>
          <w:rPr>
            <w:rStyle w:val="Hyperlink"/>
          </w:rPr>
          <w:t xml:space="preserve">https://doi.org/10.1037/0278-7393.32.4.792</w:t>
        </w:r>
      </w:hyperlink>
    </w:p>
    <w:bookmarkEnd w:id="239"/>
    <w:bookmarkStart w:id="241"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40">
        <w:r>
          <w:rPr>
            <w:rStyle w:val="Hyperlink"/>
          </w:rPr>
          <w:t xml:space="preserve">https://doi.org/10.1037/rev0000505</w:t>
        </w:r>
      </w:hyperlink>
    </w:p>
    <w:bookmarkEnd w:id="241"/>
    <w:bookmarkEnd w:id="242"/>
    <w:bookmarkEnd w:id="24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hyperlink" Id="rId187" Target="https://doi.org/10.1002/acp.1611" TargetMode="External" /><Relationship Type="http://schemas.openxmlformats.org/officeDocument/2006/relationships/hyperlink" Id="rId177" Target="https://doi.org/10.1002/cpp.2489" TargetMode="External" /><Relationship Type="http://schemas.openxmlformats.org/officeDocument/2006/relationships/hyperlink" Id="rId126" Target="https://doi.org/10.1006/jmps.1999.1282" TargetMode="External" /><Relationship Type="http://schemas.openxmlformats.org/officeDocument/2006/relationships/hyperlink" Id="rId157" Target="https://doi.org/10.1006/jmps.2001.1388" TargetMode="External" /><Relationship Type="http://schemas.openxmlformats.org/officeDocument/2006/relationships/hyperlink" Id="rId133" Target="https://doi.org/10.1016/S0005-7967(99)00123-0" TargetMode="External" /><Relationship Type="http://schemas.openxmlformats.org/officeDocument/2006/relationships/hyperlink" Id="rId214" Target="https://doi.org/10.1016/S0079-7421(08)60162-0" TargetMode="External" /><Relationship Type="http://schemas.openxmlformats.org/officeDocument/2006/relationships/hyperlink" Id="rId145" Target="https://doi.org/10.1016/j.actpsy.2007.11.002" TargetMode="External" /><Relationship Type="http://schemas.openxmlformats.org/officeDocument/2006/relationships/hyperlink" Id="rId153" Target="https://doi.org/10.1016/j.brat.2017.03.018" TargetMode="External" /><Relationship Type="http://schemas.openxmlformats.org/officeDocument/2006/relationships/hyperlink" Id="rId170" Target="https://doi.org/10.1016/j.cpr.2016.04.010" TargetMode="External" /><Relationship Type="http://schemas.openxmlformats.org/officeDocument/2006/relationships/hyperlink" Id="rId166" Target="https://doi.org/10.1016/j.cpr.2018.08.005" TargetMode="External" /><Relationship Type="http://schemas.openxmlformats.org/officeDocument/2006/relationships/hyperlink" Id="rId130" Target="https://doi.org/10.1016/j.jbtep.2011.10.008" TargetMode="External" /><Relationship Type="http://schemas.openxmlformats.org/officeDocument/2006/relationships/hyperlink" Id="rId181" Target="https://doi.org/10.1016/j.jbtep.2019.01.006" TargetMode="External" /><Relationship Type="http://schemas.openxmlformats.org/officeDocument/2006/relationships/hyperlink" Id="rId141" Target="https://doi.org/10.1016/j.jbtep.2023.101858" TargetMode="External" /><Relationship Type="http://schemas.openxmlformats.org/officeDocument/2006/relationships/hyperlink" Id="rId112" Target="https://doi.org/10.1016/j.jbtep.2023.101920" TargetMode="External" /><Relationship Type="http://schemas.openxmlformats.org/officeDocument/2006/relationships/hyperlink" Id="rId228"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4" Target="https://doi.org/10.1016/j.jpsychires.2023.01.028" TargetMode="External" /><Relationship Type="http://schemas.openxmlformats.org/officeDocument/2006/relationships/hyperlink" Id="rId212" Target="https://doi.org/10.1016/j.neuropsychologia.2009.02.013" TargetMode="External" /><Relationship Type="http://schemas.openxmlformats.org/officeDocument/2006/relationships/hyperlink" Id="rId208" Target="https://doi.org/10.1016/j.neuropsychologia.2011.08.025" TargetMode="External" /><Relationship Type="http://schemas.openxmlformats.org/officeDocument/2006/relationships/hyperlink" Id="rId118" Target="https://doi.org/10.1016/s2215-0366(25)00397-9" TargetMode="External" /><Relationship Type="http://schemas.openxmlformats.org/officeDocument/2006/relationships/hyperlink" Id="rId122" Target="https://doi.org/10.1037/0033-295X.103.4.670" TargetMode="External" /><Relationship Type="http://schemas.openxmlformats.org/officeDocument/2006/relationships/hyperlink" Id="rId116" Target="https://doi.org/10.1037/0096-3445.129.1.126" TargetMode="External" /><Relationship Type="http://schemas.openxmlformats.org/officeDocument/2006/relationships/hyperlink" Id="rId147" Target="https://doi.org/10.1037/0096-3445.133.1.3" TargetMode="External" /><Relationship Type="http://schemas.openxmlformats.org/officeDocument/2006/relationships/hyperlink" Id="rId155" Target="https://doi.org/10.1037/0278-7393.25.4.923" TargetMode="External" /><Relationship Type="http://schemas.openxmlformats.org/officeDocument/2006/relationships/hyperlink" Id="rId238" Target="https://doi.org/10.1037/0278-7393.32.4.792" TargetMode="External" /><Relationship Type="http://schemas.openxmlformats.org/officeDocument/2006/relationships/hyperlink" Id="rId222" Target="https://doi.org/10.1037/a0013396" TargetMode="External" /><Relationship Type="http://schemas.openxmlformats.org/officeDocument/2006/relationships/hyperlink" Id="rId210" Target="https://doi.org/10.1037/a0014420" TargetMode="External" /><Relationship Type="http://schemas.openxmlformats.org/officeDocument/2006/relationships/hyperlink" Id="rId124" Target="https://doi.org/10.1037/a0018113" TargetMode="External" /><Relationship Type="http://schemas.openxmlformats.org/officeDocument/2006/relationships/hyperlink" Id="rId206" Target="https://doi.org/10.1037/a0022475" TargetMode="External" /><Relationship Type="http://schemas.openxmlformats.org/officeDocument/2006/relationships/hyperlink" Id="rId135" Target="https://doi.org/10.1037/a0033715" TargetMode="External" /><Relationship Type="http://schemas.openxmlformats.org/officeDocument/2006/relationships/hyperlink" Id="rId120" Target="https://doi.org/10.1037/a0033722" TargetMode="External" /><Relationship Type="http://schemas.openxmlformats.org/officeDocument/2006/relationships/hyperlink" Id="rId195" Target="https://doi.org/10.1037/a0039036" TargetMode="External" /><Relationship Type="http://schemas.openxmlformats.org/officeDocument/2006/relationships/hyperlink" Id="rId137" Target="https://doi.org/10.1037/rev0000015" TargetMode="External" /><Relationship Type="http://schemas.openxmlformats.org/officeDocument/2006/relationships/hyperlink" Id="rId226" Target="https://doi.org/10.1037/rev0000132" TargetMode="External" /><Relationship Type="http://schemas.openxmlformats.org/officeDocument/2006/relationships/hyperlink" Id="rId128" Target="https://doi.org/10.1037/rev0000334" TargetMode="External" /><Relationship Type="http://schemas.openxmlformats.org/officeDocument/2006/relationships/hyperlink" Id="rId240" Target="https://doi.org/10.1037/rev0000505" TargetMode="External" /><Relationship Type="http://schemas.openxmlformats.org/officeDocument/2006/relationships/hyperlink" Id="rId189" Target="https://doi.org/10.1037/xge0000598" TargetMode="External" /><Relationship Type="http://schemas.openxmlformats.org/officeDocument/2006/relationships/hyperlink" Id="rId193" Target="https://doi.org/10.1037/xge0001354" TargetMode="External" /><Relationship Type="http://schemas.openxmlformats.org/officeDocument/2006/relationships/hyperlink" Id="rId162" Target="https://doi.org/10.1038/mp.2017.23" TargetMode="External" /><Relationship Type="http://schemas.openxmlformats.org/officeDocument/2006/relationships/hyperlink" Id="rId183" Target="https://doi.org/10.1038/nn.2271" TargetMode="External" /><Relationship Type="http://schemas.openxmlformats.org/officeDocument/2006/relationships/hyperlink" Id="rId216" Target="https://doi.org/10.1038/s41380-023-02062-7" TargetMode="External" /><Relationship Type="http://schemas.openxmlformats.org/officeDocument/2006/relationships/hyperlink" Id="rId164" Target="https://doi.org/10.1038/s41398-023-02578-0" TargetMode="External" /><Relationship Type="http://schemas.openxmlformats.org/officeDocument/2006/relationships/hyperlink" Id="rId204" Target="https://doi.org/10.1038/s41467-017-01184-1" TargetMode="External" /><Relationship Type="http://schemas.openxmlformats.org/officeDocument/2006/relationships/hyperlink" Id="rId234" Target="https://doi.org/10.1038/s41562-024-01956-y" TargetMode="External" /><Relationship Type="http://schemas.openxmlformats.org/officeDocument/2006/relationships/hyperlink" Id="rId160" Target="https://doi.org/10.1101/lm.1022308" TargetMode="External" /><Relationship Type="http://schemas.openxmlformats.org/officeDocument/2006/relationships/hyperlink" Id="rId218" Target="https://doi.org/10.1111/j.1467-9280.2005.01634.x" TargetMode="External" /><Relationship Type="http://schemas.openxmlformats.org/officeDocument/2006/relationships/hyperlink" Id="rId175" Target="https://doi.org/10.1146/annurev-psych-010418-103358" TargetMode="External" /><Relationship Type="http://schemas.openxmlformats.org/officeDocument/2006/relationships/hyperlink" Id="rId168" Target="https://doi.org/10.1177/0956797615583071" TargetMode="External" /><Relationship Type="http://schemas.openxmlformats.org/officeDocument/2006/relationships/hyperlink" Id="rId224" Target="https://doi.org/10.1177/0963721413498893" TargetMode="External" /><Relationship Type="http://schemas.openxmlformats.org/officeDocument/2006/relationships/hyperlink" Id="rId191" Target="https://doi.org/10.1177/2167702621998315" TargetMode="External" /><Relationship Type="http://schemas.openxmlformats.org/officeDocument/2006/relationships/hyperlink" Id="rId179" Target="https://doi.org/10.1186/s12916-024-03569-8" TargetMode="External" /><Relationship Type="http://schemas.openxmlformats.org/officeDocument/2006/relationships/hyperlink" Id="rId149" Target="https://doi.org/10.1371/journal.pone.0004153" TargetMode="External" /><Relationship Type="http://schemas.openxmlformats.org/officeDocument/2006/relationships/hyperlink" Id="rId151" Target="https://doi.org/10.1371/journal.pone.0013706" TargetMode="External" /><Relationship Type="http://schemas.openxmlformats.org/officeDocument/2006/relationships/hyperlink" Id="rId185" Target="https://doi.org/10.1523/JNEUROSCI.3378-14.2015" TargetMode="External" /><Relationship Type="http://schemas.openxmlformats.org/officeDocument/2006/relationships/hyperlink" Id="rId236" Target="https://doi.org/10.1525/collabra.130791" TargetMode="External" /><Relationship Type="http://schemas.openxmlformats.org/officeDocument/2006/relationships/hyperlink" Id="rId143" Target="https://doi.org/10.31234/osf.io/sm3fw" TargetMode="External" /><Relationship Type="http://schemas.openxmlformats.org/officeDocument/2006/relationships/hyperlink" Id="rId232" Target="https://doi.org/10.3758/MC.38.4.419" TargetMode="External" /><Relationship Type="http://schemas.openxmlformats.org/officeDocument/2006/relationships/hyperlink" Id="rId230" Target="https://doi.org/10.3758/bf03195864" TargetMode="External" /><Relationship Type="http://schemas.openxmlformats.org/officeDocument/2006/relationships/hyperlink" Id="rId139" Target="https://doi.org/10.3758/s13421-023-01453-z" TargetMode="External" /><Relationship Type="http://schemas.openxmlformats.org/officeDocument/2006/relationships/hyperlink" Id="rId220" Target="https://doi.org/10.3758/s13423-011-0086-9" TargetMode="External" /><Relationship Type="http://schemas.openxmlformats.org/officeDocument/2006/relationships/hyperlink" Id="rId197" Target="https://doi.org/10.3758/s13423-025-02744-z" TargetMode="External" /><Relationship Type="http://schemas.openxmlformats.org/officeDocument/2006/relationships/hyperlink" Id="rId172" Target="https://memory.psych.upenn.edu/files/pubs/JinEtal24.pdf" TargetMode="External" /><Relationship Type="http://schemas.openxmlformats.org/officeDocument/2006/relationships/hyperlink" Id="rId20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87" Target="https://doi.org/10.1002/acp.1611" TargetMode="External" /><Relationship Type="http://schemas.openxmlformats.org/officeDocument/2006/relationships/hyperlink" Id="rId177" Target="https://doi.org/10.1002/cpp.2489" TargetMode="External" /><Relationship Type="http://schemas.openxmlformats.org/officeDocument/2006/relationships/hyperlink" Id="rId126" Target="https://doi.org/10.1006/jmps.1999.1282" TargetMode="External" /><Relationship Type="http://schemas.openxmlformats.org/officeDocument/2006/relationships/hyperlink" Id="rId157" Target="https://doi.org/10.1006/jmps.2001.1388" TargetMode="External" /><Relationship Type="http://schemas.openxmlformats.org/officeDocument/2006/relationships/hyperlink" Id="rId133" Target="https://doi.org/10.1016/S0005-7967(99)00123-0" TargetMode="External" /><Relationship Type="http://schemas.openxmlformats.org/officeDocument/2006/relationships/hyperlink" Id="rId214" Target="https://doi.org/10.1016/S0079-7421(08)60162-0" TargetMode="External" /><Relationship Type="http://schemas.openxmlformats.org/officeDocument/2006/relationships/hyperlink" Id="rId145" Target="https://doi.org/10.1016/j.actpsy.2007.11.002" TargetMode="External" /><Relationship Type="http://schemas.openxmlformats.org/officeDocument/2006/relationships/hyperlink" Id="rId153" Target="https://doi.org/10.1016/j.brat.2017.03.018" TargetMode="External" /><Relationship Type="http://schemas.openxmlformats.org/officeDocument/2006/relationships/hyperlink" Id="rId170" Target="https://doi.org/10.1016/j.cpr.2016.04.010" TargetMode="External" /><Relationship Type="http://schemas.openxmlformats.org/officeDocument/2006/relationships/hyperlink" Id="rId166" Target="https://doi.org/10.1016/j.cpr.2018.08.005" TargetMode="External" /><Relationship Type="http://schemas.openxmlformats.org/officeDocument/2006/relationships/hyperlink" Id="rId130" Target="https://doi.org/10.1016/j.jbtep.2011.10.008" TargetMode="External" /><Relationship Type="http://schemas.openxmlformats.org/officeDocument/2006/relationships/hyperlink" Id="rId181" Target="https://doi.org/10.1016/j.jbtep.2019.01.006" TargetMode="External" /><Relationship Type="http://schemas.openxmlformats.org/officeDocument/2006/relationships/hyperlink" Id="rId141" Target="https://doi.org/10.1016/j.jbtep.2023.101858" TargetMode="External" /><Relationship Type="http://schemas.openxmlformats.org/officeDocument/2006/relationships/hyperlink" Id="rId112" Target="https://doi.org/10.1016/j.jbtep.2023.101920" TargetMode="External" /><Relationship Type="http://schemas.openxmlformats.org/officeDocument/2006/relationships/hyperlink" Id="rId228"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4" Target="https://doi.org/10.1016/j.jpsychires.2023.01.028" TargetMode="External" /><Relationship Type="http://schemas.openxmlformats.org/officeDocument/2006/relationships/hyperlink" Id="rId212" Target="https://doi.org/10.1016/j.neuropsychologia.2009.02.013" TargetMode="External" /><Relationship Type="http://schemas.openxmlformats.org/officeDocument/2006/relationships/hyperlink" Id="rId208" Target="https://doi.org/10.1016/j.neuropsychologia.2011.08.025" TargetMode="External" /><Relationship Type="http://schemas.openxmlformats.org/officeDocument/2006/relationships/hyperlink" Id="rId118" Target="https://doi.org/10.1016/s2215-0366(25)00397-9" TargetMode="External" /><Relationship Type="http://schemas.openxmlformats.org/officeDocument/2006/relationships/hyperlink" Id="rId122" Target="https://doi.org/10.1037/0033-295X.103.4.670" TargetMode="External" /><Relationship Type="http://schemas.openxmlformats.org/officeDocument/2006/relationships/hyperlink" Id="rId116" Target="https://doi.org/10.1037/0096-3445.129.1.126" TargetMode="External" /><Relationship Type="http://schemas.openxmlformats.org/officeDocument/2006/relationships/hyperlink" Id="rId147" Target="https://doi.org/10.1037/0096-3445.133.1.3" TargetMode="External" /><Relationship Type="http://schemas.openxmlformats.org/officeDocument/2006/relationships/hyperlink" Id="rId155" Target="https://doi.org/10.1037/0278-7393.25.4.923" TargetMode="External" /><Relationship Type="http://schemas.openxmlformats.org/officeDocument/2006/relationships/hyperlink" Id="rId238" Target="https://doi.org/10.1037/0278-7393.32.4.792" TargetMode="External" /><Relationship Type="http://schemas.openxmlformats.org/officeDocument/2006/relationships/hyperlink" Id="rId222" Target="https://doi.org/10.1037/a0013396" TargetMode="External" /><Relationship Type="http://schemas.openxmlformats.org/officeDocument/2006/relationships/hyperlink" Id="rId210" Target="https://doi.org/10.1037/a0014420" TargetMode="External" /><Relationship Type="http://schemas.openxmlformats.org/officeDocument/2006/relationships/hyperlink" Id="rId124" Target="https://doi.org/10.1037/a0018113" TargetMode="External" /><Relationship Type="http://schemas.openxmlformats.org/officeDocument/2006/relationships/hyperlink" Id="rId206" Target="https://doi.org/10.1037/a0022475" TargetMode="External" /><Relationship Type="http://schemas.openxmlformats.org/officeDocument/2006/relationships/hyperlink" Id="rId135" Target="https://doi.org/10.1037/a0033715" TargetMode="External" /><Relationship Type="http://schemas.openxmlformats.org/officeDocument/2006/relationships/hyperlink" Id="rId120" Target="https://doi.org/10.1037/a0033722" TargetMode="External" /><Relationship Type="http://schemas.openxmlformats.org/officeDocument/2006/relationships/hyperlink" Id="rId195" Target="https://doi.org/10.1037/a0039036" TargetMode="External" /><Relationship Type="http://schemas.openxmlformats.org/officeDocument/2006/relationships/hyperlink" Id="rId137" Target="https://doi.org/10.1037/rev0000015" TargetMode="External" /><Relationship Type="http://schemas.openxmlformats.org/officeDocument/2006/relationships/hyperlink" Id="rId226" Target="https://doi.org/10.1037/rev0000132" TargetMode="External" /><Relationship Type="http://schemas.openxmlformats.org/officeDocument/2006/relationships/hyperlink" Id="rId128" Target="https://doi.org/10.1037/rev0000334" TargetMode="External" /><Relationship Type="http://schemas.openxmlformats.org/officeDocument/2006/relationships/hyperlink" Id="rId240" Target="https://doi.org/10.1037/rev0000505" TargetMode="External" /><Relationship Type="http://schemas.openxmlformats.org/officeDocument/2006/relationships/hyperlink" Id="rId189" Target="https://doi.org/10.1037/xge0000598" TargetMode="External" /><Relationship Type="http://schemas.openxmlformats.org/officeDocument/2006/relationships/hyperlink" Id="rId193" Target="https://doi.org/10.1037/xge0001354" TargetMode="External" /><Relationship Type="http://schemas.openxmlformats.org/officeDocument/2006/relationships/hyperlink" Id="rId162" Target="https://doi.org/10.1038/mp.2017.23" TargetMode="External" /><Relationship Type="http://schemas.openxmlformats.org/officeDocument/2006/relationships/hyperlink" Id="rId183" Target="https://doi.org/10.1038/nn.2271" TargetMode="External" /><Relationship Type="http://schemas.openxmlformats.org/officeDocument/2006/relationships/hyperlink" Id="rId216" Target="https://doi.org/10.1038/s41380-023-02062-7" TargetMode="External" /><Relationship Type="http://schemas.openxmlformats.org/officeDocument/2006/relationships/hyperlink" Id="rId164" Target="https://doi.org/10.1038/s41398-023-02578-0" TargetMode="External" /><Relationship Type="http://schemas.openxmlformats.org/officeDocument/2006/relationships/hyperlink" Id="rId204" Target="https://doi.org/10.1038/s41467-017-01184-1" TargetMode="External" /><Relationship Type="http://schemas.openxmlformats.org/officeDocument/2006/relationships/hyperlink" Id="rId234" Target="https://doi.org/10.1038/s41562-024-01956-y" TargetMode="External" /><Relationship Type="http://schemas.openxmlformats.org/officeDocument/2006/relationships/hyperlink" Id="rId160" Target="https://doi.org/10.1101/lm.1022308" TargetMode="External" /><Relationship Type="http://schemas.openxmlformats.org/officeDocument/2006/relationships/hyperlink" Id="rId218" Target="https://doi.org/10.1111/j.1467-9280.2005.01634.x" TargetMode="External" /><Relationship Type="http://schemas.openxmlformats.org/officeDocument/2006/relationships/hyperlink" Id="rId175" Target="https://doi.org/10.1146/annurev-psych-010418-103358" TargetMode="External" /><Relationship Type="http://schemas.openxmlformats.org/officeDocument/2006/relationships/hyperlink" Id="rId168" Target="https://doi.org/10.1177/0956797615583071" TargetMode="External" /><Relationship Type="http://schemas.openxmlformats.org/officeDocument/2006/relationships/hyperlink" Id="rId224" Target="https://doi.org/10.1177/0963721413498893" TargetMode="External" /><Relationship Type="http://schemas.openxmlformats.org/officeDocument/2006/relationships/hyperlink" Id="rId191" Target="https://doi.org/10.1177/2167702621998315" TargetMode="External" /><Relationship Type="http://schemas.openxmlformats.org/officeDocument/2006/relationships/hyperlink" Id="rId179" Target="https://doi.org/10.1186/s12916-024-03569-8" TargetMode="External" /><Relationship Type="http://schemas.openxmlformats.org/officeDocument/2006/relationships/hyperlink" Id="rId149" Target="https://doi.org/10.1371/journal.pone.0004153" TargetMode="External" /><Relationship Type="http://schemas.openxmlformats.org/officeDocument/2006/relationships/hyperlink" Id="rId151" Target="https://doi.org/10.1371/journal.pone.0013706" TargetMode="External" /><Relationship Type="http://schemas.openxmlformats.org/officeDocument/2006/relationships/hyperlink" Id="rId185" Target="https://doi.org/10.1523/JNEUROSCI.3378-14.2015" TargetMode="External" /><Relationship Type="http://schemas.openxmlformats.org/officeDocument/2006/relationships/hyperlink" Id="rId236" Target="https://doi.org/10.1525/collabra.130791" TargetMode="External" /><Relationship Type="http://schemas.openxmlformats.org/officeDocument/2006/relationships/hyperlink" Id="rId143" Target="https://doi.org/10.31234/osf.io/sm3fw" TargetMode="External" /><Relationship Type="http://schemas.openxmlformats.org/officeDocument/2006/relationships/hyperlink" Id="rId232" Target="https://doi.org/10.3758/MC.38.4.419" TargetMode="External" /><Relationship Type="http://schemas.openxmlformats.org/officeDocument/2006/relationships/hyperlink" Id="rId230" Target="https://doi.org/10.3758/bf03195864" TargetMode="External" /><Relationship Type="http://schemas.openxmlformats.org/officeDocument/2006/relationships/hyperlink" Id="rId139" Target="https://doi.org/10.3758/s13421-023-01453-z" TargetMode="External" /><Relationship Type="http://schemas.openxmlformats.org/officeDocument/2006/relationships/hyperlink" Id="rId220" Target="https://doi.org/10.3758/s13423-011-0086-9" TargetMode="External" /><Relationship Type="http://schemas.openxmlformats.org/officeDocument/2006/relationships/hyperlink" Id="rId197" Target="https://doi.org/10.3758/s13423-025-02744-z" TargetMode="External" /><Relationship Type="http://schemas.openxmlformats.org/officeDocument/2006/relationships/hyperlink" Id="rId172" Target="https://memory.psych.upenn.edu/files/pubs/JinEtal24.pdf" TargetMode="External" /><Relationship Type="http://schemas.openxmlformats.org/officeDocument/2006/relationships/hyperlink" Id="rId20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2026-07-03T03:09:20Z</dcterms:created>
  <dcterms:modified xsi:type="dcterms:W3CDTF">2026-07-03T03:09:20Z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