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demonstrating how selective interference can arise within a single affectively-modulated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Simulation 1 demonstrates the context-binding account of interference: after a film reminder, a strongly encoded task can reduce later film recall because task items are encoded while context is still film-relevant, making them likely to compete when film context cues retrieval.</w:t>
      </w:r>
      <w:r>
        <w:t xml:space="preserve"> </w:t>
      </w:r>
      <w:r>
        <w:t xml:space="preserve">Simulation 2 adds the intentionality manipulation, comparing unguided retrieval with deliberate recall after the same task manipulation and showing how film-directed recall can reduce the impact of task competitors.</w:t>
      </w:r>
      <w:r>
        <w:t xml:space="preserve"> </w:t>
      </w:r>
      <w:r>
        <w:t xml:space="preserve">A later task-specificity simulation will clarify which task properties matter in the model, including task-item learning strength and overlap with film-associated context, rather than treating the visuospatial/comparison contrast as primitive.</w:t>
      </w:r>
      <w:r>
        <w:t xml:space="preserve"> </w:t>
      </w:r>
      <w:r>
        <w:t xml:space="preserve">Simulation 4 examines cue support across test formats, showing how film-related monitoring cues or supplied film items can reduce reliance on broad context-to-item sampling and thereby narrow the intrusion-voluntary-memory dissociation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represent affect as an additional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retrieval-mode and control settings, and affective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specification below defines the model’s representations, parameters, and initialization before turning to context updating, associative learning, retrieval, retrieval-control settings, and affective context.</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symbolic base parameters used by the model.</w:t>
      </w:r>
      <w:r>
        <w:t xml:space="preserve"> </w:t>
      </w:r>
      <w:r>
        <w:t xml:space="preserve">The equations below define the model architecture; numerical parameter values and phase-specific settings are specified in the simulation methodology.</w:t>
      </w:r>
    </w:p>
    <w:bookmarkStart w:id="30" w:name="tbl-base-parameters"/>
    <w:p>
      <w:pPr>
        <w:pStyle w:val="FigureTitle"/>
      </w:pPr>
      <w:r>
        <w:t xml:space="preserve">Table 1</w:t>
      </w:r>
    </w:p>
    <w:p>
      <w:pPr>
        <w:pStyle w:val="Caption"/>
      </w:pPr>
      <w:r>
        <w:t xml:space="preserve">Base parameters and theoretical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emotional-context drift rate</w:t>
            </w:r>
          </w:p>
        </w:tc>
        <w:tc>
          <w:tcPr/>
          <w:p>
            <w:pPr>
              <w:pStyle w:val="Compact"/>
            </w:pPr>
            <w:r>
              <w:t xml:space="preserve">Context drift in the emotional pathway</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emotional learning scale</w:t>
            </w:r>
          </w:p>
        </w:tc>
        <w:tc>
          <w:tcPr/>
          <w:p>
            <w:pPr>
              <w:pStyle w:val="Compact"/>
            </w:pPr>
            <w:r>
              <w:t xml:space="preserve">Emotional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Because the selective-interference simulations vary the new associations formed across phases, these baseline associations are treated as fixed model architecture rather than as the mechanism of interest.</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recalled-item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recalled and reminded items.</w:t>
      </w:r>
    </w:p>
    <w:bookmarkEnd w:id="49"/>
    <w:bookmarkStart w:id="53" w:name="affective-context"/>
    <w:p>
      <w:pPr>
        <w:pStyle w:val="Heading2"/>
      </w:pPr>
      <w:r>
        <w:t xml:space="preserve">Affective Context</w:t>
      </w:r>
    </w:p>
    <w:p>
      <w:pPr>
        <w:pStyle w:val="FirstParagraph"/>
      </w:pPr>
      <w:r>
        <w:t xml:space="preserve">The model also includes an affective-context pathway inherited from eCMR</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affective pathway allows the simulations to examine whether shared affective state can amplify competition; it does not make task affect the explanation of selective interference.</w:t>
      </w:r>
      <w:r>
        <w:t xml:space="preserve"> </w:t>
      </w:r>
      <w:r>
        <w:t xml:space="preserve">Each item has a two-unit affective feature vector</w:t>
      </w:r>
      <w:r>
        <w:t xml:space="preserve"> </w:t>
      </w:r>
      <m:oMath>
        <m:sSub>
          <m:e>
            <m:r>
              <m:t>s</m:t>
            </m:r>
          </m:e>
          <m:sub>
            <m:r>
              <m:t>i</m:t>
            </m:r>
          </m:sub>
        </m:sSub>
      </m:oMath>
      <w:r>
        <w:t xml:space="preserve">,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feature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 affective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affective 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Affective 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affective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affective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affective learning is engaged, the affective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affective components of context.</w:t>
      </w:r>
      <w:r>
        <w:t xml:space="preserve"> </w:t>
      </w:r>
      <w:r>
        <w:t xml:space="preserve">Affective support enters retrieval through learned affective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Task items are distinct item features and are assigned the marked affective feature only in affective-overlap variants.</w:t>
      </w:r>
      <w:r>
        <w:t xml:space="preserve"> </w:t>
      </w:r>
      <w:r>
        <w:t xml:space="preserve">When film and task items share the marked affective feature and affective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53"/>
    <w:bookmarkEnd w:id="54"/>
    <w:bookmarkStart w:id="68" w:name="simulations"/>
    <w:p>
      <w:pPr>
        <w:pStyle w:val="Heading1"/>
      </w:pPr>
      <w:r>
        <w:t xml:space="preserve">Simulations</w:t>
      </w:r>
    </w:p>
    <w:p>
      <w:pPr>
        <w:pStyle w:val="FirstParagraph"/>
      </w:pPr>
      <w:r>
        <w:t xml:space="preserve">The simulations instantiate the retrieved-context account in a controlled trauma-film analogue.</w:t>
      </w:r>
      <w:r>
        <w:t xml:space="preserve"> </w:t>
      </w:r>
      <w:r>
        <w:t xml:space="preserve">They vary phase settings and retrieval-control settings to examine how context overlap, task competition, and film-directed control shape recall.</w:t>
      </w:r>
      <w:r>
        <w:t xml:space="preserve"> </w:t>
      </w:r>
      <w:r>
        <w:t xml:space="preserve">Simulation 1 isolates how task learning and film-context reinstatement create associations that make task items competitive during retrieval.</w:t>
      </w:r>
      <w:r>
        <w:t xml:space="preserve"> </w:t>
      </w:r>
      <w:r>
        <w:t xml:space="preserve">Simulation 2 applies that competition to unguided retrieval and deliberate recall.</w:t>
      </w:r>
      <w:r>
        <w:t xml:space="preserve"> </w:t>
      </w:r>
      <w:r>
        <w:t xml:space="preserve">Simulation 3 separates the control settings that can protect deliberate recall.</w:t>
      </w:r>
      <w:r>
        <w:t xml:space="preserve"> </w:t>
      </w:r>
      <w:r>
        <w:t xml:space="preserve">Simulations 4–6 examine reminder timing, task specificity and affective overlap, and cue support across test formats.</w:t>
      </w:r>
    </w:p>
    <w:bookmarkStart w:id="57" w:name="methodology"/>
    <w:p>
      <w:pPr>
        <w:pStyle w:val="Heading2"/>
      </w:pPr>
      <w:r>
        <w:t xml:space="preserve">Methodology</w:t>
      </w:r>
    </w:p>
    <w:p>
      <w:pPr>
        <w:pStyle w:val="FirstParagraph"/>
      </w:pPr>
      <w:r>
        <w:t xml:space="preserve">Base parameters were anchored to an existing immediate free-recall dataset in which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fitted parameters anchor baseline emotional-picture free-recall dynamics before the selective-interference manipulations are applied as phase-specific encoding or retrieval-control settings.</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 used in the current simulations.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Start-context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0.499</w:t>
            </w:r>
          </w:p>
        </w:tc>
        <w:tc>
          <w:tcPr/>
          <w:p>
            <w:pPr>
              <w:pStyle w:val="Compact"/>
            </w:pPr>
            <w:r>
              <w:t xml:space="preserve">Primacy scale</w:t>
            </w:r>
          </w:p>
        </w:tc>
      </w:tr>
      <w:tr>
        <w:tc>
          <w:tcPr/>
          <w:p>
            <w:pPr>
              <w:pStyle w:val="Compact"/>
            </w:pPr>
            <m:oMath>
              <m:sSub>
                <m:e>
                  <m:r>
                    <m:t>ϕ</m:t>
                  </m:r>
                </m:e>
                <m:sub>
                  <m:r>
                    <m:t>d</m:t>
                  </m:r>
                </m:sub>
              </m:sSub>
            </m:oMath>
          </w:p>
        </w:tc>
        <w:tc>
          <w:tcPr/>
          <w:p>
            <w:pPr>
              <w:pStyle w:val="Compact"/>
              <w:jc w:val="right"/>
            </w:pPr>
            <w:r>
              <w:t xml:space="preserve">0.530</w:t>
            </w:r>
          </w:p>
        </w:tc>
        <w:tc>
          <w:tcPr/>
          <w:p>
            <w:pPr>
              <w:pStyle w:val="Compact"/>
            </w:pPr>
            <w:r>
              <w:t xml:space="preserve">Primacy decay</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Emotional-context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Emotional learning scale</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recalls.</w:t>
      </w:r>
    </w:p>
    <w:p>
      <w:pPr>
        <w:pStyle w:val="BodyText"/>
      </w:pPr>
      <w:r>
        <w:t xml:space="preserve">Each simulated trial contains 16 film items, 16 break/buffer items, 16 task items, and 16 filler items.</w:t>
      </w:r>
      <w:r>
        <w:t xml:space="preserve"> </w:t>
      </w:r>
      <w:r>
        <w:t xml:space="preserve">Equal phase lengths make redistribution across film, task, and filler periods directly comparable.</w:t>
      </w:r>
      <w:r>
        <w:t xml:space="preserve"> </w:t>
      </w:r>
      <w:r>
        <w:t xml:space="preserve">Retrieval allows up to 48 recall attempts.</w:t>
      </w:r>
      <w:r>
        <w:t xml:space="preserve"> </w:t>
      </w:r>
      <w:r>
        <w:t xml:space="preserve">All encoded film, break/buffer, task, and filler items can enter the retrieval competition unless a later simulation explicitly changes the test format.</w:t>
      </w:r>
    </w:p>
    <w:p>
      <w:pPr>
        <w:pStyle w:val="BodyText"/>
      </w:pPr>
      <w:r>
        <w:t xml:space="preserve">Film, break/buffer, task, and filler items are encoded by the same CMR operations defined above.</w:t>
      </w:r>
      <w:r>
        <w:t xml:space="preserve"> </w:t>
      </w:r>
      <w:r>
        <w:t xml:space="preserve">Phase settings control temporal drift and context-to-feature learning strength.</w:t>
      </w:r>
      <w:r>
        <w:t xml:space="preserve"> </w:t>
      </w:r>
      <w:r>
        <w:t xml:space="preserve">In the no-reminder branch used for Simulation 1, the reminder-start and film-item reminder-cue drift scales are set to zero.</w:t>
      </w:r>
      <w:r>
        <w:t xml:space="preserve"> </w:t>
      </w:r>
      <w:r>
        <w:t xml:space="preserve">In the with-reminder branch, context first shifts toward the start state and then receives sequential film-item reminder cues before task encoding.</w:t>
      </w:r>
      <w:r>
        <w:t xml:space="preserve"> </w:t>
      </w:r>
      <w:r>
        <w:t xml:space="preserve">Reminder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hyperlink w:anchor="tbl-simulation-phase-settings">
        <w:r>
          <w:rPr>
            <w:rStyle w:val="Hyperlink"/>
          </w:rPr>
          <w:t xml:space="preserve">Table 3</w:t>
        </w:r>
      </w:hyperlink>
      <w:r>
        <w:t xml:space="preserve"> </w:t>
      </w:r>
      <w:r>
        <w:t xml:space="preserve">summarizes the phase structure and settings used for the current Figure 2 simulations.</w:t>
      </w:r>
    </w:p>
    <w:bookmarkStart w:id="56" w:name="tbl-simulation-phase-settings"/>
    <w:p>
      <w:pPr>
        <w:pStyle w:val="FigureTitle"/>
      </w:pPr>
      <w:r>
        <w:t xml:space="preserve">Table 3</w:t>
      </w:r>
    </w:p>
    <w:p>
      <w:pPr>
        <w:pStyle w:val="Caption"/>
      </w:pPr>
      <w:r>
        <w:t xml:space="preserve">Phase structure and settings for the current Figure 2 simulations.</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film-item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recall attempts</w:t>
            </w:r>
          </w:p>
        </w:tc>
        <w:tc>
          <w:tcPr/>
          <w:p>
            <w:pPr>
              <w:pStyle w:val="Compact"/>
              <w:jc w:val="right"/>
            </w:pPr>
            <w:r>
              <w:t xml:space="preserve">48</w:t>
            </w:r>
          </w:p>
        </w:tc>
        <w:tc>
          <w:tcPr/>
          <w:p>
            <w:pPr>
              <w:pStyle w:val="Compact"/>
            </w:pPr>
            <w:r>
              <w:t xml:space="preserve">Upper bound on sampled retrieval outputs</w:t>
            </w:r>
          </w:p>
        </w:tc>
      </w:tr>
      <w:tr>
        <w:tc>
          <w:tcPr/>
          <w:p>
            <w:pPr>
              <w:pStyle w:val="Compact"/>
            </w:pPr>
            <w:r>
              <w:t xml:space="preserve">Simulated trials per sweep cell</w:t>
            </w:r>
          </w:p>
        </w:tc>
        <w:tc>
          <w:tcPr/>
          <w:p>
            <w:pPr>
              <w:pStyle w:val="Compact"/>
              <w:jc w:val="right"/>
            </w:pPr>
            <w:r>
              <w:t xml:space="preserve">5000</w:t>
            </w:r>
          </w:p>
        </w:tc>
        <w:tc>
          <w:tcPr/>
          <w:p>
            <w:pPr>
              <w:pStyle w:val="Compact"/>
            </w:pPr>
            <w:r>
              <w:t xml:space="preserve">Replications used for Figure 2 estimates</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film-item cue reinstatement</w:t>
            </w:r>
          </w:p>
        </w:tc>
      </w:tr>
      <w:tr>
        <w:tc>
          <w:tcPr/>
          <w:p>
            <w:pPr>
              <w:pStyle w:val="Compact"/>
            </w:pPr>
            <w:r>
              <w:t xml:space="preserve">Task</w:t>
            </w:r>
            <w:r>
              <w:t xml:space="preserve"> </w:t>
            </w:r>
            <m:oMath>
              <m:sSup>
                <m:e>
                  <m:r>
                    <m:t>M</m:t>
                  </m:r>
                </m:e>
                <m:sup>
                  <m:r>
                    <m:t>C</m:t>
                  </m:r>
                  <m:r>
                    <m:t>F</m:t>
                  </m:r>
                </m:sup>
              </m:sSup>
            </m:oMath>
            <w:r>
              <w:t xml:space="preserve"> </w:t>
            </w:r>
            <w:r>
              <w:t xml:space="preserve">scale</w:t>
            </w:r>
          </w:p>
        </w:tc>
        <w:tc>
          <w:tcPr/>
          <w:p>
            <w:pPr>
              <w:pStyle w:val="Compact"/>
              <w:jc w:val="right"/>
            </w:pPr>
            <w:r>
              <w:t xml:space="preserve">0.0–3.0 by 0.5</w:t>
            </w:r>
          </w:p>
        </w:tc>
        <w:tc>
          <w:tcPr/>
          <w:p>
            <w:pPr>
              <w:pStyle w:val="Compact"/>
            </w:pPr>
            <w:r>
              <w:t xml:space="preserve">Sweep of task context-to-feature learning strength</w:t>
            </w:r>
          </w:p>
        </w:tc>
      </w:tr>
      <w:tr>
        <w:tc>
          <w:tcPr/>
          <w:p>
            <w:pPr>
              <w:pStyle w:val="Compact"/>
            </w:pPr>
            <w:r>
              <w:t xml:space="preserve">Affective marking</w:t>
            </w:r>
          </w:p>
        </w:tc>
        <w:tc>
          <w:tcPr/>
          <w:p>
            <w:pPr>
              <w:pStyle w:val="Compact"/>
              <w:jc w:val="right"/>
            </w:pPr>
            <w:r>
              <w:t xml:space="preserve">Off</w:t>
            </w:r>
          </w:p>
        </w:tc>
        <w:tc>
          <w:tcPr/>
          <w:p>
            <w:pPr>
              <w:pStyle w:val="Compact"/>
            </w:pPr>
            <w:r>
              <w:t xml:space="preserve">No affective-overlap manipulation in Simulation 1</w:t>
            </w:r>
          </w:p>
        </w:tc>
      </w:tr>
    </w:tbl>
    <w:bookmarkEnd w:id="56"/>
    <w:p>
      <w:pPr>
        <w:pStyle w:val="AfterWithoutNote"/>
      </w:pPr>
      <w:r>
        <w:t xml:space="preserve">For each condition and sweep value, the model encodes the phase sequence, enters retrieval,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 and repeats this process across simulated trials.</w:t>
      </w:r>
      <w:r>
        <w:t xml:space="preserve"> </w:t>
      </w:r>
      <w:r>
        <w:t xml:space="preserve">Serial-position curves estimate the probability that each encoded position appears at least once in the recall sequence.</w:t>
      </w:r>
      <w:r>
        <w:t xml:space="preserve"> </w:t>
      </w:r>
      <w:r>
        <w:t xml:space="preserve">The model-state analyses in Figure 2 quantify two quantities that explain the behavioral curves.</w:t>
      </w:r>
      <w:r>
        <w:t xml:space="preserve"> </w:t>
      </w:r>
      <w:r>
        <w:t xml:space="preserve">The context-similarity analysis computes cosine similarity between unit-normalized temporal context states associated with film-item encoding and temporal context states active during task-item encoding.</w:t>
      </w:r>
      <w:r>
        <w:t xml:space="preserve"> </w:t>
      </w:r>
      <w:r>
        <w:t xml:space="preserve">The support-allocation analysis forms a film-context cue from the centroid of film encoding context states, applies that cue to</w:t>
      </w:r>
      <w:r>
        <w:t xml:space="preserve"> </w:t>
      </w:r>
      <m:oMath>
        <m:sSup>
          <m:e>
            <m:r>
              <m:t>M</m:t>
            </m:r>
          </m:e>
          <m:sup>
            <m:r>
              <m:t>C</m:t>
            </m:r>
            <m:r>
              <m:t>F</m:t>
            </m:r>
          </m:sup>
        </m:sSup>
      </m:oMath>
      <w:r>
        <w:t xml:space="preserve"> </w:t>
      </w:r>
      <w:r>
        <w:t xml:space="preserve">after task encoding, and computes task support divided by the sum of film and task support.</w:t>
      </w:r>
    </w:p>
    <w:bookmarkEnd w:id="57"/>
    <w:bookmarkStart w:id="62" w:name="Xbcb1a978e991f364bff6939060eaf7762ee0e94"/>
    <w:p>
      <w:pPr>
        <w:pStyle w:val="Heading2"/>
      </w:pPr>
      <w:r>
        <w:t xml:space="preserve">Simulation 1: Task Competition and Contextual Overlap</w:t>
      </w:r>
    </w:p>
    <w:p>
      <w:pPr>
        <w:pStyle w:val="FirstParagraph"/>
      </w:pPr>
      <w:r>
        <w:t xml:space="preserve">Simulation 1 isolates the conditions under which task learning strength becomes consequential for film recall.</w:t>
      </w:r>
      <w:r>
        <w:t xml:space="preserve"> </w:t>
      </w:r>
      <w:r>
        <w:t xml:space="preserve">It sweeps task context-to-feature learning across the no-reminder and with-reminder branches described above.</w:t>
      </w:r>
      <w:r>
        <w:t xml:space="preserve"> </w:t>
      </w:r>
      <w:r>
        <w:t xml:space="preserve">Retrieval settings are held fixed so Simulation 1 isolates the stored-association conditions under which distinct task items become effective competitors for film recall.</w:t>
      </w:r>
      <w:r>
        <w:t xml:space="preserve"> </w:t>
      </w:r>
      <w:r>
        <w:t xml:space="preserve">Simulation 2 then applies those film-task associations to retrieval modes that differ in film-directed control.</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film-context reinstatement before task encoding.</w:t>
      </w:r>
      <w:r>
        <w:t xml:space="preserve"> </w:t>
      </w:r>
      <w:r>
        <w:rPr>
          <w:b/>
          <w:bCs/>
        </w:rPr>
        <w:t xml:space="preserve">(A)</w:t>
      </w:r>
      <w:r>
        <w:t xml:space="preserve"> </w:t>
      </w:r>
      <w:r>
        <w:t xml:space="preserve">Without a film reminder, task items become associated with later context states reached after drift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This behavioral contrast follows from the context trace: reminder cues make the context states active during task encoding more similar to the states associated with film items.</w:t>
      </w:r>
      <w:r>
        <w:t xml:space="preserve"> </w:t>
      </w:r>
      <w:r>
        <w:rPr>
          <w:b/>
          <w:bCs/>
        </w:rPr>
        <w:t xml:space="preserve">(D)</w:t>
      </w:r>
      <w:r>
        <w:t xml:space="preserve"> </w:t>
      </w:r>
      <w:r>
        <w:t xml:space="preserve">When the model is cued with film context, stronger task encoding assigns a larger share of item support to task items, especially after a film reminder.</w:t>
      </w:r>
    </w:p>
    <w:p>
      <w:pPr>
        <w:pStyle w:val="FigureWithoutNote"/>
      </w:pPr>
      <w:r>
        <w:drawing>
          <wp:inline>
            <wp:extent cx="5943600" cy="3645598"/>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645598"/>
                    </a:xfrm>
                    <a:prstGeom prst="rect">
                      <a:avLst/>
                    </a:prstGeom>
                    <a:noFill/>
                    <a:ln w="9525">
                      <a:noFill/>
                      <a:headEnd/>
                      <a:tailEnd/>
                    </a:ln>
                  </pic:spPr>
                </pic:pic>
              </a:graphicData>
            </a:graphic>
          </wp:inline>
        </w:drawing>
      </w:r>
    </w:p>
    <w:bookmarkEnd w:id="61"/>
    <w:p>
      <w:pPr>
        <w:pStyle w:val="AfterWithoutNote"/>
      </w:pPr>
      <w:r>
        <w:t xml:space="preserve">Panels A and B show phase-resolved recall probability across encoded positions.</w:t>
      </w:r>
      <w:r>
        <w:t xml:space="preserve"> </w:t>
      </w:r>
      <w:r>
        <w:t xml:space="preserve">Without a film reminder, increasing task learning produces only modest loss of film recall and only modest gain in task recall, because task items become associated with later context states reached after drift away from the film.</w:t>
      </w:r>
      <w:r>
        <w:t xml:space="preserve"> </w:t>
      </w:r>
      <w:r>
        <w:t xml:space="preserve">With a film reminder, the same task-learning manipulation produces a much larger redistribution from film positions to task positions.</w:t>
      </w:r>
      <w:r>
        <w:t xml:space="preserve"> </w:t>
      </w:r>
      <w:r>
        <w:t xml:space="preserve">The reminder branch therefore shows that task strength matters most when task items are associated with film-relevant context states.</w:t>
      </w:r>
      <w:r>
        <w:t xml:space="preserve"> </w:t>
      </w:r>
      <w:r>
        <w:t xml:space="preserve">The serial-position curves also show that the effect is not uniform across film positions: early film recall remains relatively protected under the current settings compared with later film positions.</w:t>
      </w:r>
    </w:p>
    <w:p>
      <w:pPr>
        <w:pStyle w:val="BodyText"/>
      </w:pPr>
      <w:r>
        <w:t xml:space="preserve">Panels C and D provide model-state analyses that explain why the behavioral curves diverge.</w:t>
      </w:r>
      <w:r>
        <w:t xml:space="preserve"> </w:t>
      </w:r>
      <w:r>
        <w:t xml:space="preserve">Panel C quantifies temporal-context similarity between the states associated with film items and the states active during task encoding.</w:t>
      </w:r>
      <w:r>
        <w:t xml:space="preserve"> </w:t>
      </w:r>
      <w:r>
        <w:t xml:space="preserve">When a reminder reinstates film-associated context before task encoding, the model encodes task items in states more similar to those associated with film items.</w:t>
      </w:r>
      <w:r>
        <w:t xml:space="preserve"> </w:t>
      </w:r>
      <w:r>
        <w:t xml:space="preserve">Panel D quantifies support allocation from a film-context cue: as task learning increases, task items receive a larger share of item support when film contexts cue retrieval, especially after the film reminder.</w:t>
      </w:r>
      <w:r>
        <w:t xml:space="preserve"> </w:t>
      </w:r>
      <w:r>
        <w:t xml:space="preserve">The resulting impairment is therefore not a weakening of film-item storage.</w:t>
      </w:r>
      <w:r>
        <w:t xml:space="preserve"> </w:t>
      </w:r>
      <w:r>
        <w:t xml:space="preserve">It is an additive competition effect in which task items remain distinct from film items but become increasingly likely to win retrieval from film-relevant cues.</w:t>
      </w:r>
      <w:r>
        <w:t xml:space="preserve"> </w:t>
      </w:r>
      <w:r>
        <w:t xml:space="preserve">Simulation 2 next applies these film-task associations to the retrieval-mode contrast needed for selective interference.</w:t>
      </w:r>
    </w:p>
    <w:bookmarkEnd w:id="62"/>
    <w:bookmarkStart w:id="63" w:name="X37494a7d56ca7a31ce1e7ad5f2ef7cfc35c42b4"/>
    <w:p>
      <w:pPr>
        <w:pStyle w:val="Heading2"/>
      </w:pPr>
      <w:r>
        <w:t xml:space="preserve">Simulation 2: Retrieval Mode and Selective Interference</w:t>
      </w:r>
    </w:p>
    <w:p>
      <w:pPr>
        <w:pStyle w:val="FirstParagraph"/>
      </w:pPr>
      <w:r>
        <w:t xml:space="preserve">Premise: Given stored film and task associations capable of producing competition, the second simulation asks whether unguided retrieval is more impaired than deliberate recall.</w:t>
      </w:r>
      <w:r>
        <w:t xml:space="preserve"> </w:t>
      </w:r>
      <w:r>
        <w:t xml:space="preserve">The section should compare weak or absent task competition with strong task competition under unguided retrieval and deliberate recall.</w:t>
      </w:r>
      <w:r>
        <w:t xml:space="preserve"> </w:t>
      </w:r>
      <w:r>
        <w:t xml:space="preserve">This is the first direct simulation of the selective-interference dissociation between intrusion-like access and voluntary recall.</w:t>
      </w:r>
    </w:p>
    <w:p>
      <w:pPr>
        <w:pStyle w:val="BodyText"/>
      </w:pPr>
      <w:r>
        <w:t xml:space="preserve">Primary readouts: The main figure should show phase-resolved recall so the reader can see where retrieval probability is redistributed across film, task, and filler phases.</w:t>
      </w:r>
      <w:r>
        <w:t xml:space="preserve"> </w:t>
      </w:r>
      <w:r>
        <w:t xml:space="preserve">A compact summary should also show film-item access and impairment from baseline for each retrieval mode.</w:t>
      </w:r>
      <w:r>
        <w:t xml:space="preserve"> </w:t>
      </w:r>
      <w:r>
        <w:t xml:space="preserve">Task-competitor recall should be reported or visible enough to show that lost film access is competition-driven.</w:t>
      </w:r>
    </w:p>
    <w:p>
      <w:pPr>
        <w:pStyle w:val="BodyText"/>
      </w:pPr>
      <w:r>
        <w:t xml:space="preserve">Intended text take-away: This section establishes the core dissociation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p>
      <w:pPr>
        <w:pStyle w:val="BodyText"/>
      </w:pPr>
      <w:r>
        <w:t xml:space="preserve">Open specification: The deliberate-recall settings used here need to be fixed before this section is written as a result.</w:t>
      </w:r>
      <w:r>
        <w:t xml:space="preserve"> </w:t>
      </w:r>
      <w:r>
        <w:t xml:space="preserve">Those settings should be strong enough to create a retrieval-mode contrast but simple enough that Simulation 3 can still isolate the separate control mechanisms.</w:t>
      </w:r>
    </w:p>
    <w:bookmarkEnd w:id="63"/>
    <w:bookmarkStart w:id="64" w:name="Xbe670664f0616e2f4bf355deaa2d454398f6d2b"/>
    <w:p>
      <w:pPr>
        <w:pStyle w:val="Heading2"/>
      </w:pPr>
      <w:r>
        <w:t xml:space="preserve">Simulation 3: Deliberate-Recall Control Mechanisms</w:t>
      </w:r>
    </w:p>
    <w:p>
      <w:pPr>
        <w:pStyle w:val="FirstParagraph"/>
      </w:pPr>
      <w:r>
        <w:t xml:space="preserve">Premise: After Simulation 2 establishes relative protection for deliberate recall, this simulation asks which control settings produce that protection.</w:t>
      </w:r>
      <w:r>
        <w:t xml:space="preserve"> </w:t>
      </w:r>
      <w:r>
        <w:t xml:space="preserve">Deliberate recall is not categorically protected.</w:t>
      </w:r>
      <w:r>
        <w:t xml:space="preserve"> </w:t>
      </w:r>
      <w:r>
        <w:t xml:space="preserve">Its relative sparing depends on control operations that make retrieval more film-directed.</w:t>
      </w:r>
      <w:r>
        <w:t xml:space="preserve"> </w:t>
      </w:r>
      <w:r>
        <w:t xml:space="preserve">This section should separate the contributions of film-directed start/context cueing, sharper selection through</w:t>
      </w:r>
      <w:r>
        <w:t xml:space="preserve"> </w:t>
      </w:r>
      <m:oMath>
        <m:r>
          <m:t>τ</m:t>
        </m:r>
      </m:oMath>
      <w:r>
        <w:t xml:space="preserve">, and target-monitoring or rejected-recall updating through</w:t>
      </w:r>
      <w:r>
        <w:t xml:space="preserve"> </w:t>
      </w:r>
      <m:oMath>
        <m:r>
          <m:t>κ</m:t>
        </m:r>
      </m:oMath>
      <w:r>
        <w:t xml:space="preserve"> </w:t>
      </w:r>
      <w:r>
        <w:t xml:space="preserve">if that mechanism remains in the simulation package.</w:t>
      </w:r>
    </w:p>
    <w:p>
      <w:pPr>
        <w:pStyle w:val="BodyText"/>
      </w:pPr>
      <w:r>
        <w:t xml:space="preserve">Primary readouts: The figure should show how each control lever changes film-item access and the phase-resolved organization of recall under a fixed task-competition setting.</w:t>
      </w:r>
      <w:r>
        <w:t xml:space="preserve"> </w:t>
      </w:r>
      <w:r>
        <w:t xml:space="preserve">The most useful contrast should include total film recall, task-competitor retrieval, and how closely recall remains tied to the film phase.</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unguided retrieval more closely.</w:t>
      </w:r>
    </w:p>
    <w:p>
      <w:pPr>
        <w:pStyle w:val="BodyText"/>
      </w:pPr>
      <w:r>
        <w:t xml:space="preserve">Open specification: Decide whether target-monitoring through</w:t>
      </w:r>
      <w:r>
        <w:t xml:space="preserve"> </w:t>
      </w:r>
      <m:oMath>
        <m:r>
          <m:t>κ</m:t>
        </m:r>
      </m:oMath>
      <w:r>
        <w:t xml:space="preserve"> </w:t>
      </w:r>
      <w:r>
        <w:t xml:space="preserve">is a core control mechanism or a sensitivity analysis.</w:t>
      </w:r>
      <w:r>
        <w:t xml:space="preserve"> </w:t>
      </w:r>
      <w:r>
        <w:t xml:space="preserve">The introduction currently emphasizes film-directed cueing and sharper selection more strongly than rejected-recall updating.</w:t>
      </w:r>
    </w:p>
    <w:bookmarkEnd w:id="64"/>
    <w:bookmarkStart w:id="65" w:name="X4e2c45a43ed3089f632b0e88f82303adf550a66"/>
    <w:p>
      <w:pPr>
        <w:pStyle w:val="Heading2"/>
      </w:pPr>
      <w:r>
        <w:t xml:space="preserve">Simulation 4: Reminder and Timing Boundary Conditions</w:t>
      </w:r>
    </w:p>
    <w:p>
      <w:pPr>
        <w:pStyle w:val="FirstParagraph"/>
      </w:pPr>
      <w:r>
        <w:t xml:space="preserve">Premise: After Simulation 1 shows that reminder presence increases task competition, this simulation asks how delayed interference depends on graded reinstatement and drift.</w:t>
      </w:r>
      <w:r>
        <w:t xml:space="preserve"> </w:t>
      </w:r>
      <w:r>
        <w:t xml:space="preserve">The delayed-reminder case applies the overlap mechanism after context has moved away from the film.</w:t>
      </w:r>
      <w:r>
        <w:t xml:space="preserve"> </w:t>
      </w:r>
      <w:r>
        <w:t xml:space="preserve">A reminder reinstates film-associated context before task encoding by first shifting toward start context and then applying sequential film-item cues without new learning.</w:t>
      </w:r>
    </w:p>
    <w:p>
      <w:pPr>
        <w:pStyle w:val="BodyText"/>
      </w:pPr>
      <w:r>
        <w:t xml:space="preserve">Primary readouts: The figure should show how weak versus strong reminder reinstatement changes phase-resolved recall and film-item access after a fixed task phase.</w:t>
      </w:r>
      <w:r>
        <w:t xml:space="preserve"> </w:t>
      </w:r>
      <w:r>
        <w:t xml:space="preserve">If delay or filler length is varied, the figure should make clear whether the effect comes from reinstatement strength, subsequent drift, or their combination.</w:t>
      </w:r>
      <w:r>
        <w:t xml:space="preserve"> </w:t>
      </w:r>
      <w:r>
        <w:t xml:space="preserve">Task-competitor retrieval should remain visible enough to show whether boundary-condition effects operate through competitor recruitment.</w:t>
      </w:r>
    </w:p>
    <w:p>
      <w:pPr>
        <w:pStyle w:val="BodyText"/>
      </w:pPr>
      <w:r>
        <w:t xml:space="preserve">Intended text take-away: This section connects the model to post-reminder interventions.</w:t>
      </w:r>
      <w:r>
        <w:t xml:space="preserve"> </w:t>
      </w:r>
      <w:r>
        <w:t xml:space="preserve">Delayed effects depend on graded reinstatement and drift, rather than an all-or-none storage-disruption window.</w:t>
      </w:r>
      <w:r>
        <w:t xml:space="preserve"> </w:t>
      </w:r>
      <w:r>
        <w:t xml:space="preserve">The reminder restores the contextual condition required for later task encoding to affect film-item retrieval.</w:t>
      </w:r>
    </w:p>
    <w:p>
      <w:pPr>
        <w:pStyle w:val="BodyText"/>
      </w:pPr>
      <w:r>
        <w:t xml:space="preserve">Open specification: Decide whether the main comparison is zero/weak reminder reinstatement versus strong reminder reinstatement, a reminder-strength sweep, a delay/drift sweep, or a compact factorial combination.</w:t>
      </w:r>
      <w:r>
        <w:t xml:space="preserve"> </w:t>
      </w:r>
      <w:r>
        <w:t xml:space="preserve">Decide whether immediate interference remains a baseline within this section or is treated as the contrast condition established in Simulation 1.</w:t>
      </w:r>
    </w:p>
    <w:bookmarkEnd w:id="65"/>
    <w:bookmarkStart w:id="66" w:name="X8f13dd31699f6be4bb876276554fb91bb4e3a48"/>
    <w:p>
      <w:pPr>
        <w:pStyle w:val="Heading2"/>
      </w:pPr>
      <w:r>
        <w:t xml:space="preserve">Simulation 5: Task Specificity and Affective Overlap</w:t>
      </w:r>
    </w:p>
    <w:p>
      <w:pPr>
        <w:pStyle w:val="FirstParagraph"/>
      </w:pPr>
      <w:r>
        <w:t xml:space="preserve">Premise: This simulation asks what makes a visuospatial task effective in model terms.</w:t>
      </w:r>
      <w:r>
        <w:t xml:space="preserve"> </w:t>
      </w:r>
      <w:r>
        <w:t xml:space="preserve">Competitor strength is one route by which task items become effective competitors.</w:t>
      </w:r>
      <w:r>
        <w:t xml:space="preserve"> </w:t>
      </w:r>
      <w:r>
        <w:t xml:space="preserve">Contextual and affective overlap can amplify that competition when task items are cued alongside film items.</w:t>
      </w:r>
      <w:r>
        <w:t xml:space="preserve"> </w:t>
      </w:r>
      <w:r>
        <w:t xml:space="preserve">This section should distinguish model-level task properties from the surface label of a task as visuospatial.</w:t>
      </w:r>
    </w:p>
    <w:p>
      <w:pPr>
        <w:pStyle w:val="BodyText"/>
      </w:pPr>
      <w:r>
        <w:t xml:space="preserve">Primary readouts: The figure should show film-item access and task-competitor retrieval under task-strength and affective-overlap variants.</w:t>
      </w:r>
      <w:r>
        <w:t xml:space="preserve"> </w:t>
      </w:r>
      <w:r>
        <w:t xml:space="preserve">If contextual overlap is also varied here, the display should make clear which factor changes competitor recruitment and which factor changes competitor success once cued.</w:t>
      </w:r>
      <w:r>
        <w:t xml:space="preserve"> </w:t>
      </w:r>
      <w:r>
        <w:t xml:space="preserve">Phase-resolved recall remains useful because the model’s explanation depends on task items entering retrieval alongside film items.</w:t>
      </w:r>
    </w:p>
    <w:p>
      <w:pPr>
        <w:pStyle w:val="BodyText"/>
      </w:pPr>
      <w:r>
        <w:t xml:space="preserve">Intended text take-away: The account does not require a special trace-weakening effect of visuospatial tasks.</w:t>
      </w:r>
      <w:r>
        <w:t xml:space="preserve"> </w:t>
      </w:r>
      <w:r>
        <w:t xml:space="preserve">Task effectiveness can be decomposed into retrieved-context properties: competitor strength, contextual overlap, affective overlap, or their combination.</w:t>
      </w:r>
      <w:r>
        <w:t xml:space="preserve"> </w:t>
      </w:r>
      <w:r>
        <w:t xml:space="preserve">Affective matching can be used as a sensitivity extension if it is run as a specific manipulation, but it should not become the main explanation unless the simulations make it central.</w:t>
      </w:r>
    </w:p>
    <w:p>
      <w:pPr>
        <w:pStyle w:val="BodyText"/>
      </w:pPr>
      <w:r>
        <w:t xml:space="preserve">Open specification: Decide whether affective overlap is a main simulation or a sensitivity analysis.</w:t>
      </w:r>
      <w:r>
        <w:t xml:space="preserve"> </w:t>
      </w:r>
      <w:r>
        <w:t xml:space="preserve">Decide whether comparison-task conditions are best represented as weak task learning, lower overlap, lower affective overlap, or a particular combination tied to an empirical contrast.</w:t>
      </w:r>
    </w:p>
    <w:bookmarkEnd w:id="66"/>
    <w:bookmarkStart w:id="67" w:name="X34b78819c3c9c63aaecccc23d6b34f0539f8200"/>
    <w:p>
      <w:pPr>
        <w:pStyle w:val="Heading2"/>
      </w:pPr>
      <w:r>
        <w:t xml:space="preserve">Simulation 6: Cue Support and Test-Format Extensions</w:t>
      </w:r>
    </w:p>
    <w:p>
      <w:pPr>
        <w:pStyle w:val="FirstParagraph"/>
      </w:pPr>
      <w:r>
        <w:t xml:space="preserve">Premise: Intrusion diaries, vigilance-style monitoring, free recall, cued recall, and recognition-like tests differ in how much they rely on broad context-to-feature search versus film-directed retrieval support.</w:t>
      </w:r>
      <w:r>
        <w:t xml:space="preserve"> </w:t>
      </w:r>
      <w:r>
        <w:t xml:space="preserve">This section asks how film-related monitoring cues and tests that supply a film item alter vulnerability to task interference.</w:t>
      </w:r>
      <w:r>
        <w:t xml:space="preserve"> </w:t>
      </w:r>
      <w:r>
        <w:t xml:space="preserve">The section should only become a simulation result if each test format is assigned a concrete retrieval or cueing setting.</w:t>
      </w:r>
      <w:r>
        <w:t xml:space="preserve"> </w:t>
      </w:r>
      <w:r>
        <w:t xml:space="preserve">Candidate settings include unguided retrieval from ongoing context, monitoring with film-related cues, deliberate recall with film-directed start cueing, cued recall with stronger external support, and supplied-film-item access.</w:t>
      </w:r>
    </w:p>
    <w:p>
      <w:pPr>
        <w:pStyle w:val="BodyText"/>
      </w:pPr>
      <w:r>
        <w:t xml:space="preserve">Primary readouts: The figure should show a graded vulnerability profile across retrieval and cueing settings under the same stored associations.</w:t>
      </w:r>
      <w:r>
        <w:t xml:space="preserve"> </w:t>
      </w:r>
      <w:r>
        <w:t xml:space="preserve">The useful result is a continuum of film-item impairment across broad unguided search, film-cued monitoring, deliberate recall, and supplied-film-item access.</w:t>
      </w:r>
      <w:r>
        <w:t xml:space="preserve"> </w:t>
      </w:r>
      <w:r>
        <w:t xml:space="preserve">The display should avoid implying a full recognition decision model unless such a mechanism is added.</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depending on how much the task supports film-directed retrieval or supplies film items as cues.</w:t>
      </w:r>
      <w:r>
        <w:t xml:space="preserve"> </w:t>
      </w:r>
      <w:r>
        <w:t xml:space="preserve">Cue-rich tests should narrow the intrusion-voluntary-memory dissociation because they reduce reliance on broad context-to-feature sampling.</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r>
        <w:t xml:space="preserve"> </w:t>
      </w:r>
      <w:r>
        <w:t xml:space="preserve">Decide whether supplied-film-item access is implemented strongly enough to justify splitting this section into a separate recognition-like simulation later.</w:t>
      </w:r>
    </w:p>
    <w:bookmarkEnd w:id="67"/>
    <w:bookmarkEnd w:id="68"/>
    <w:bookmarkStart w:id="69" w:name="general-discussion"/>
    <w:p>
      <w:pPr>
        <w:pStyle w:val="Heading1"/>
      </w:pPr>
      <w:r>
        <w:t xml:space="preserve">General Discussion</w:t>
      </w:r>
    </w:p>
    <w:bookmarkEnd w:id="69"/>
    <w:bookmarkStart w:id="140" w:name="references"/>
    <w:p>
      <w:pPr>
        <w:pStyle w:val="Heading1"/>
      </w:pPr>
      <w:r>
        <w:t xml:space="preserve">References</w:t>
      </w:r>
    </w:p>
    <w:bookmarkStart w:id="139" w:name="refs"/>
    <w:bookmarkStart w:id="71"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70">
        <w:r>
          <w:rPr>
            <w:rStyle w:val="Hyperlink"/>
          </w:rPr>
          <w:t xml:space="preserve">https://doi.org/10.1016/j.jpsychires.2023.01.028</w:t>
        </w:r>
      </w:hyperlink>
    </w:p>
    <w:bookmarkEnd w:id="71"/>
    <w:bookmarkStart w:id="73"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72">
        <w:r>
          <w:rPr>
            <w:rStyle w:val="Hyperlink"/>
          </w:rPr>
          <w:t xml:space="preserve">https://doi.org/10.1037/a0033722</w:t>
        </w:r>
      </w:hyperlink>
    </w:p>
    <w:bookmarkEnd w:id="73"/>
    <w:bookmarkStart w:id="75"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74">
        <w:r>
          <w:rPr>
            <w:rStyle w:val="Hyperlink"/>
          </w:rPr>
          <w:t xml:space="preserve">https://doi.org/10.1037/0033-295X.103.4.670</w:t>
        </w:r>
      </w:hyperlink>
    </w:p>
    <w:bookmarkEnd w:id="75"/>
    <w:bookmarkStart w:id="77"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76">
        <w:r>
          <w:rPr>
            <w:rStyle w:val="Hyperlink"/>
          </w:rPr>
          <w:t xml:space="preserve">https://doi.org/10.1037/a0018113</w:t>
        </w:r>
      </w:hyperlink>
    </w:p>
    <w:bookmarkEnd w:id="77"/>
    <w:bookmarkStart w:id="7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78">
        <w:r>
          <w:rPr>
            <w:rStyle w:val="Hyperlink"/>
          </w:rPr>
          <w:t xml:space="preserve">https://doi.org/10.1037/rev0000334</w:t>
        </w:r>
      </w:hyperlink>
    </w:p>
    <w:bookmarkEnd w:id="79"/>
    <w:bookmarkStart w:id="8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80">
        <w:r>
          <w:rPr>
            <w:rStyle w:val="Hyperlink"/>
          </w:rPr>
          <w:t xml:space="preserve">https://doi.org/10.1016/j.jbtep.2011.10.008</w:t>
        </w:r>
      </w:hyperlink>
    </w:p>
    <w:bookmarkEnd w:id="81"/>
    <w:bookmarkStart w:id="8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82"/>
    <w:bookmarkStart w:id="8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83">
        <w:r>
          <w:rPr>
            <w:rStyle w:val="Hyperlink"/>
          </w:rPr>
          <w:t xml:space="preserve">https://doi.org/10.1016/S0005-7967(99)00123-0</w:t>
        </w:r>
      </w:hyperlink>
    </w:p>
    <w:bookmarkEnd w:id="84"/>
    <w:bookmarkStart w:id="8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85">
        <w:r>
          <w:rPr>
            <w:rStyle w:val="Hyperlink"/>
          </w:rPr>
          <w:t xml:space="preserve">https://doi.org/10.1016/j.actpsy.2007.11.002</w:t>
        </w:r>
      </w:hyperlink>
    </w:p>
    <w:bookmarkEnd w:id="86"/>
    <w:bookmarkStart w:id="8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87">
        <w:r>
          <w:rPr>
            <w:rStyle w:val="Hyperlink"/>
          </w:rPr>
          <w:t xml:space="preserve">https://doi.org/10.1037/0096-3445.133.1.3</w:t>
        </w:r>
      </w:hyperlink>
    </w:p>
    <w:bookmarkEnd w:id="88"/>
    <w:bookmarkStart w:id="9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89">
        <w:r>
          <w:rPr>
            <w:rStyle w:val="Hyperlink"/>
          </w:rPr>
          <w:t xml:space="preserve">https://doi.org/10.1371/journal.pone.0004153</w:t>
        </w:r>
      </w:hyperlink>
    </w:p>
    <w:bookmarkEnd w:id="90"/>
    <w:bookmarkStart w:id="9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91">
        <w:r>
          <w:rPr>
            <w:rStyle w:val="Hyperlink"/>
          </w:rPr>
          <w:t xml:space="preserve">https://doi.org/10.1371/journal.pone.0013706</w:t>
        </w:r>
      </w:hyperlink>
    </w:p>
    <w:bookmarkEnd w:id="92"/>
    <w:bookmarkStart w:id="9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93">
        <w:r>
          <w:rPr>
            <w:rStyle w:val="Hyperlink"/>
          </w:rPr>
          <w:t xml:space="preserve">https://doi.org/10.1016/j.brat.2017.03.018</w:t>
        </w:r>
      </w:hyperlink>
    </w:p>
    <w:bookmarkEnd w:id="94"/>
    <w:bookmarkStart w:id="96"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95">
        <w:r>
          <w:rPr>
            <w:rStyle w:val="Hyperlink"/>
          </w:rPr>
          <w:t xml:space="preserve">https://doi.org/10.1006/jmps.2001.1388</w:t>
        </w:r>
      </w:hyperlink>
    </w:p>
    <w:bookmarkEnd w:id="96"/>
    <w:bookmarkStart w:id="97"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97"/>
    <w:bookmarkStart w:id="99"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98">
        <w:r>
          <w:rPr>
            <w:rStyle w:val="Hyperlink"/>
          </w:rPr>
          <w:t xml:space="preserve">https://doi.org/10.1038/mp.2017.23</w:t>
        </w:r>
      </w:hyperlink>
    </w:p>
    <w:bookmarkEnd w:id="99"/>
    <w:bookmarkStart w:id="101"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00">
        <w:r>
          <w:rPr>
            <w:rStyle w:val="Hyperlink"/>
          </w:rPr>
          <w:t xml:space="preserve">https://doi.org/10.1016/j.cpr.2018.08.005</w:t>
        </w:r>
      </w:hyperlink>
    </w:p>
    <w:bookmarkEnd w:id="101"/>
    <w:bookmarkStart w:id="103"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02">
        <w:r>
          <w:rPr>
            <w:rStyle w:val="Hyperlink"/>
          </w:rPr>
          <w:t xml:space="preserve">https://doi.org/10.1177/0956797615583071</w:t>
        </w:r>
      </w:hyperlink>
    </w:p>
    <w:bookmarkEnd w:id="103"/>
    <w:bookmarkStart w:id="105"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04">
        <w:r>
          <w:rPr>
            <w:rStyle w:val="Hyperlink"/>
          </w:rPr>
          <w:t xml:space="preserve">https://doi.org/10.1016/j.cpr.2016.04.010</w:t>
        </w:r>
      </w:hyperlink>
    </w:p>
    <w:bookmarkEnd w:id="105"/>
    <w:bookmarkStart w:id="106"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06"/>
    <w:bookmarkStart w:id="10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07">
        <w:r>
          <w:rPr>
            <w:rStyle w:val="Hyperlink"/>
          </w:rPr>
          <w:t xml:space="preserve">https://doi.org/10.1002/cpp.2489</w:t>
        </w:r>
      </w:hyperlink>
    </w:p>
    <w:bookmarkEnd w:id="108"/>
    <w:bookmarkStart w:id="110"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09">
        <w:r>
          <w:rPr>
            <w:rStyle w:val="Hyperlink"/>
          </w:rPr>
          <w:t xml:space="preserve">https://doi.org/10.1016/j.jbtep.2019.01.006</w:t>
        </w:r>
      </w:hyperlink>
    </w:p>
    <w:bookmarkEnd w:id="110"/>
    <w:bookmarkStart w:id="112"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11">
        <w:r>
          <w:rPr>
            <w:rStyle w:val="Hyperlink"/>
          </w:rPr>
          <w:t xml:space="preserve">https://doi.org/10.1038/nn.2271</w:t>
        </w:r>
      </w:hyperlink>
    </w:p>
    <w:bookmarkEnd w:id="112"/>
    <w:bookmarkStart w:id="114"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13">
        <w:r>
          <w:rPr>
            <w:rStyle w:val="Hyperlink"/>
          </w:rPr>
          <w:t xml:space="preserve">https://doi.org/10.1002/acp.1611</w:t>
        </w:r>
      </w:hyperlink>
    </w:p>
    <w:bookmarkEnd w:id="114"/>
    <w:bookmarkStart w:id="116"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15">
        <w:r>
          <w:rPr>
            <w:rStyle w:val="Hyperlink"/>
          </w:rPr>
          <w:t xml:space="preserve">https://doi.org/10.1037/xge0000598</w:t>
        </w:r>
      </w:hyperlink>
    </w:p>
    <w:bookmarkEnd w:id="116"/>
    <w:bookmarkStart w:id="118"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17">
        <w:r>
          <w:rPr>
            <w:rStyle w:val="Hyperlink"/>
          </w:rPr>
          <w:t xml:space="preserve">https://doi.org/10.1177/2167702621998315</w:t>
        </w:r>
      </w:hyperlink>
    </w:p>
    <w:bookmarkEnd w:id="118"/>
    <w:bookmarkStart w:id="120"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19">
        <w:r>
          <w:rPr>
            <w:rStyle w:val="Hyperlink"/>
          </w:rPr>
          <w:t xml:space="preserve">https://doi.org/10.1037/a0039036</w:t>
        </w:r>
      </w:hyperlink>
    </w:p>
    <w:bookmarkEnd w:id="120"/>
    <w:bookmarkStart w:id="122"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21">
        <w:r>
          <w:rPr>
            <w:rStyle w:val="Hyperlink"/>
          </w:rPr>
          <w:t xml:space="preserve">https://doi.org/10.1037/a0014420</w:t>
        </w:r>
      </w:hyperlink>
    </w:p>
    <w:bookmarkEnd w:id="122"/>
    <w:bookmarkStart w:id="124"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23">
        <w:r>
          <w:rPr>
            <w:rStyle w:val="Hyperlink"/>
          </w:rPr>
          <w:t xml:space="preserve">https://doi.org/10.1016/j.neuropsychologia.2009.02.013</w:t>
        </w:r>
      </w:hyperlink>
    </w:p>
    <w:bookmarkEnd w:id="124"/>
    <w:bookmarkStart w:id="126"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25">
        <w:r>
          <w:rPr>
            <w:rStyle w:val="Hyperlink"/>
          </w:rPr>
          <w:t xml:space="preserve">https://doi.org/10.3758/s13423-011-0086-9</w:t>
        </w:r>
      </w:hyperlink>
    </w:p>
    <w:bookmarkEnd w:id="126"/>
    <w:bookmarkStart w:id="128"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7">
        <w:r>
          <w:rPr>
            <w:rStyle w:val="Hyperlink"/>
          </w:rPr>
          <w:t xml:space="preserve">https://doi.org/10.1037/a0013396</w:t>
        </w:r>
      </w:hyperlink>
    </w:p>
    <w:bookmarkEnd w:id="128"/>
    <w:bookmarkStart w:id="130"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29">
        <w:r>
          <w:rPr>
            <w:rStyle w:val="Hyperlink"/>
          </w:rPr>
          <w:t xml:space="preserve">https://doi.org/10.1037/rev0000132</w:t>
        </w:r>
      </w:hyperlink>
    </w:p>
    <w:bookmarkEnd w:id="130"/>
    <w:bookmarkStart w:id="132"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31">
        <w:r>
          <w:rPr>
            <w:rStyle w:val="Hyperlink"/>
          </w:rPr>
          <w:t xml:space="preserve">https://doi.org/10.1038/s41562-024-01956-y</w:t>
        </w:r>
      </w:hyperlink>
    </w:p>
    <w:bookmarkEnd w:id="132"/>
    <w:bookmarkStart w:id="134"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33">
        <w:r>
          <w:rPr>
            <w:rStyle w:val="Hyperlink"/>
          </w:rPr>
          <w:t xml:space="preserve">https://doi.org/10.1525/collabra.130791</w:t>
        </w:r>
      </w:hyperlink>
    </w:p>
    <w:bookmarkEnd w:id="134"/>
    <w:bookmarkStart w:id="136"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35">
        <w:r>
          <w:rPr>
            <w:rStyle w:val="Hyperlink"/>
          </w:rPr>
          <w:t xml:space="preserve">https://doi.org/10.1038/s41583-019-0150-4</w:t>
        </w:r>
      </w:hyperlink>
    </w:p>
    <w:bookmarkEnd w:id="136"/>
    <w:bookmarkStart w:id="138"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37">
        <w:r>
          <w:rPr>
            <w:rStyle w:val="Hyperlink"/>
          </w:rPr>
          <w:t xml:space="preserve">https://doi.org/10.1037/0278-7393.32.4.792</w:t>
        </w:r>
      </w:hyperlink>
    </w:p>
    <w:bookmarkEnd w:id="138"/>
    <w:bookmarkEnd w:id="139"/>
    <w:bookmarkEnd w:id="14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hyperlink" Id="rId113" Target="https://doi.org/10.1002/acp.1611" TargetMode="External" /><Relationship Type="http://schemas.openxmlformats.org/officeDocument/2006/relationships/hyperlink" Id="rId107" Target="https://doi.org/10.1002/cpp.2489" TargetMode="External" /><Relationship Type="http://schemas.openxmlformats.org/officeDocument/2006/relationships/hyperlink" Id="rId95" Target="https://doi.org/10.1006/jmps.2001.1388" TargetMode="External" /><Relationship Type="http://schemas.openxmlformats.org/officeDocument/2006/relationships/hyperlink" Id="rId83" Target="https://doi.org/10.1016/S0005-7967(99)00123-0" TargetMode="External" /><Relationship Type="http://schemas.openxmlformats.org/officeDocument/2006/relationships/hyperlink" Id="rId85" Target="https://doi.org/10.1016/j.actpsy.2007.11.002" TargetMode="External" /><Relationship Type="http://schemas.openxmlformats.org/officeDocument/2006/relationships/hyperlink" Id="rId93" Target="https://doi.org/10.1016/j.brat.2017.03.018" TargetMode="External" /><Relationship Type="http://schemas.openxmlformats.org/officeDocument/2006/relationships/hyperlink" Id="rId104" Target="https://doi.org/10.1016/j.cpr.2016.04.010" TargetMode="External" /><Relationship Type="http://schemas.openxmlformats.org/officeDocument/2006/relationships/hyperlink" Id="rId100" Target="https://doi.org/10.1016/j.cpr.2018.08.005" TargetMode="External" /><Relationship Type="http://schemas.openxmlformats.org/officeDocument/2006/relationships/hyperlink" Id="rId80" Target="https://doi.org/10.1016/j.jbtep.2011.10.008" TargetMode="External" /><Relationship Type="http://schemas.openxmlformats.org/officeDocument/2006/relationships/hyperlink" Id="rId109" Target="https://doi.org/10.1016/j.jbtep.2019.01.006" TargetMode="External" /><Relationship Type="http://schemas.openxmlformats.org/officeDocument/2006/relationships/hyperlink" Id="rId70" Target="https://doi.org/10.1016/j.jpsychires.2023.01.028" TargetMode="External" /><Relationship Type="http://schemas.openxmlformats.org/officeDocument/2006/relationships/hyperlink" Id="rId123" Target="https://doi.org/10.1016/j.neuropsychologia.2009.02.013" TargetMode="External" /><Relationship Type="http://schemas.openxmlformats.org/officeDocument/2006/relationships/hyperlink" Id="rId74" Target="https://doi.org/10.1037/0033-295X.103.4.670" TargetMode="External" /><Relationship Type="http://schemas.openxmlformats.org/officeDocument/2006/relationships/hyperlink" Id="rId87" Target="https://doi.org/10.1037/0096-3445.133.1.3" TargetMode="External" /><Relationship Type="http://schemas.openxmlformats.org/officeDocument/2006/relationships/hyperlink" Id="rId137" Target="https://doi.org/10.1037/0278-7393.32.4.792" TargetMode="External" /><Relationship Type="http://schemas.openxmlformats.org/officeDocument/2006/relationships/hyperlink" Id="rId127" Target="https://doi.org/10.1037/a0013396" TargetMode="External" /><Relationship Type="http://schemas.openxmlformats.org/officeDocument/2006/relationships/hyperlink" Id="rId121" Target="https://doi.org/10.1037/a0014420" TargetMode="External" /><Relationship Type="http://schemas.openxmlformats.org/officeDocument/2006/relationships/hyperlink" Id="rId76" Target="https://doi.org/10.1037/a0018113" TargetMode="External" /><Relationship Type="http://schemas.openxmlformats.org/officeDocument/2006/relationships/hyperlink" Id="rId72" Target="https://doi.org/10.1037/a0033722" TargetMode="External" /><Relationship Type="http://schemas.openxmlformats.org/officeDocument/2006/relationships/hyperlink" Id="rId119" Target="https://doi.org/10.1037/a0039036" TargetMode="External" /><Relationship Type="http://schemas.openxmlformats.org/officeDocument/2006/relationships/hyperlink" Id="rId129" Target="https://doi.org/10.1037/rev0000132" TargetMode="External" /><Relationship Type="http://schemas.openxmlformats.org/officeDocument/2006/relationships/hyperlink" Id="rId78" Target="https://doi.org/10.1037/rev0000334" TargetMode="External" /><Relationship Type="http://schemas.openxmlformats.org/officeDocument/2006/relationships/hyperlink" Id="rId115" Target="https://doi.org/10.1037/xge0000598" TargetMode="External" /><Relationship Type="http://schemas.openxmlformats.org/officeDocument/2006/relationships/hyperlink" Id="rId98" Target="https://doi.org/10.1038/mp.2017.23" TargetMode="External" /><Relationship Type="http://schemas.openxmlformats.org/officeDocument/2006/relationships/hyperlink" Id="rId111" Target="https://doi.org/10.1038/nn.2271" TargetMode="External" /><Relationship Type="http://schemas.openxmlformats.org/officeDocument/2006/relationships/hyperlink" Id="rId131" Target="https://doi.org/10.1038/s41562-024-01956-y" TargetMode="External" /><Relationship Type="http://schemas.openxmlformats.org/officeDocument/2006/relationships/hyperlink" Id="rId135" Target="https://doi.org/10.1038/s41583-019-0150-4" TargetMode="External" /><Relationship Type="http://schemas.openxmlformats.org/officeDocument/2006/relationships/hyperlink" Id="rId102" Target="https://doi.org/10.1177/0956797615583071" TargetMode="External" /><Relationship Type="http://schemas.openxmlformats.org/officeDocument/2006/relationships/hyperlink" Id="rId117" Target="https://doi.org/10.1177/2167702621998315" TargetMode="External" /><Relationship Type="http://schemas.openxmlformats.org/officeDocument/2006/relationships/hyperlink" Id="rId89" Target="https://doi.org/10.1371/journal.pone.0004153" TargetMode="External" /><Relationship Type="http://schemas.openxmlformats.org/officeDocument/2006/relationships/hyperlink" Id="rId91" Target="https://doi.org/10.1371/journal.pone.0013706" TargetMode="External" /><Relationship Type="http://schemas.openxmlformats.org/officeDocument/2006/relationships/hyperlink" Id="rId133" Target="https://doi.org/10.1525/collabra.130791" TargetMode="External" /><Relationship Type="http://schemas.openxmlformats.org/officeDocument/2006/relationships/hyperlink" Id="rId125"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acp.1611" TargetMode="External" /><Relationship Type="http://schemas.openxmlformats.org/officeDocument/2006/relationships/hyperlink" Id="rId107" Target="https://doi.org/10.1002/cpp.2489" TargetMode="External" /><Relationship Type="http://schemas.openxmlformats.org/officeDocument/2006/relationships/hyperlink" Id="rId95" Target="https://doi.org/10.1006/jmps.2001.1388" TargetMode="External" /><Relationship Type="http://schemas.openxmlformats.org/officeDocument/2006/relationships/hyperlink" Id="rId83" Target="https://doi.org/10.1016/S0005-7967(99)00123-0" TargetMode="External" /><Relationship Type="http://schemas.openxmlformats.org/officeDocument/2006/relationships/hyperlink" Id="rId85" Target="https://doi.org/10.1016/j.actpsy.2007.11.002" TargetMode="External" /><Relationship Type="http://schemas.openxmlformats.org/officeDocument/2006/relationships/hyperlink" Id="rId93" Target="https://doi.org/10.1016/j.brat.2017.03.018" TargetMode="External" /><Relationship Type="http://schemas.openxmlformats.org/officeDocument/2006/relationships/hyperlink" Id="rId104" Target="https://doi.org/10.1016/j.cpr.2016.04.010" TargetMode="External" /><Relationship Type="http://schemas.openxmlformats.org/officeDocument/2006/relationships/hyperlink" Id="rId100" Target="https://doi.org/10.1016/j.cpr.2018.08.005" TargetMode="External" /><Relationship Type="http://schemas.openxmlformats.org/officeDocument/2006/relationships/hyperlink" Id="rId80" Target="https://doi.org/10.1016/j.jbtep.2011.10.008" TargetMode="External" /><Relationship Type="http://schemas.openxmlformats.org/officeDocument/2006/relationships/hyperlink" Id="rId109" Target="https://doi.org/10.1016/j.jbtep.2019.01.006" TargetMode="External" /><Relationship Type="http://schemas.openxmlformats.org/officeDocument/2006/relationships/hyperlink" Id="rId70" Target="https://doi.org/10.1016/j.jpsychires.2023.01.028" TargetMode="External" /><Relationship Type="http://schemas.openxmlformats.org/officeDocument/2006/relationships/hyperlink" Id="rId123" Target="https://doi.org/10.1016/j.neuropsychologia.2009.02.013" TargetMode="External" /><Relationship Type="http://schemas.openxmlformats.org/officeDocument/2006/relationships/hyperlink" Id="rId74" Target="https://doi.org/10.1037/0033-295X.103.4.670" TargetMode="External" /><Relationship Type="http://schemas.openxmlformats.org/officeDocument/2006/relationships/hyperlink" Id="rId87" Target="https://doi.org/10.1037/0096-3445.133.1.3" TargetMode="External" /><Relationship Type="http://schemas.openxmlformats.org/officeDocument/2006/relationships/hyperlink" Id="rId137" Target="https://doi.org/10.1037/0278-7393.32.4.792" TargetMode="External" /><Relationship Type="http://schemas.openxmlformats.org/officeDocument/2006/relationships/hyperlink" Id="rId127" Target="https://doi.org/10.1037/a0013396" TargetMode="External" /><Relationship Type="http://schemas.openxmlformats.org/officeDocument/2006/relationships/hyperlink" Id="rId121" Target="https://doi.org/10.1037/a0014420" TargetMode="External" /><Relationship Type="http://schemas.openxmlformats.org/officeDocument/2006/relationships/hyperlink" Id="rId76" Target="https://doi.org/10.1037/a0018113" TargetMode="External" /><Relationship Type="http://schemas.openxmlformats.org/officeDocument/2006/relationships/hyperlink" Id="rId72" Target="https://doi.org/10.1037/a0033722" TargetMode="External" /><Relationship Type="http://schemas.openxmlformats.org/officeDocument/2006/relationships/hyperlink" Id="rId119" Target="https://doi.org/10.1037/a0039036" TargetMode="External" /><Relationship Type="http://schemas.openxmlformats.org/officeDocument/2006/relationships/hyperlink" Id="rId129" Target="https://doi.org/10.1037/rev0000132" TargetMode="External" /><Relationship Type="http://schemas.openxmlformats.org/officeDocument/2006/relationships/hyperlink" Id="rId78" Target="https://doi.org/10.1037/rev0000334" TargetMode="External" /><Relationship Type="http://schemas.openxmlformats.org/officeDocument/2006/relationships/hyperlink" Id="rId115" Target="https://doi.org/10.1037/xge0000598" TargetMode="External" /><Relationship Type="http://schemas.openxmlformats.org/officeDocument/2006/relationships/hyperlink" Id="rId98" Target="https://doi.org/10.1038/mp.2017.23" TargetMode="External" /><Relationship Type="http://schemas.openxmlformats.org/officeDocument/2006/relationships/hyperlink" Id="rId111" Target="https://doi.org/10.1038/nn.2271" TargetMode="External" /><Relationship Type="http://schemas.openxmlformats.org/officeDocument/2006/relationships/hyperlink" Id="rId131" Target="https://doi.org/10.1038/s41562-024-01956-y" TargetMode="External" /><Relationship Type="http://schemas.openxmlformats.org/officeDocument/2006/relationships/hyperlink" Id="rId135" Target="https://doi.org/10.1038/s41583-019-0150-4" TargetMode="External" /><Relationship Type="http://schemas.openxmlformats.org/officeDocument/2006/relationships/hyperlink" Id="rId102" Target="https://doi.org/10.1177/0956797615583071" TargetMode="External" /><Relationship Type="http://schemas.openxmlformats.org/officeDocument/2006/relationships/hyperlink" Id="rId117" Target="https://doi.org/10.1177/2167702621998315" TargetMode="External" /><Relationship Type="http://schemas.openxmlformats.org/officeDocument/2006/relationships/hyperlink" Id="rId89" Target="https://doi.org/10.1371/journal.pone.0004153" TargetMode="External" /><Relationship Type="http://schemas.openxmlformats.org/officeDocument/2006/relationships/hyperlink" Id="rId91" Target="https://doi.org/10.1371/journal.pone.0013706" TargetMode="External" /><Relationship Type="http://schemas.openxmlformats.org/officeDocument/2006/relationships/hyperlink" Id="rId133" Target="https://doi.org/10.1525/collabra.130791" TargetMode="External" /><Relationship Type="http://schemas.openxmlformats.org/officeDocument/2006/relationships/hyperlink" Id="rId125"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2026-05-23T07:20:45Z</dcterms:created>
  <dcterms:modified xsi:type="dcterms:W3CDTF">2026-05-23T07:20:45Z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