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80.png" ContentType="image/png"/>
  <Override PartName="/word/media/rId76.png" ContentType="image/png"/>
  <Override PartName="/word/media/rId71.png" ContentType="image/png"/>
  <Override PartName="/word/media/rId85.png" ContentType="image/png"/>
  <Override PartName="/word/media/rId93.png" ContentType="image/png"/>
  <Override PartName="/word/media/rId89.png" ContentType="image/png"/>
  <Override PartName="/word/media/rId97.png" ContentType="image/png"/>
  <Override PartName="/word/media/rId101.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the cues and control available during retrieval.</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by contrast,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can be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add a later reminder before the interference task.</w:t>
      </w:r>
      <w:r>
        <w:t xml:space="preserve"> </w:t>
      </w:r>
      <w:r>
        <w:t xml:space="preserve">Participants return after roughly 24 hours to 3 days, view reminder cues for the film, and then complete Tetris.</w:t>
      </w:r>
      <w:r>
        <w:t xml:space="preserve"> </w:t>
      </w:r>
      <w:r>
        <w:t xml:space="preserve">These reminder-plus-Tetris procedures can also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schematizes this target as an interaction among reminder timing, task condition, and retrieval condition.</w:t>
      </w:r>
    </w:p>
    <w:p>
      <w:pPr>
        <w:pStyle w:val="BodyText"/>
      </w:pPr>
      <w:r>
        <w:t xml:space="preserve">One prominent interpretation is that the intervention acts more strongly on the form of memory that gives rise to intrusions than on the memory accessed by voluntary tests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this competition should reduce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the shared logic is selective vulnerability.</w:t>
      </w:r>
      <w:r>
        <w:t xml:space="preserve"> </w:t>
      </w:r>
      <w:r>
        <w:t xml:space="preserve">The intervention is assumed to affect sensory/perceptual processes linked to intrusions more than the contextualized processes used in voluntary tests.</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film-related context, task and film material can therefore compete, interfering with film recall.</w:t>
      </w:r>
      <w:r>
        <w:t xml:space="preserve"> </w:t>
      </w:r>
      <w:r>
        <w:t xml:space="preserve">The task should interfere less when retrieval has a more selective basis for identifying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film-related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framework</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p>
    <w:p>
      <w:pPr>
        <w:pStyle w:val="BodyText"/>
      </w:pPr>
      <w:r>
        <w:t xml:space="preserve">We then use simulations to explore what the formalized account predicts about when and how the dissociation should appear.</w:t>
      </w:r>
      <w:r>
        <w:t xml:space="preserve"> </w:t>
      </w:r>
      <w:r>
        <w:t xml:space="preserve">The simulations show how reminder-linked task encoding can make task material compete with film recall, how deliberate recall can be less affected when retrieval control gives film material a more selective basis for recall, and how recognition-like paradigms can remain relatively unaffected when a presented item retrieves associated context rather than context selecting among film and task items.</w:t>
      </w:r>
      <w:r>
        <w:t xml:space="preserve"> </w:t>
      </w:r>
      <w:r>
        <w:t xml:space="preserve">The result is a mechanistic alternative to selective-vulnerability accounts of the selective-interference effect, clarifying boundary conditions for the dissociation and motivating better-matched tests of intrusive and voluntary remembering.</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5379de560319a294ac03d32e0acd8d596f2df3d"/>
    <w:p>
      <w:pPr>
        <w:pStyle w:val="Heading2"/>
      </w:pPr>
      <w:r>
        <w:t xml:space="preserve">Retrieval Conditions Shape the Selective-Interference Contrast</w:t>
      </w:r>
    </w:p>
    <w:p>
      <w:pPr>
        <w:pStyle w:val="FirstParagraph"/>
      </w:pPr>
      <w:hyperlink w:anchor="fig-empirical-target">
        <w:r>
          <w:rPr>
            <w:rStyle w:val="Hyperlink"/>
          </w:rPr>
          <w:t xml:space="preserve">Figure 1</w:t>
        </w:r>
      </w:hyperlink>
      <w:r>
        <w:t xml:space="preserve"> </w:t>
      </w:r>
      <w:r>
        <w:t xml:space="preserve">distills the selective interference effect: reduced intrusion-like access with relatively preserved voluntary access to the same film material.</w:t>
      </w:r>
      <w:r>
        <w:t xml:space="preserve"> </w:t>
      </w:r>
      <w:r>
        <w:t xml:space="preserve">This dissociation is often treated as a difference between involuntary and voluntary remembering, but the evidence is also structured by how each task makes film material available.</w:t>
      </w:r>
      <w:r>
        <w:t xml:space="preserve"> </w:t>
      </w:r>
      <w:r>
        <w:t xml:space="preserve">Trauma-film studies commonly measure later intrusions with diaries or laboratory intrusion tasks, and measure voluntary memory with recognition, recall, or probing measures</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In diary measures, participants report film memories that arise during daily life.</w:t>
      </w:r>
      <w:r>
        <w:t xml:space="preserve"> </w:t>
      </w:r>
      <w:r>
        <w:t xml:space="preserve">In laboratory intrusion tasks, film cues or monitoring instructions can make the film more available during the task</w:t>
      </w:r>
      <w:r>
        <w:t xml:space="preserve"> </w:t>
      </w:r>
      <w:r>
        <w:t xml:space="preserve">(</w:t>
      </w:r>
      <w:hyperlink w:anchor="ref-james2015computer">
        <w:r>
          <w:rPr>
            <w:rStyle w:val="Hyperlink"/>
          </w:rPr>
          <w:t xml:space="preserve">James et al., 2015</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Voluntary-memory tests vary along the same dimension.</w:t>
      </w:r>
      <w:r>
        <w:t xml:space="preserve"> </w:t>
      </w:r>
      <w:r>
        <w:t xml:space="preserve">Some present candidate film statements or still images for judgment.</w:t>
      </w:r>
      <w:r>
        <w:t xml:space="preserve"> </w:t>
      </w:r>
      <w:r>
        <w:t xml:space="preserve">Others provide prompts or open instructions that require participants to produce or elaborate film details.</w:t>
      </w:r>
      <w:r>
        <w:t xml:space="preserve"> </w:t>
      </w:r>
      <w:r>
        <w:t xml:space="preserve">Preserved voluntary-memory performance can therefore reflect the retrieval conditions built into the test, especially whether film material must be brought to mind or is already presented for judgment.</w:t>
      </w:r>
    </w:p>
    <w:p>
      <w:pPr>
        <w:pStyle w:val="BodyText"/>
      </w:pPr>
      <w:r>
        <w:t xml:space="preserve">Much of the selective-interference evidence has a diary-or-laboratory-intrusion plus recognition structure.</w:t>
      </w:r>
      <w:r>
        <w:t xml:space="preserve"> </w:t>
      </w:r>
      <w:r>
        <w:t xml:space="preserve">In immediate post-film studies, Tetris reduced intrusions reported during the intervention period and in the following week, while later verbal recognition did not differ reliably from control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w:t>
      </w:r>
      <w:r>
        <w:t xml:space="preserve"> </w:t>
      </w:r>
      <w:r>
        <w:t xml:space="preserve">Delayed-reminder studies found a similar pattern: diary or laboratory intrusion measures were reduced, while verbal or visual recognition remained relatively intact</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continued this pattern</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Related post-film visuospatial-task work also reported fewer intrusive memories with little measurable impairment on later voluntary memory</w:t>
      </w:r>
      <w:r>
        <w:t xml:space="preserve"> </w:t>
      </w:r>
      <w:r>
        <w:t xml:space="preserve">(</w:t>
      </w:r>
      <w:hyperlink w:anchor="ref-deeprose2012imagery">
        <w:r>
          <w:rPr>
            <w:rStyle w:val="Hyperlink"/>
          </w:rPr>
          <w:t xml:space="preserve">Deeprose et al., 2012</w:t>
        </w:r>
      </w:hyperlink>
      <w:r>
        <w:t xml:space="preserve">)</w:t>
      </w:r>
      <w:r>
        <w:t xml:space="preserve">.</w:t>
      </w:r>
      <w:r>
        <w:t xml:space="preserve"> </w:t>
      </w:r>
      <w:r>
        <w:t xml:space="preserve">These studies support the selective-interference pattern, while narrowing the strongest inference about preserved voluntary memory.</w:t>
      </w:r>
      <w:r>
        <w:t xml:space="preserve"> </w:t>
      </w:r>
      <w:r>
        <w:t xml:space="preserve">In many key studies, the preserved measure was recognition.</w:t>
      </w:r>
      <w:r>
        <w:t xml:space="preserve"> </w:t>
      </w:r>
      <w:r>
        <w:t xml:space="preserve">The broader evidence remains heterogeneous, and at least one reminder-plus-Tetris study found reduced verbal recognition rather than spared recognition</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Recognition is a voluntary memory test, but it begins from a distinctive retrieval condition.</w:t>
      </w:r>
      <w:r>
        <w:t xml:space="preserve"> </w:t>
      </w:r>
      <w:r>
        <w:t xml:space="preserve">The participant intentionally judges memory for the film, yet the candidate film statement or image is already present.</w:t>
      </w:r>
      <w:r>
        <w:t xml:space="preserve"> </w:t>
      </w:r>
      <w:r>
        <w:t xml:space="preserve">Diary reports and laboratory intrusion tasks instead count film memories when they come to mind and are reported.</w:t>
      </w:r>
      <w:r>
        <w:t xml:space="preserve"> </w:t>
      </w:r>
      <w:r>
        <w:t xml:space="preserve">Free recall and probing also differ from recognition because they require participants to produce or elaborate film material from less complete item information.</w:t>
      </w:r>
      <w:r>
        <w:t xml:space="preserve"> </w:t>
      </w:r>
      <w:r>
        <w:t xml:space="preserve">Preserved recognition therefore licenses a narrower interpretation than preserved voluntary memory in general.</w:t>
      </w:r>
      <w:r>
        <w:t xml:space="preserve"> </w:t>
      </w:r>
      <w:r>
        <w:t xml:space="preserve">It shows that a voluntary test with candidate film material already available can be spared.</w:t>
      </w:r>
    </w:p>
    <w:p>
      <w:pPr>
        <w:pStyle w:val="BodyText"/>
      </w:pPr>
      <w:r>
        <w:t xml:space="preserve">Evidence beyond recognition is therefore important.</w:t>
      </w:r>
      <w:r>
        <w:t xml:space="preserve"> </w:t>
      </w:r>
      <w:r>
        <w:t xml:space="preserve">Lau-Zhu et al. (</w:t>
      </w:r>
      <w:hyperlink w:anchor="ref-lau2019intrusive">
        <w:r>
          <w:rPr>
            <w:rStyle w:val="Hyperlink"/>
          </w:rPr>
          <w:t xml:space="preserve">2019</w:t>
        </w:r>
      </w:hyperlink>
      <w:r>
        <w:t xml:space="preserve">)</w:t>
      </w:r>
      <w:r>
        <w:t xml:space="preserve"> </w:t>
      </w:r>
      <w:r>
        <w:t xml:space="preserve">found reduced diary intrusions with relatively preserved free recall, specific probing, and visual recognition in one experiment.</w:t>
      </w:r>
      <w:r>
        <w:t xml:space="preserve"> </w:t>
      </w:r>
      <w:r>
        <w:t xml:space="preserve">In another experiment, the intervention reduced both diary intrusions and vigilance-intrusion reports while recognition remained relatively intact.</w:t>
      </w:r>
      <w:r>
        <w:t xml:space="preserve"> </w:t>
      </w:r>
      <w:r>
        <w:t xml:space="preserve">These findings extend the selective-interference pattern beyond recognition alone.</w:t>
      </w:r>
      <w:r>
        <w:t xml:space="preserve"> </w:t>
      </w:r>
      <w:r>
        <w:t xml:space="preserve">They also keep the retrieval-condition problem in view.</w:t>
      </w:r>
      <w:r>
        <w:t xml:space="preserve"> </w:t>
      </w:r>
      <w:r>
        <w:t xml:space="preserve">Free recall, specific probing, recognition, diaries, and vigilance-intrusion tasks all concern the same film, but they differ in cueing, item availability, generation demands, and monitoring.</w:t>
      </w:r>
    </w:p>
    <w:p>
      <w:pPr>
        <w:pStyle w:val="BodyText"/>
      </w:pPr>
      <w:r>
        <w:t xml:space="preserve">The intrusion-like measures also differ from one another.</w:t>
      </w:r>
      <w:r>
        <w:t xml:space="preserve"> </w:t>
      </w:r>
      <w:r>
        <w:t xml:space="preserve">Diaries sample memories that arise during everyday activity, where cues and ongoing goals are only partly controlled</w:t>
      </w:r>
      <w:r>
        <w:t xml:space="preserve"> </w:t>
      </w:r>
      <w:r>
        <w:t xml:space="preserve">(</w:t>
      </w:r>
      <w:hyperlink w:anchor="ref-singh2023daily">
        <w:r>
          <w:rPr>
            <w:rStyle w:val="Hyperlink"/>
          </w:rPr>
          <w:t xml:space="preserve">Singh et al., 2023</w:t>
        </w:r>
      </w:hyperlink>
      <w:r>
        <w:t xml:space="preserve">)</w:t>
      </w:r>
      <w:r>
        <w:t xml:space="preserve">.</w:t>
      </w:r>
      <w:r>
        <w:t xml:space="preserve"> </w:t>
      </w:r>
      <w:r>
        <w:t xml:space="preserve">Laboratory intrusion-provocation tasks and vigilance-intrusion tasks add more structure.</w:t>
      </w:r>
      <w:r>
        <w:t xml:space="preserve"> </w:t>
      </w:r>
      <w:r>
        <w:t xml:space="preserve">In</w:t>
      </w:r>
      <w:r>
        <w:t xml:space="preserve"> </w:t>
      </w:r>
      <w:r>
        <w:t xml:space="preserve">James et al. (</w:t>
      </w:r>
      <w:hyperlink w:anchor="ref-james2015computer">
        <w:r>
          <w:rPr>
            <w:rStyle w:val="Hyperlink"/>
          </w:rPr>
          <w:t xml:space="preserve">2015</w:t>
        </w:r>
      </w:hyperlink>
      <w:r>
        <w:t xml:space="preserve">)</w:t>
      </w:r>
      <w:r>
        <w:t xml:space="preserve">, film images preceded a brief period for reporting intrusions.</w:t>
      </w:r>
      <w:r>
        <w:t xml:space="preserve"> </w:t>
      </w:r>
      <w:r>
        <w:t xml:space="preserve">In</w:t>
      </w:r>
      <w:r>
        <w:t xml:space="preserve"> </w:t>
      </w:r>
      <w:r>
        <w:t xml:space="preserve">Lau-Zhu et al. (</w:t>
      </w:r>
      <w:hyperlink w:anchor="ref-lau2019intrusive">
        <w:r>
          <w:rPr>
            <w:rStyle w:val="Hyperlink"/>
          </w:rPr>
          <w:t xml:space="preserve">2019</w:t>
        </w:r>
      </w:hyperlink>
      <w:r>
        <w:t xml:space="preserve">)</w:t>
      </w:r>
      <w:r>
        <w:t xml:space="preserve"> </w:t>
      </w:r>
      <w:r>
        <w:t xml:space="preserve">and</w:t>
      </w:r>
      <w:r>
        <w:t xml:space="preserve"> </w:t>
      </w:r>
      <w:r>
        <w:t xml:space="preserve">Lau-Zhu et al. (</w:t>
      </w:r>
      <w:hyperlink w:anchor="ref-lau2021selectively">
        <w:r>
          <w:rPr>
            <w:rStyle w:val="Hyperlink"/>
          </w:rPr>
          <w:t xml:space="preserve">2021</w:t>
        </w:r>
      </w:hyperlink>
      <w:r>
        <w:t xml:space="preserve">)</w:t>
      </w:r>
      <w:r>
        <w:t xml:space="preserve">, participants performed an attention task while background scenes or film cues appeared and reported film intrusions when they occurred.</w:t>
      </w:r>
      <w:r>
        <w:t xml:space="preserve"> </w:t>
      </w:r>
      <w:r>
        <w:t xml:space="preserve">Lau-Zhu et al. (</w:t>
      </w:r>
      <w:hyperlink w:anchor="ref-lau2021selectively">
        <w:r>
          <w:rPr>
            <w:rStyle w:val="Hyperlink"/>
          </w:rPr>
          <w:t xml:space="preserve">2021</w:t>
        </w:r>
      </w:hyperlink>
      <w:r>
        <w:t xml:space="preserve">)</w:t>
      </w:r>
      <w:r>
        <w:t xml:space="preserve"> </w:t>
      </w:r>
      <w:r>
        <w:t xml:space="preserve">made the comparison especially explicit by varying trauma-film and foil cues across intrusion and recognition measures.</w:t>
      </w:r>
      <w:r>
        <w:t xml:space="preserve"> </w:t>
      </w:r>
      <w:r>
        <w:t xml:space="preserve">That design improved comparability across measures, while also showing that cueing and monitoring are part of the retrieval situation being compared.</w:t>
      </w:r>
    </w:p>
    <w:p>
      <w:pPr>
        <w:pStyle w:val="BodyText"/>
      </w:pPr>
      <w:hyperlink w:anchor="fig-empirical-examples">
        <w:r>
          <w:rPr>
            <w:rStyle w:val="Hyperlink"/>
          </w:rPr>
          <w:t xml:space="preserve">Figure 2</w:t>
        </w:r>
      </w:hyperlink>
      <w:r>
        <w:t xml:space="preserve"> </w:t>
      </w:r>
      <w:r>
        <w:t xml:space="preserve">presents three examples rather than an exhaustive evidence table: delayed-reminder diary-plus-recognition designs, a delayed-reminder diary-plus-free-recall design, and a trauma-film-cued vigilance-intrusion-plus-recognition design.</w:t>
      </w:r>
      <w:r>
        <w:t xml:space="preserve"> </w:t>
      </w:r>
      <w:r>
        <w:t xml:space="preserve">Across these examples, the comparison changes more than retrieval intention.</w:t>
      </w:r>
      <w:r>
        <w:t xml:space="preserve"> </w:t>
      </w:r>
      <w:r>
        <w:t xml:space="preserve">It changes cueing, item availability, generation demands, and monitoring.</w:t>
      </w:r>
      <w:r>
        <w:t xml:space="preserve"> </w:t>
      </w:r>
      <w:r>
        <w:t xml:space="preserve">These retrieval conditions belong in the phenomenon to be modeled.</w:t>
      </w:r>
      <w:r>
        <w:t xml:space="preserve"> </w:t>
      </w:r>
      <w:r>
        <w:t xml:space="preserve">They help determine when reminder-linked task material should compete with film retrieval, and when a voluntary-memory test should make film memory appear relatively preserved.</w:t>
      </w:r>
    </w:p>
    <w:bookmarkStart w:id="31" w:name="fig-empirical-examples"/>
    <w:p>
      <w:pPr>
        <w:pStyle w:val="FigureTitle"/>
      </w:pPr>
      <w:r>
        <w:t xml:space="preserve">Figure 2</w:t>
      </w:r>
    </w:p>
    <w:p>
      <w:pPr>
        <w:pStyle w:val="Caption"/>
      </w:pPr>
      <w:r>
        <w:rPr>
          <w:b/>
          <w:bCs/>
        </w:rPr>
        <w:t xml:space="preserve">Empirical examples of selective interference across trauma-film paradigms.</w:t>
      </w:r>
      <w:r>
        <w:t xml:space="preserve"> </w:t>
      </w:r>
      <w:r>
        <w:t xml:space="preserve">Rows show three exemplar studies: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bookmarkEnd w:id="32"/>
    <w:bookmarkEnd w:id="33"/>
    <w:bookmarkStart w:id="42"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First, current context cues candidate items, so film and task items can compete when they have been encoded in similar context states.</w:t>
      </w:r>
      <w:r>
        <w:t xml:space="preserve"> </w:t>
      </w:r>
      <w:r>
        <w:t xml:space="preserve">Second, items retrieved from memory, presented as reminders, or presented during a test can reinstate associated context, allowing reminders and test cues to change the context that guides later retrieval.</w:t>
      </w:r>
      <w:r>
        <w:t xml:space="preserve"> </w:t>
      </w:r>
      <w:r>
        <w:t xml:space="preserve">These two item-context mechanisms are standard components of retrieved-context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Third, controlled retrieval can alter this same retrieval process.</w:t>
      </w:r>
      <w:r>
        <w:t xml:space="preserve"> </w:t>
      </w:r>
      <w:r>
        <w:t xml:space="preserve">In the present simulations, this control component changes three settings: the context state from which search begins, whether a maintained film-retrieval goal supports film material during sampling, and how much off-target samples update later context.</w:t>
      </w:r>
      <w:r>
        <w:t xml:space="preserve"> </w:t>
      </w:r>
      <w:r>
        <w:t xml:space="preserve">These settings correspond to start-of-film context reinstatement, a maintained film-retrieval goal, and retrieval monitoring.</w:t>
      </w:r>
      <w:r>
        <w:t xml:space="preserve"> </w:t>
      </w:r>
      <w:hyperlink w:anchor="X510f1211e07a3ef8f4aa5eaadde4214adc1a9dc">
        <w:r>
          <w:rPr>
            <w:rStyle w:val="Hyperlink"/>
          </w:rPr>
          <w:t xml:space="preserve">Figure 3</w:t>
        </w:r>
      </w:hyperlink>
      <w:r>
        <w:t xml:space="preserve"> </w:t>
      </w:r>
      <w:r>
        <w:t xml:space="preserve">summarizes the encoding and associative structure used to explain the trauma-film paradigm.</w:t>
      </w:r>
      <w:r>
        <w:t xml:space="preserve"> </w:t>
      </w:r>
      <w:hyperlink w:anchor="X199e0fd137172f53af28b87c55ae7adfa6c74ee">
        <w:r>
          <w:rPr>
            <w:rStyle w:val="Hyperlink"/>
          </w:rPr>
          <w:t xml:space="preserve">Figure 4</w:t>
        </w:r>
      </w:hyperlink>
      <w:r>
        <w:t xml:space="preserve"> </w:t>
      </w:r>
      <w:r>
        <w:t xml:space="preserve">then shows how those associations shape retrieval onset and later context updating.</w:t>
      </w:r>
      <w:r>
        <w:t xml:space="preserve"> </w:t>
      </w:r>
      <w:r>
        <w:t xml:space="preserve">Film reminders are film cues presented before task encoding, so they can change the context in which task items are learned.</w:t>
      </w:r>
      <w:r>
        <w:t xml:space="preserve"> </w:t>
      </w:r>
      <w:r>
        <w:t xml:space="preserve">Some laboratory intrusion measures, especially vigilance-intrusion tasks, present film-related cues during an attention task to elicit intrusions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recall simulations approximate that retrieval setting by including weak test-phase film cues held constant across the main recall conditions.</w:t>
      </w:r>
      <w:r>
        <w:t xml:space="preserve"> </w:t>
      </w:r>
      <w:r>
        <w:t xml:space="preserve">Recognition tests present a candidate film item for judgment.</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 context-to-feature associations cue candidate items from the current context, and feature-to-context associations reinstate context when an item is recalled or when a film reminder or test cue is presented.</w:t>
      </w:r>
      <w:r>
        <w:t xml:space="preserve"> </w:t>
      </w:r>
      <w:r>
        <w:t xml:space="preserve">This associative structure determines which items can compete during later retrieval.</w:t>
      </w:r>
      <w:r>
        <w:t xml:space="preserve"> </w:t>
      </w:r>
      <w:r>
        <w:rPr>
          <w:b/>
          <w:bCs/>
        </w:rPr>
        <w:t xml:space="preserve">(B)</w:t>
      </w:r>
      <w:r>
        <w:t xml:space="preserve"> </w:t>
      </w:r>
      <w:r>
        <w:t xml:space="preserve">The interference intervention alters this structure during encoding.</w:t>
      </w:r>
      <w:r>
        <w:t xml:space="preserve"> </w:t>
      </w:r>
      <w:r>
        <w:t xml:space="preserve">Without a pre-task reminder, task items are encoded in relatively distinct context states.</w:t>
      </w:r>
      <w:r>
        <w:t xml:space="preserve"> </w:t>
      </w:r>
      <w:r>
        <w:t xml:space="preserve">With a pre-task film reminder, task encoding occurs after film-associated context has been reinstated.</w:t>
      </w:r>
      <w:r>
        <w:t xml:space="preserve"> </w:t>
      </w:r>
      <w:r>
        <w:t xml:space="preserve">When task encoding is strong, task items become strongly linked to those film-overlapping context states.</w:t>
      </w:r>
      <w:r>
        <w:t xml:space="preserve"> </w:t>
      </w:r>
      <w:r>
        <w:t xml:space="preserve">Thus, the same context that can cue film items can also cue task competitors during later retrieval.</w:t>
      </w:r>
      <w:r>
        <w:t xml:space="preserve"> </w:t>
      </w:r>
      <w:r>
        <w:t xml:space="preserve">Blue marks film items or film-linked context, orange marks task items or task-linked context, green marks film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Unguided retrieval begins from ongoing context, which can support film and task candidates together.</w:t>
      </w:r>
      <w:r>
        <w:t xml:space="preserve"> </w:t>
      </w:r>
      <w:r>
        <w:t xml:space="preserve">Deliberate recall can begin with start-of-film context reinstatement, giving stronger support to film candidates while task candidates remain weakly supported.</w:t>
      </w:r>
      <w:r>
        <w:t xml:space="preserve"> </w:t>
      </w:r>
      <w:r>
        <w:rPr>
          <w:b/>
          <w:bCs/>
        </w:rPr>
        <w:t xml:space="preserve">(B)</w:t>
      </w:r>
      <w:r>
        <w:t xml:space="preserve"> </w:t>
      </w:r>
      <w:r>
        <w:t xml:space="preserve">A maintained film goal provides an additional deliberate-retrieval signal through context-to-feature memory.</w:t>
      </w:r>
      <w:r>
        <w:t xml:space="preserve"> </w:t>
      </w:r>
      <w:r>
        <w:t xml:space="preserve">Ongoing context can still cue both film items and task competitors, but the film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A recalled item updates the next context through feature-to-context memory, and that next context cues later candidates.</w:t>
      </w:r>
      <w:r>
        <w:t xml:space="preserve"> </w:t>
      </w:r>
      <w:r>
        <w:t xml:space="preserve">Without monitoring, recalling a task item can shift later context toward task candidates; with retrieval monitoring, that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Contextual similarity is established during encoding.</w:t>
      </w:r>
      <w:r>
        <w:t xml:space="preserve"> </w:t>
      </w:r>
      <w:r>
        <w:t xml:space="preserve">In CMR, an item is a discrete encoded unit.</w:t>
      </w:r>
      <w:r>
        <w:t xml:space="preserve"> </w:t>
      </w:r>
      <w:r>
        <w:t xml:space="preserve">A film item can stand for a scene or segment, and task or filler items stand for events during the task or delay.</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film-associated temporal context when they are encoded soon after the film or after a reminder has reinstated film-associated context.</w:t>
      </w:r>
      <w:r>
        <w:t xml:space="preserve"> </w:t>
      </w:r>
      <w:r>
        <w:t xml:space="preserve">Source context provides a non-temporal context pathway in the model.</w:t>
      </w:r>
      <w:r>
        <w:t xml:space="preserve"> </w:t>
      </w:r>
      <w:r>
        <w:t xml:space="preserve">Emotional extensions of CMR treat affect as one source-context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the present model uses the same architectural role for a simplified film/source feature.</w:t>
      </w:r>
      <w:r>
        <w:t xml:space="preserve"> </w:t>
      </w:r>
      <w:r>
        <w:t xml:space="preserve">Film items carry the marked film/source feature.</w:t>
      </w:r>
      <w:r>
        <w:t xml:space="preserve"> </w:t>
      </w:r>
      <w:r>
        <w:t xml:space="preserve">Neutral task and filler items lack that feature and can weakly bind active source context during encoding.</w:t>
      </w:r>
      <w:r>
        <w:t xml:space="preserve"> </w:t>
      </w:r>
      <w:r>
        <w:t xml:space="preserve">Delay periods, filled either by laboratory tasks or by later daily activity, move context away from the film, reducing the likelihood that film items and task competitors enter the same later retrieval competition.</w:t>
      </w:r>
      <w:r>
        <w:t xml:space="preserve"> </w:t>
      </w:r>
      <w:r>
        <w:t xml:space="preserve">These conditions determine whether film and task items enter the same retrieval competition; task encoding strength determines how strongly task items compete in that competition.</w:t>
      </w:r>
      <w:r>
        <w:t xml:space="preserve"> </w:t>
      </w:r>
      <w:r>
        <w:t xml:space="preserve">The current simulations use source context as part of the retrieval architecture and leave task-category specificity for later discussion.</w:t>
      </w:r>
    </w:p>
    <w:p>
      <w:pPr>
        <w:pStyle w:val="BodyText"/>
      </w:pPr>
      <w:r>
        <w:t xml:space="preserve">Context-to-item retrieval uses the current context state to cue candidate items.</w:t>
      </w:r>
      <w:r>
        <w:t xml:space="preserve"> </w:t>
      </w:r>
      <w:r>
        <w:t xml:space="preserve">Unguided retrieval approximates the retrieval condition relevant to intrusive or involuntary access: film memories can be sampled when there is no explicit goal to recall the film.</w:t>
      </w:r>
      <w:r>
        <w:t xml:space="preserve"> </w:t>
      </w:r>
      <w:r>
        <w:t xml:space="preserve">When the current context resembles states associated with both film items and task items, it supports candidates from both phases.</w:t>
      </w:r>
      <w:r>
        <w:t xml:space="preserve"> </w:t>
      </w:r>
      <w:r>
        <w:t xml:space="preserve">This mixed cue makes film recall vulnerable to task competition: as task items receive support, any given film item becomes less likely to be selected over a competitor.</w:t>
      </w:r>
      <w:r>
        <w:t xml:space="preserve"> </w:t>
      </w:r>
      <w:r>
        <w:t xml:space="preserve">The amount of competition depends on how many task competitors are available, how strongly those competitors were encoded, and how similar their temporal or source context is to film context.</w:t>
      </w:r>
      <w:r>
        <w:t xml:space="preserve"> </w:t>
      </w:r>
      <w:r>
        <w:t xml:space="preserve">In these simulations, task modality is represented through task encoding strength and the similarity between task-associated context and film-associated context.</w:t>
      </w:r>
    </w:p>
    <w:p>
      <w:pPr>
        <w:pStyle w:val="BodyText"/>
      </w:pPr>
      <w:r>
        <w:t xml:space="preserve">Item-to-context associations allow recalled items, reminder cues, and film items presented by a test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can persist across filled delays, allowing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When the interference task is delayed after film encoding, studies have presented a film reminder before the task and interpreted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On the present account, the reminder uses item-to-context associations to reinstate film-associated context, paralleling temporal-context explanations of human reminder effects after initial learning</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The effect of a delayed interference task is therefore graded by reminder strength and subsequent drift: stronger reminder reinstatement and weaker subsequent drift leave more film-associated context available when the task is encoded.</w:t>
      </w:r>
    </w:p>
    <w:p>
      <w:pPr>
        <w:pStyle w:val="BodyText"/>
      </w:pPr>
      <w:r>
        <w:t xml:space="preserve">Item-to-context associations also matter at test.</w:t>
      </w:r>
      <w:r>
        <w:t xml:space="preserve"> </w:t>
      </w:r>
      <w:r>
        <w:t xml:space="preserve">As retrieval unfolds, a recalled film item pulls context toward film-associated states and can support retrieval of additional film items.</w:t>
      </w:r>
      <w:r>
        <w:t xml:space="preserve"> </w:t>
      </w:r>
      <w:r>
        <w:t xml:space="preserve">A sampled task competitor pulls context toward task-associated states and can prolong competition.</w:t>
      </w:r>
      <w:r>
        <w:t xml:space="preserve"> </w:t>
      </w:r>
      <w:r>
        <w:t xml:space="preserve">Weak film-related cues are included during recall to approximate vigilance-intrusion tasks, where film cues are presented during an attention task to elicit intrusions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These cues update context through the same item-to-context operation as recalled items and are held constant across the main recall conditions.</w:t>
      </w:r>
      <w:r>
        <w:t xml:space="preserve"> </w:t>
      </w:r>
      <w:r>
        <w:t xml:space="preserve">The pre-task film reminder plays a different role, occurring before task encoding and changing what task items become associated with.</w:t>
      </w:r>
      <w:r>
        <w:t xml:space="preserve"> </w:t>
      </w:r>
      <w:r>
        <w:t xml:space="preserve">Recognition tests create a further distinction because the test presents a candidate film item for judgment.</w:t>
      </w:r>
      <w:r>
        <w:t xml:space="preserve"> </w:t>
      </w:r>
      <w:r>
        <w:t xml:space="preserve">Because that film item is already available, context reinstatement can begin before any context-to-item competition with task items.</w:t>
      </w:r>
      <w:r>
        <w:t xml:space="preserve"> </w:t>
      </w:r>
      <w:r>
        <w:t xml:space="preserve">The recognition simulation isolates this access step.</w:t>
      </w:r>
      <w:r>
        <w:t xml:space="preserve"> </w:t>
      </w:r>
      <w:r>
        <w:t xml:space="preserve">It does not model criterion, confidence, or complete foil processing</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represented as controlled retrieval over the same stored associations used by unguided retrieval.</w:t>
      </w:r>
      <w:r>
        <w:t xml:space="preserve"> </w:t>
      </w:r>
      <w:r>
        <w:t xml:space="preserve">Protection of film recall depends on how these control settings change context-to-item search.</w:t>
      </w:r>
      <w:r>
        <w:t xml:space="preserve"> </w:t>
      </w:r>
      <w:r>
        <w:t xml:space="preserve">Like unguided retrieval, deliberate recall can still be guided by context states that cue both film items and task competitors, so it remains exposed to interference.</w:t>
      </w:r>
      <w:r>
        <w:t xml:space="preserve"> </w:t>
      </w:r>
      <w:r>
        <w:t xml:space="preserve">The deliberate-recall simulations focus on three controls: start-of-film context reinstatement, a maintained film-retrieval goal, and retrieval monitoring.</w:t>
      </w:r>
      <w:r>
        <w:t xml:space="preserve"> </w:t>
      </w:r>
      <w:r>
        <w:t xml:space="preserve">Start-of-film context reinstatement drifts retrieval context toward the start of the encoded sequence before recall.</w:t>
      </w:r>
      <w:r>
        <w:t xml:space="preserve"> </w:t>
      </w:r>
      <w:r>
        <w:t xml:space="preserve">Because the film is encoded first in the present paradigm, that start state supports early film items more than later task or filler items.</w:t>
      </w:r>
      <w:r>
        <w:t xml:space="preserve"> </w:t>
      </w:r>
      <w:r>
        <w:t xml:space="preserve">The maintained film-retrieval goal provides film-directed support during candidate sampling.</w:t>
      </w:r>
      <w:r>
        <w:t xml:space="preserve"> </w:t>
      </w:r>
      <w:r>
        <w:t xml:space="preserve">Retrieval monitoring limits how much sampled off-target items update later context.</w:t>
      </w:r>
      <w:r>
        <w:t xml:space="preserve"> </w:t>
      </w:r>
      <w:r>
        <w:t xml:space="preserve">Start-of-film reinstatement and retrieval monitoring can increase film recall in some conditions, but the smallest endpoint differences occur when deliberate recall includes the maintained film-retrieval goal.</w:t>
      </w:r>
      <w:r>
        <w:t xml:space="preserve"> </w:t>
      </w:r>
      <w:r>
        <w:t xml:space="preserve">The maintained film-retrieval goal is treated as source/goal-like film-directed support: a maintained retrieval state that targets film material more strongly than task material.</w:t>
      </w:r>
      <w:r>
        <w:t xml:space="preserve"> </w:t>
      </w:r>
      <w:r>
        <w:t xml:space="preserve">The model specification implements this source/goal-like support in simplified form.</w:t>
      </w:r>
    </w:p>
    <w:p>
      <w:pPr>
        <w:pStyle w:val="BodyText"/>
      </w:pPr>
      <w:r>
        <w:t xml:space="preserve">The simulations instantiate this account in an emotional CMR model</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departs from standard list-learning applications of CMR in two ways.</w:t>
      </w:r>
      <w:r>
        <w:t xml:space="preserve"> </w:t>
      </w:r>
      <w:r>
        <w:t xml:space="preserve">First, it treats the film sequence, intervening delay, reminder, post-film task, and post-task delay as one evolving context stream.</w:t>
      </w:r>
      <w:r>
        <w:t xml:space="preserve"> </w:t>
      </w:r>
      <w:r>
        <w:t xml:space="preserve">Within that stream, reminder cues can reinstate film-associated context before task encoding.</w:t>
      </w:r>
      <w:r>
        <w:t xml:space="preserve"> </w:t>
      </w:r>
      <w:r>
        <w:t xml:space="preserve">Second, it simulates non-film material from the delay and task periods as distinct items that can be sampled during retrieval and compete with film items.</w:t>
      </w:r>
      <w:r>
        <w:t xml:space="preserve"> </w:t>
      </w:r>
      <w:r>
        <w:t xml:space="preserve">Because those items can win retrieval attempts, the model can express selective interference as a shift in what is retrieved while film-item associations are held fixed across the task manipulation.</w:t>
      </w:r>
      <w:r>
        <w:t xml:space="preserve"> </w:t>
      </w:r>
      <w:r>
        <w:t xml:space="preserve">The simulations use this architecture to evaluate three consequences: reminder-linked task encoding creates competitors, deliberate-recall controls reduce the impact of those competitors under specific settings, and recognition-like tests change the retrieval problem because the candidate item is presented.</w:t>
      </w:r>
    </w:p>
    <w:bookmarkEnd w:id="42"/>
    <w:bookmarkStart w:id="67"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 parameters, then specifies the context-updating, learning, retrieval, and control operations used to configure the selective interference simulations.</w:t>
      </w:r>
    </w:p>
    <w:bookmarkStart w:id="46"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model parameters used in the equations below.</w:t>
      </w:r>
      <w:r>
        <w:t xml:space="preserve"> </w:t>
      </w:r>
      <w:r>
        <w:t xml:space="preserve">The notation is adapted across several retrieved-context and CMR implementations, including foundational free-recall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later likelihood-based variants</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 emotional CMR variants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target-monitoring extensions</w:t>
      </w:r>
      <w:r>
        <w:t xml:space="preserve"> </w:t>
      </w:r>
      <w:r>
        <w:t xml:space="preserve">(</w:t>
      </w:r>
      <w:hyperlink w:anchor="ref-lohnas2015expanding">
        <w:r>
          <w:rPr>
            <w:rStyle w:val="Hyperlink"/>
          </w:rPr>
          <w:t xml:space="preserve">Lohnas et al., 2015</w:t>
        </w:r>
      </w:hyperlink>
      <w:r>
        <w:t xml:space="preserve">)</w:t>
      </w:r>
      <w:r>
        <w:t xml:space="preserve">.</w:t>
      </w:r>
    </w:p>
    <w:bookmarkStart w:id="43" w:name="tbl-base-parameters"/>
    <w:p>
      <w:pPr>
        <w:pStyle w:val="FigureTitle"/>
      </w:pPr>
      <w:r>
        <w:t xml:space="preserve">Table 1</w:t>
      </w:r>
    </w:p>
    <w:p>
      <w:pPr>
        <w:pStyle w:val="Caption"/>
      </w:pPr>
      <w:r>
        <w:t xml:space="preserve">Model parameters and roles in the model specification.</w:t>
      </w:r>
      <w:r>
        <w:t xml:space="preserve"> </w:t>
      </w:r>
      <w:r>
        <w:t xml:space="preserve">Base parameters are the unscaled values used by the model equations before simulation-specific multipliers are applied.</w:t>
      </w:r>
      <w:r>
        <w:t xml:space="preserve"> </w:t>
      </w:r>
      <w:r>
        <w:t xml:space="preserve">A phase is a segment of the simulated paradigm, such as film encoding, intervening delay, reminder, task encoding, post-task delay, or retrieval.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Drift toward start-of-film context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Sensitivity of choice to support differences</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pPr>
            <w:r>
              <w:t xml:space="preserve">source learning baseline</w:t>
            </w:r>
          </w:p>
        </w:tc>
        <w:tc>
          <w:tcPr/>
          <w:p>
            <w:pPr>
              <w:pStyle w:val="Compact"/>
            </w:pPr>
            <w:r>
              <w:t xml:space="preserve">Baseline source-context learning for neutral/default items</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pPr>
            <w:r>
              <w:t xml:space="preserve">film-source orientation</w:t>
            </w:r>
          </w:p>
        </w:tc>
        <w:tc>
          <w:tcPr/>
          <w:p>
            <w:pPr>
              <w:pStyle w:val="Compact"/>
            </w:pPr>
            <w:r>
              <w:t xml:space="preserve">Fixed partial reinstatement of marked film-source context at retrieval onset</w:t>
            </w:r>
          </w:p>
        </w:tc>
      </w:tr>
      <w:tr>
        <w:tc>
          <w:tcPr/>
          <w:p>
            <w:pPr>
              <w:pStyle w:val="Compact"/>
            </w:pPr>
            <m:oMath>
              <m:sSub>
                <m:e>
                  <m:r>
                    <m:t>ω</m:t>
                  </m:r>
                </m:e>
                <m:sub>
                  <m:r>
                    <m:rPr>
                      <m:sty m:val="p"/>
                    </m:rPr>
                    <m:t>g</m:t>
                  </m:r>
                  <m:r>
                    <m:rPr>
                      <m:sty m:val="p"/>
                    </m:rPr>
                    <m:t>o</m:t>
                  </m:r>
                  <m:r>
                    <m:rPr>
                      <m:sty m:val="p"/>
                    </m:rPr>
                    <m:t>a</m:t>
                  </m:r>
                  <m:r>
                    <m:rPr>
                      <m:sty m:val="p"/>
                    </m:rPr>
                    <m:t>l</m:t>
                  </m:r>
                </m:sub>
              </m:sSub>
            </m:oMath>
          </w:p>
        </w:tc>
        <w:tc>
          <w:tcPr/>
          <w:p>
            <w:pPr>
              <w:pStyle w:val="Compact"/>
            </w:pPr>
            <w:r>
              <w:t xml:space="preserve">film-goal support</w:t>
            </w:r>
          </w:p>
        </w:tc>
        <w:tc>
          <w:tcPr/>
          <w:p>
            <w:pPr>
              <w:pStyle w:val="Compact"/>
            </w:pPr>
            <w:r>
              <w:t xml:space="preserve">Support from a maintained film-retrieval goal, weighted by goal match</w:t>
            </w:r>
            <w:r>
              <w:t xml:space="preserve"> </w:t>
            </w:r>
            <m:oMath>
              <m:sSub>
                <m:e>
                  <m:r>
                    <m:t>g</m:t>
                  </m:r>
                </m:e>
                <m:sub>
                  <m:r>
                    <m:t>i</m:t>
                  </m:r>
                </m:sub>
              </m:sSub>
            </m:oMath>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43"/>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 interference simulations vary the new associations formed across phases.</w:t>
      </w:r>
      <w:r>
        <w:t xml:space="preserve"> </w:t>
      </w:r>
      <w:r>
        <w:t xml:space="preserve">These baseline associations are fixed model architecture and are held constant across the selective interference simulations.</w:t>
      </w:r>
      <w:r>
        <w:t xml:space="preserve"> </w:t>
      </w:r>
      <w:r>
        <w:t xml:space="preserve">For the start unit and item-associated temporal context units:</w:t>
      </w:r>
    </w:p>
    <w:p>
      <w:pPr>
        <w:pStyle w:val="BodyText"/>
      </w:pPr>
      <w:bookmarkStart w:id="44"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4"/>
    </w:p>
    <w:p>
      <w:pPr>
        <w:pStyle w:val="FirstParagraph"/>
      </w:pPr>
      <w:bookmarkStart w:id="45"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5"/>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46"/>
    <w:bookmarkStart w:id="58"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items and by items presented as reminders or test cues.</w:t>
      </w:r>
      <w:r>
        <w:t xml:space="preserve"> </w:t>
      </w:r>
      <w:r>
        <w:t xml:space="preserve">The same feature-to-context operation updates context when an item is encoded, recalled, presented as a reminder, or presented as a cue by the test.</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47"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47"/>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48"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48"/>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49"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49"/>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50"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50"/>
    </w:p>
    <w:p>
      <w:pPr>
        <w:pStyle w:val="FirstParagraph"/>
      </w:pPr>
      <w:r>
        <w:t xml:space="preserve">A primacy function weights context-to-feature learning:</w:t>
      </w:r>
    </w:p>
    <w:p>
      <w:pPr>
        <w:pStyle w:val="BodyText"/>
      </w:pPr>
      <w:bookmarkStart w:id="51"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51"/>
    </w:p>
    <w:p>
      <w:pPr>
        <w:pStyle w:val="FirstParagraph"/>
      </w:pPr>
      <w:r>
        <w:t xml:space="preserve">Context-to-feature associations update as:</w:t>
      </w:r>
    </w:p>
    <w:p>
      <w:pPr>
        <w:pStyle w:val="BodyText"/>
      </w:pPr>
      <w:bookmarkStart w:id="52"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52"/>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temporal context and source context cue encoded items through their context-to-feature associations.</w:t>
      </w:r>
      <w:r>
        <w:t xml:space="preserve"> </w:t>
      </w:r>
      <w:r>
        <w:t xml:space="preserve">A maintained film-retrieval goal can also contribute source/goal-like support to candidates that match the film target:</w:t>
      </w:r>
    </w:p>
    <w:p>
      <w:pPr>
        <w:pStyle w:val="BodyText"/>
      </w:pPr>
      <w:bookmarkStart w:id="53"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rPr>
              <m:sty m:val="p"/>
            </m:rPr>
            <m:t>+</m:t>
          </m:r>
          <m:sSub>
            <m:e>
              <m:d>
                <m:dPr>
                  <m:begChr m:val="["/>
                  <m:sepChr m:val=""/>
                  <m:endChr m:val="]"/>
                  <m:grow/>
                </m:dPr>
                <m:e>
                  <m:sSubSup>
                    <m:e>
                      <m:r>
                        <m:t>M</m:t>
                      </m:r>
                    </m:e>
                    <m:sub>
                      <m:r>
                        <m:t>e</m:t>
                      </m:r>
                      <m:r>
                        <m:t>m</m:t>
                      </m:r>
                      <m:r>
                        <m:t>o</m:t>
                      </m:r>
                      <m:r>
                        <m:t>t</m:t>
                      </m:r>
                    </m:sub>
                    <m:sup>
                      <m:r>
                        <m:t>C</m:t>
                      </m:r>
                      <m:r>
                        <m:t>F</m:t>
                      </m:r>
                    </m:sup>
                  </m:sSubSup>
                  <m:sSub>
                    <m:e>
                      <m:r>
                        <m:t>c</m:t>
                      </m:r>
                    </m:e>
                    <m:sub>
                      <m:r>
                        <m:rPr>
                          <m:sty m:val="p"/>
                        </m:rPr>
                        <m:t>e</m:t>
                      </m:r>
                      <m:r>
                        <m:rPr>
                          <m:sty m:val="p"/>
                        </m:rPr>
                        <m:t>m</m:t>
                      </m:r>
                      <m:r>
                        <m:rPr>
                          <m:sty m:val="p"/>
                        </m:rPr>
                        <m:t>o</m:t>
                      </m:r>
                      <m:r>
                        <m:rPr>
                          <m:sty m:val="p"/>
                        </m:rPr>
                        <m:t>t</m:t>
                      </m:r>
                    </m:sub>
                  </m:sSub>
                </m:e>
              </m:d>
            </m:e>
            <m:sub>
              <m:r>
                <m:t>i</m:t>
              </m:r>
            </m:sub>
          </m:sSub>
          <m:r>
            <m:rPr>
              <m:sty m:val="p"/>
            </m:rPr>
            <m:t>+</m:t>
          </m:r>
          <m:sSub>
            <m:e>
              <m:r>
                <m:t>ω</m:t>
              </m:r>
            </m:e>
            <m:sub>
              <m:r>
                <m:rPr>
                  <m:sty m:val="p"/>
                </m:rPr>
                <m:t>g</m:t>
              </m:r>
              <m:r>
                <m:rPr>
                  <m:sty m:val="p"/>
                </m:rPr>
                <m:t>o</m:t>
              </m:r>
              <m:r>
                <m:rPr>
                  <m:sty m:val="p"/>
                </m:rPr>
                <m:t>a</m:t>
              </m:r>
              <m:r>
                <m:rPr>
                  <m:sty m:val="p"/>
                </m:rPr>
                <m:t>l</m:t>
              </m:r>
            </m:sub>
          </m:sSub>
          <m:sSub>
            <m:e>
              <m:r>
                <m:t>g</m:t>
              </m:r>
            </m:e>
            <m:sub>
              <m:r>
                <m:t>i</m:t>
              </m:r>
            </m:sub>
          </m:sSub>
          <m:r>
            <m:t>  </m:t>
          </m:r>
          <m:d>
            <m:dPr>
              <m:begChr m:val="("/>
              <m:sepChr m:val=""/>
              <m:endChr m:val=")"/>
              <m:grow/>
            </m:dPr>
            <m:e>
              <m:r>
                <m:t>9</m:t>
              </m:r>
            </m:e>
          </m:d>
        </m:oMath>
      </m:oMathPara>
      <w:bookmarkEnd w:id="53"/>
    </w:p>
    <w:p>
      <w:pPr>
        <w:pStyle w:val="FirstParagraph"/>
      </w:pPr>
      <w:r>
        <w:t xml:space="preserve">Here,</w:t>
      </w:r>
      <w:r>
        <w:t xml:space="preserve"> </w:t>
      </w:r>
      <m:oMath>
        <m:sSub>
          <m:e>
            <m:r>
              <m:t>c</m:t>
            </m:r>
          </m:e>
          <m:sub>
            <m:r>
              <m:rPr>
                <m:sty m:val="p"/>
              </m:rPr>
              <m:t>e</m:t>
            </m:r>
            <m:r>
              <m:rPr>
                <m:sty m:val="p"/>
              </m:rPr>
              <m:t>m</m:t>
            </m:r>
            <m:r>
              <m:rPr>
                <m:sty m:val="p"/>
              </m:rPr>
              <m:t>o</m:t>
            </m:r>
            <m:r>
              <m:rPr>
                <m:sty m:val="p"/>
              </m:rPr>
              <m:t>t</m:t>
            </m:r>
          </m:sub>
        </m:sSub>
      </m:oMath>
      <w:r>
        <w:t xml:space="preserve"> </w:t>
      </w:r>
      <w:r>
        <w:t xml:space="preserve">denotes the source-context state, and</w:t>
      </w:r>
      <w:r>
        <w:t xml:space="preserve"> </w:t>
      </w:r>
      <m:oMath>
        <m:sSub>
          <m:e>
            <m:r>
              <m:t>g</m:t>
            </m:r>
          </m:e>
          <m:sub>
            <m:r>
              <m:t>i</m:t>
            </m:r>
          </m:sub>
        </m:sSub>
      </m:oMath>
      <w:r>
        <w:t xml:space="preserve"> </w:t>
      </w:r>
      <w:r>
        <w:t xml:space="preserve">is the degree to which item</w:t>
      </w:r>
      <w:r>
        <w:t xml:space="preserve"> </w:t>
      </w:r>
      <m:oMath>
        <m:r>
          <m:t>i</m:t>
        </m:r>
      </m:oMath>
      <w:r>
        <w:t xml:space="preserve"> </w:t>
      </w:r>
      <w:r>
        <w:t xml:space="preserve">matches the maintained film-retrieval goal.</w:t>
      </w:r>
      <w:r>
        <w:t xml:space="preserve"> </w:t>
      </w:r>
      <w:r>
        <w:t xml:space="preserve">For the present simulations, film items match the goal and task, break, and filler items do not.</w:t>
      </w:r>
    </w:p>
    <w:p>
      <w:pPr>
        <w:pStyle w:val="BodyText"/>
      </w:pPr>
      <w:r>
        <w:t xml:space="preserve">The choice sensitivity</w:t>
      </w:r>
      <w:r>
        <w:t xml:space="preserve"> </w:t>
      </w:r>
      <m:oMath>
        <m:r>
          <m:t>τ</m:t>
        </m:r>
      </m:oMath>
      <w:r>
        <w:t xml:space="preserve"> </w:t>
      </w:r>
      <w:r>
        <w:t xml:space="preserve">controls how strongly support differences affect choice among candidates:</w:t>
      </w:r>
    </w:p>
    <w:p>
      <w:pPr>
        <w:pStyle w:val="BodyText"/>
      </w:pPr>
      <w:bookmarkStart w:id="54"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54"/>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55"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55"/>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56"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56"/>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57"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57"/>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candidate film items presented by the test use the context update without adding a new recallable event.</w:t>
      </w:r>
    </w:p>
    <w:bookmarkEnd w:id="58"/>
    <w:bookmarkStart w:id="62" w:name="retrieval-control"/>
    <w:p>
      <w:pPr>
        <w:pStyle w:val="Heading2"/>
      </w:pPr>
      <w:r>
        <w:t xml:space="preserve">Retrieval Control</w:t>
      </w:r>
    </w:p>
    <w:p>
      <w:pPr>
        <w:pStyle w:val="FirstParagraph"/>
      </w:pPr>
      <w:r>
        <w:t xml:space="preserve">Retrieval-control settings alter the starting state, goal-directed support, and context updating used by the same context-to-feature retrieval operation.</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start-of-film context reinstatement:</w:t>
      </w:r>
    </w:p>
    <w:p>
      <w:pPr>
        <w:pStyle w:val="BodyText"/>
      </w:pPr>
      <w:bookmarkStart w:id="59" w:name="eq-start-context-reinstatement"/>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59"/>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start-of-film context reinstatement.</w:t>
      </w:r>
      <w:r>
        <w:t xml:space="preserve"> </w:t>
      </w:r>
      <w:r>
        <w:t xml:space="preserve">The second control setting is a maintained film-retrieval goal.</w:t>
      </w:r>
      <w:r>
        <w:t xml:space="preserve"> </w:t>
      </w:r>
      <w:r>
        <w:t xml:space="preserve">It is represented by the goal-match term</w:t>
      </w:r>
      <w:r>
        <w:t xml:space="preserve"> </w:t>
      </w:r>
      <m:oMath>
        <m:sSub>
          <m:e>
            <m:r>
              <m:t>ω</m:t>
            </m:r>
          </m:e>
          <m:sub>
            <m:r>
              <m:rPr>
                <m:sty m:val="p"/>
              </m:rPr>
              <m:t>g</m:t>
            </m:r>
            <m:r>
              <m:rPr>
                <m:sty m:val="p"/>
              </m:rPr>
              <m:t>o</m:t>
            </m:r>
            <m:r>
              <m:rPr>
                <m:sty m:val="p"/>
              </m:rPr>
              <m:t>a</m:t>
            </m:r>
            <m:r>
              <m:rPr>
                <m:sty m:val="p"/>
              </m:rPr>
              <m:t>l</m:t>
            </m:r>
          </m:sub>
        </m:sSub>
        <m:sSub>
          <m:e>
            <m:r>
              <m:t>g</m:t>
            </m:r>
          </m:e>
          <m:sub>
            <m:r>
              <m:t>i</m:t>
            </m:r>
          </m:sub>
        </m:sSub>
      </m:oMath>
      <w:r>
        <w:t xml:space="preserve"> </w:t>
      </w:r>
      <w:r>
        <w:t xml:space="preserve">in</w:t>
      </w:r>
      <w:r>
        <w:t xml:space="preserve"> </w:t>
      </w:r>
      <w:hyperlink w:anchor="eq-retrieval-support">
        <w:r>
          <w:rPr>
            <w:rStyle w:val="Hyperlink"/>
          </w:rPr>
          <w:t xml:space="preserve">Equation 9</w:t>
        </w:r>
      </w:hyperlink>
      <w:r>
        <w:t xml:space="preserve">, so a film-directed goal contributes support to film candidates without giving the same support to task or filler candidates.</w:t>
      </w:r>
      <w:r>
        <w:t xml:space="preserve"> </w:t>
      </w:r>
      <w:r>
        <w:t xml:space="preserve">The third control setting is retrieval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Retrieval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retrieval monitoring, the context update after sampled item</w:t>
      </w:r>
      <w:r>
        <w:t xml:space="preserve"> </w:t>
      </w:r>
      <m:oMath>
        <m:r>
          <m:t>i</m:t>
        </m:r>
      </m:oMath>
      <w:r>
        <w:t xml:space="preserve"> </w:t>
      </w:r>
      <w:r>
        <w:t xml:space="preserve">becomes:</w:t>
      </w:r>
    </w:p>
    <w:p>
      <w:pPr>
        <w:pStyle w:val="BodyText"/>
      </w:pPr>
      <w:bookmarkStart w:id="60"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60"/>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Recognition-like tests are not retrieval-control settings in this sense.</w:t>
      </w:r>
      <w:r>
        <w:t xml:space="preserve"> </w:t>
      </w:r>
      <w:r>
        <w:t xml:space="preserve">When a test presents a candidate film item, the item is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61"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61"/>
    </w:p>
    <w:p>
      <w:pPr>
        <w:pStyle w:val="FirstParagraph"/>
      </w:pPr>
      <w:r>
        <w:t xml:space="preserve">Candidate film items presented by the test therefore use the same feature-to-context operation as sampled and reminded items.</w:t>
      </w:r>
    </w:p>
    <w:bookmarkEnd w:id="62"/>
    <w:bookmarkStart w:id="66" w:name="source-context"/>
    <w:p>
      <w:pPr>
        <w:pStyle w:val="Heading2"/>
      </w:pPr>
      <w:r>
        <w:t xml:space="preserve">Source Context</w:t>
      </w:r>
    </w:p>
    <w:p>
      <w:pPr>
        <w:pStyle w:val="FirstParagraph"/>
      </w:pPr>
      <w:r>
        <w:t xml:space="preserve">The source-context pathway adapts the emotional/source-context machinery of eCMR and CMR3 to the present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Here, we use the same architectural role for a simplified film-source dimension: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simulations, 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63"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63"/>
    </w:p>
    <w:p>
      <w:pPr>
        <w:pStyle w:val="FirstParagraph"/>
      </w:pPr>
      <w:r>
        <w:t xml:space="preserve">Source-context-to-feature support begins at zero:</w:t>
      </w:r>
    </w:p>
    <w:p>
      <w:pPr>
        <w:pStyle w:val="BodyText"/>
      </w:pPr>
      <w:bookmarkStart w:id="64"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64"/>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65"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65"/>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in the current simulations,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At retrieval onset, all current simulations include a fixed partial reinstatement of the marked film-source context, governed by</w:t>
      </w:r>
      <w:r>
        <w:t xml:space="preserve"> </w:t>
      </w: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r>
        <w:t xml:space="preserve">.</w:t>
      </w:r>
      <w:r>
        <w:t xml:space="preserve"> </w:t>
      </w:r>
      <w:r>
        <w:t xml:space="preserve">This fixed source-context orientation represents the test setting orienting retrieval toward the film episode at the level of source context.</w:t>
      </w:r>
      <w:r>
        <w:t xml:space="preserve"> </w:t>
      </w:r>
      <w:r>
        <w:t xml:space="preserve">It is held constant across unguided and deliberate retrieval and is separate from the start-of-film context reinstatement manipulated in Simulation 2.</w:t>
      </w:r>
    </w:p>
    <w:p>
      <w:pPr>
        <w:pStyle w:val="BodyText"/>
      </w:pPr>
      <w:r>
        <w:t xml:space="preserve">These equations define the item-context architecture used in all simulations.</w:t>
      </w:r>
      <w:r>
        <w:t xml:space="preserve"> </w:t>
      </w:r>
      <w:r>
        <w:t xml:space="preserve">During retrieval, the model samples one candidate at a time until stopping.</w:t>
      </w:r>
      <w:r>
        <w:t xml:space="preserve"> </w:t>
      </w:r>
      <w:r>
        <w:t xml:space="preserve">Task competitors reduce film recall when they are sampled instead of film items, using retrieval attempts that could otherwise have returned film material.</w:t>
      </w:r>
    </w:p>
    <w:bookmarkEnd w:id="66"/>
    <w:bookmarkEnd w:id="67"/>
    <w:bookmarkStart w:id="111"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reminder-linked task competition, retrieval-control consequences for deliberate recall, and recognition-like test-format consequences of bidirectional item-context associations.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The recognition simulation compares context-to-item recall with a test format in which a candidate film item is presented for judgment.</w:t>
      </w:r>
    </w:p>
    <w:bookmarkStart w:id="68" w:name="tbl-simulation-overview"/>
    <w:p>
      <w:pPr>
        <w:pStyle w:val="FigureTitle"/>
      </w:pPr>
      <w:r>
        <w:t xml:space="preserve">Table 2</w:t>
      </w:r>
    </w:p>
    <w:p>
      <w:pPr>
        <w:pStyle w:val="Caption"/>
      </w:pPr>
      <w:r>
        <w:t xml:space="preserve">Overview of what is held fixed, varied, and measured across simulations.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Simulation</w:t>
            </w:r>
          </w:p>
        </w:tc>
        <w:tc>
          <w:tcPr/>
          <w:p>
            <w:pPr>
              <w:pStyle w:val="Compact"/>
            </w:pPr>
            <w:r>
              <w:t xml:space="preserve">Main fixed structure</w:t>
            </w:r>
          </w:p>
        </w:tc>
        <w:tc>
          <w:tcPr/>
          <w:p>
            <w:pPr>
              <w:pStyle w:val="Compact"/>
            </w:pPr>
            <w:r>
              <w:t xml:space="preserve">Varied or compared</w:t>
            </w:r>
          </w:p>
        </w:tc>
        <w:tc>
          <w:tcPr/>
          <w:p>
            <w:pPr>
              <w:pStyle w:val="Compact"/>
            </w:pPr>
            <w:r>
              <w:t xml:space="preserve">Primary readout</w:t>
            </w:r>
          </w:p>
        </w:tc>
      </w:tr>
      <w:tr>
        <w:tc>
          <w:tcPr/>
          <w:p>
            <w:pPr>
              <w:pStyle w:val="Compact"/>
            </w:pPr>
            <w:r>
              <w:t xml:space="preserve">1</w:t>
            </w:r>
          </w:p>
        </w:tc>
        <w:tc>
          <w:tcPr/>
          <w:p>
            <w:pPr>
              <w:pStyle w:val="Compact"/>
            </w:pPr>
            <w:r>
              <w:t xml:space="preserve">Unguided retrieval settings; film, delay, task, and filler phases</w:t>
            </w:r>
          </w:p>
        </w:tc>
        <w:tc>
          <w:tcPr/>
          <w:p>
            <w:pPr>
              <w:pStyle w:val="Compact"/>
            </w:pPr>
            <w:r>
              <w:t xml:space="preserve">No-reminder versus with-reminder task encoding; task encoding multiplier</w:t>
            </w:r>
          </w:p>
        </w:tc>
        <w:tc>
          <w:tcPr/>
          <w:p>
            <w:pPr>
              <w:pStyle w:val="Compact"/>
            </w:pPr>
            <w:r>
              <w:t xml:space="preserve">Film and task recall by encoded position; film-task context overlap</w:t>
            </w:r>
          </w:p>
        </w:tc>
      </w:tr>
      <w:tr>
        <w:tc>
          <w:tcPr/>
          <w:p>
            <w:pPr>
              <w:pStyle w:val="Compact"/>
            </w:pPr>
            <w:r>
              <w:t xml:space="preserve">2</w:t>
            </w:r>
          </w:p>
        </w:tc>
        <w:tc>
          <w:tcPr/>
          <w:p>
            <w:pPr>
              <w:pStyle w:val="Compact"/>
            </w:pPr>
            <w:r>
              <w:t xml:space="preserve">Reminder condition and task encoding strength crossed as in Simulation 1</w:t>
            </w:r>
          </w:p>
        </w:tc>
        <w:tc>
          <w:tcPr/>
          <w:p>
            <w:pPr>
              <w:pStyle w:val="Compact"/>
            </w:pPr>
            <w:r>
              <w:t xml:space="preserve">Unguided retrieval versus deliberate recall; start-of-film context reinstatement, maintained film-retrieval goal, and retrieval monitoring</w:t>
            </w:r>
          </w:p>
        </w:tc>
        <w:tc>
          <w:tcPr/>
          <w:p>
            <w:pPr>
              <w:pStyle w:val="Compact"/>
            </w:pPr>
            <w:r>
              <w:t xml:space="preserve">Film recall across retrieval modes; endpoint differences across control settings; recall initiation and film return after off-target samples</w:t>
            </w:r>
          </w:p>
        </w:tc>
      </w:tr>
      <w:tr>
        <w:tc>
          <w:tcPr/>
          <w:p>
            <w:pPr>
              <w:pStyle w:val="Compact"/>
            </w:pPr>
            <w:r>
              <w:t xml:space="preserve">Recognition</w:t>
            </w:r>
          </w:p>
        </w:tc>
        <w:tc>
          <w:tcPr/>
          <w:p>
            <w:pPr>
              <w:pStyle w:val="Compact"/>
            </w:pPr>
            <w:r>
              <w:t xml:space="preserve">Same reminder and task-encoding conditions used in recall simulations, without a full recognition-decision model</w:t>
            </w:r>
          </w:p>
        </w:tc>
        <w:tc>
          <w:tcPr/>
          <w:p>
            <w:pPr>
              <w:pStyle w:val="Compact"/>
            </w:pPr>
            <w:r>
              <w:t xml:space="preserve">Context-to-item recall versus candidate film items presented for judgment</w:t>
            </w:r>
          </w:p>
        </w:tc>
        <w:tc>
          <w:tcPr/>
          <w:p>
            <w:pPr>
              <w:pStyle w:val="Compact"/>
            </w:pPr>
            <w:r>
              <w:t xml:space="preserve">Whether item-to-context access changes where interference enters retrieval</w:t>
            </w:r>
          </w:p>
        </w:tc>
      </w:tr>
    </w:tbl>
    <w:bookmarkEnd w:id="68"/>
    <w:bookmarkStart w:id="70"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 current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3</w:t>
        </w:r>
      </w:hyperlink>
      <w:r>
        <w:t xml:space="preserve"> </w:t>
      </w:r>
      <w:r>
        <w:t xml:space="preserve">gives the default numerical values used in the current simulations.</w:t>
      </w:r>
    </w:p>
    <w:bookmarkStart w:id="69" w:name="tbl-simulation-parameters"/>
    <w:p>
      <w:pPr>
        <w:pStyle w:val="FigureTitle"/>
      </w:pPr>
      <w:r>
        <w:t xml:space="preserve">Table 3</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69"/>
    <w:p>
      <w:pPr>
        <w:pStyle w:val="AfterWithoutNote"/>
      </w:pPr>
      <w:r>
        <w:t xml:space="preserve">The current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candidate film items presented by the test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present candidate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retrieval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70"/>
    <w:bookmarkStart w:id="84"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8</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r>
        <w:t xml:space="preserve">Simulation 1 first isolates the unguided side of the effect summarized in</w:t>
      </w:r>
      <w:r>
        <w:t xml:space="preserve"> </w:t>
      </w:r>
      <w:hyperlink w:anchor="fig-empirical-target">
        <w:r>
          <w:rPr>
            <w:rStyle w:val="Hyperlink"/>
          </w:rPr>
          <w:t xml:space="preserve">Figure 1</w:t>
        </w:r>
      </w:hyperlink>
      <w:r>
        <w:t xml:space="preserve">.</w:t>
      </w:r>
      <w:r>
        <w:t xml:space="preserve"> </w:t>
      </w:r>
      <w:r>
        <w:t xml:space="preserve">It implements the empirical task contrast as a manipulation of task encoding strength, crossed with whether a film reminder precedes task encoding.</w:t>
      </w:r>
      <w:r>
        <w:t xml:space="preserve"> </w:t>
      </w:r>
      <w:r>
        <w:t xml:space="preserve">In the fixed-cue version shown in</w:t>
      </w:r>
      <w:r>
        <w:t xml:space="preserve"> </w:t>
      </w:r>
      <w:hyperlink w:anchor="fig-simulation1-unguided-sequence">
        <w:r>
          <w:rPr>
            <w:rStyle w:val="Hyperlink"/>
          </w:rPr>
          <w:t xml:space="preserve">Figure 5</w:t>
        </w:r>
      </w:hyperlink>
      <w:r>
        <w:t xml:space="preserve">, weak film cues are supplied periodically during recall in all conditions.</w:t>
      </w:r>
    </w:p>
    <w:bookmarkStart w:id="74"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2" name="Picture"/>
            <a:graphic>
              <a:graphicData uri="http://schemas.openxmlformats.org/drawingml/2006/picture">
                <pic:pic>
                  <pic:nvPicPr>
                    <pic:cNvPr descr="work/simulation1_unguided_cued/simulation1_unguided_cued_sequence_summary.png" id="73" name="Picture"/>
                    <pic:cNvPicPr>
                      <a:picLocks noChangeArrowheads="1" noChangeAspect="1"/>
                    </pic:cNvPicPr>
                  </pic:nvPicPr>
                  <pic:blipFill>
                    <a:blip r:embed="rId71"/>
                    <a:stretch>
                      <a:fillRect/>
                    </a:stretch>
                  </pic:blipFill>
                  <pic:spPr bwMode="auto">
                    <a:xfrm>
                      <a:off x="0" y="0"/>
                      <a:ext cx="5943600" cy="5248831"/>
                    </a:xfrm>
                    <a:prstGeom prst="rect">
                      <a:avLst/>
                    </a:prstGeom>
                    <a:noFill/>
                    <a:ln w="9525">
                      <a:noFill/>
                      <a:headEnd/>
                      <a:tailEnd/>
                    </a:ln>
                  </pic:spPr>
                </pic:pic>
              </a:graphicData>
            </a:graphic>
          </wp:inline>
        </w:drawing>
      </w:r>
    </w:p>
    <w:bookmarkEnd w:id="74"/>
    <w:p>
      <w:pPr>
        <w:pStyle w:val="AfterWithoutNote"/>
      </w:pPr>
      <w:r>
        <w:t xml:space="preserve">These aggregate results establish the unguided interference component.</w:t>
      </w:r>
      <w:r>
        <w:t xml:space="preserve"> </w:t>
      </w:r>
      <w:r>
        <w:t xml:space="preserve">The diagnostics below first show how this redistribution appears across encoded positions, then examine how it follows from context overlap; Simulation 2 then asks which deliberate-retrieval controls attenuate this loss.</w:t>
      </w:r>
      <w:r>
        <w:t xml:space="preserve"> </w:t>
      </w:r>
      <w:hyperlink w:anchor="tbl-simulation1-phase-settings">
        <w:r>
          <w:rPr>
            <w:rStyle w:val="Hyperlink"/>
          </w:rPr>
          <w:t xml:space="preserve">Table 4</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strength, serial-position curves show retrieval-test outcomes sorted by where each item appeared in the encoded sequence.</w:t>
      </w:r>
      <w:r>
        <w:t xml:space="preserve"> </w:t>
      </w:r>
      <w:hyperlink w:anchor="fig-simulation1-context-overlap">
        <w:r>
          <w:rPr>
            <w:rStyle w:val="Hyperlink"/>
          </w:rPr>
          <w:t xml:space="preserve">Figure 7</w:t>
        </w:r>
      </w:hyperlink>
      <w:r>
        <w:t xml:space="preserve"> </w:t>
      </w:r>
      <w:r>
        <w:t xml:space="preserve">inspects the context-overlap structure that helps explain the aggregate film and task output in</w:t>
      </w:r>
      <w:r>
        <w:t xml:space="preserve"> </w:t>
      </w:r>
      <w:hyperlink w:anchor="fig-simulation1-unguided-sequence">
        <w:r>
          <w:rPr>
            <w:rStyle w:val="Hyperlink"/>
          </w:rPr>
          <w:t xml:space="preserve">Figure 5</w:t>
        </w:r>
      </w:hyperlink>
      <w:r>
        <w:t xml:space="preserve">.</w:t>
      </w:r>
      <w:r>
        <w:t xml:space="preserve"> </w:t>
      </w:r>
      <w:r>
        <w:t xml:space="preserve">The context-similarity analysis asks how similar each film-encoding context is to the contexts active while task items are encoded, using cosine similarity over unit-normalized temporal context states.</w:t>
      </w:r>
    </w:p>
    <w:bookmarkStart w:id="75" w:name="tbl-simulation1-phase-settings"/>
    <w:p>
      <w:pPr>
        <w:pStyle w:val="FigureTitle"/>
      </w:pPr>
      <w:r>
        <w:t xml:space="preserve">Table 4</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1.0 or 2.0</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75"/>
    <w:p>
      <w:pPr>
        <w:pStyle w:val="AfterWithoutNote"/>
      </w:pPr>
      <w:r>
        <w:t xml:space="preserve"> </w:t>
      </w:r>
    </w:p>
    <w:bookmarkStart w:id="79"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77" name="Picture"/>
            <a:graphic>
              <a:graphicData uri="http://schemas.openxmlformats.org/drawingml/2006/picture">
                <pic:pic>
                  <pic:nvPicPr>
                    <pic:cNvPr descr="work/simulation1_unguided_cued/simulation1_unguided_cued_recall_distributions.png" id="78" name="Picture"/>
                    <pic:cNvPicPr>
                      <a:picLocks noChangeArrowheads="1" noChangeAspect="1"/>
                    </pic:cNvPicPr>
                  </pic:nvPicPr>
                  <pic:blipFill>
                    <a:blip r:embed="rId76"/>
                    <a:stretch>
                      <a:fillRect/>
                    </a:stretch>
                  </pic:blipFill>
                  <pic:spPr bwMode="auto">
                    <a:xfrm>
                      <a:off x="0" y="0"/>
                      <a:ext cx="5943600" cy="5583695"/>
                    </a:xfrm>
                    <a:prstGeom prst="rect">
                      <a:avLst/>
                    </a:prstGeom>
                    <a:noFill/>
                    <a:ln w="9525">
                      <a:noFill/>
                      <a:headEnd/>
                      <a:tailEnd/>
                    </a:ln>
                  </pic:spPr>
                </pic:pic>
              </a:graphicData>
            </a:graphic>
          </wp:inline>
        </w:drawing>
      </w:r>
    </w:p>
    <w:bookmarkEnd w:id="79"/>
    <w:p>
      <w:pPr>
        <w:pStyle w:val="AfterWithoutNote"/>
      </w:pPr>
      <w:r>
        <w:t xml:space="preserve">Without a pre-task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The condition with a pre-task film reminder therefore shows that task encoding strength matters most when task items are encoded in a film-related context state.</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83"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1" name="Picture"/>
            <a:graphic>
              <a:graphicData uri="http://schemas.openxmlformats.org/drawingml/2006/picture">
                <pic:pic>
                  <pic:nvPicPr>
                    <pic:cNvPr descr="work/simulation1_unguided_cued/simulation1_unguided_cued_context_overlap.png" id="82" name="Picture"/>
                    <pic:cNvPicPr>
                      <a:picLocks noChangeArrowheads="1" noChangeAspect="1"/>
                    </pic:cNvPicPr>
                  </pic:nvPicPr>
                  <pic:blipFill>
                    <a:blip r:embed="rId80"/>
                    <a:stretch>
                      <a:fillRect/>
                    </a:stretch>
                  </pic:blipFill>
                  <pic:spPr bwMode="auto">
                    <a:xfrm>
                      <a:off x="0" y="0"/>
                      <a:ext cx="5943600" cy="5653668"/>
                    </a:xfrm>
                    <a:prstGeom prst="rect">
                      <a:avLst/>
                    </a:prstGeom>
                    <a:noFill/>
                    <a:ln w="9525">
                      <a:noFill/>
                      <a:headEnd/>
                      <a:tailEnd/>
                    </a:ln>
                  </pic:spPr>
                </pic:pic>
              </a:graphicData>
            </a:graphic>
          </wp:inline>
        </w:drawing>
      </w:r>
    </w:p>
    <w:bookmarkEnd w:id="83"/>
    <w:p>
      <w:pPr>
        <w:pStyle w:val="AfterWithoutNote"/>
      </w:pPr>
      <w:hyperlink w:anchor="fig-simulation1-context-overlap">
        <w:r>
          <w:rPr>
            <w:rStyle w:val="Hyperlink"/>
          </w:rPr>
          <w:t xml:space="preserve">Figure 7</w:t>
        </w:r>
      </w:hyperlink>
      <w:r>
        <w:t xml:space="preserve"> </w:t>
      </w:r>
      <w:r>
        <w:t xml:space="preserve">explains why the no-reminder and with-reminder curves diverge.</w:t>
      </w:r>
      <w:r>
        <w:t xml:space="preserve"> </w:t>
      </w:r>
      <w:r>
        <w:t xml:space="preserve">Panel A summarizes temporal-context overlap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B shows the corresponding film-position by task-position overlap matrix.</w:t>
      </w:r>
      <w:r>
        <w:t xml:space="preserve"> </w:t>
      </w:r>
      <w:r>
        <w:t xml:space="preserve">Task encoding strength then determines how strongly task items are bound to these overlapping task-encoding contexts, while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through start-of-film context reinstatement, a maintained film-retrieval goal, and retrieval monitoring.</w:t>
      </w:r>
    </w:p>
    <w:bookmarkEnd w:id="84"/>
    <w:bookmarkStart w:id="105"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examines when deliberate film recall remains protected as reminder condition and task encoding strength are crossed.</w:t>
      </w:r>
      <w:r>
        <w:t xml:space="preserve"> </w:t>
      </w:r>
      <w:r>
        <w:t xml:space="preserve">The deliberate-recall setting combines three control mechanisms: start-of-film context reinstatement, a maintained film-retrieval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film-retrieval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88"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film-retrieval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86" name="Picture"/>
            <a:graphic>
              <a:graphicData uri="http://schemas.openxmlformats.org/drawingml/2006/picture">
                <pic:pic>
                  <pic:nvPicPr>
                    <pic:cNvPr descr="work/simulation2_control_cued_behavioral/simulation2_control_cued_behavioral.png" id="87" name="Picture"/>
                    <pic:cNvPicPr>
                      <a:picLocks noChangeArrowheads="1" noChangeAspect="1"/>
                    </pic:cNvPicPr>
                  </pic:nvPicPr>
                  <pic:blipFill>
                    <a:blip r:embed="rId85"/>
                    <a:stretch>
                      <a:fillRect/>
                    </a:stretch>
                  </pic:blipFill>
                  <pic:spPr bwMode="auto">
                    <a:xfrm>
                      <a:off x="0" y="0"/>
                      <a:ext cx="5943600" cy="3596194"/>
                    </a:xfrm>
                    <a:prstGeom prst="rect">
                      <a:avLst/>
                    </a:prstGeom>
                    <a:noFill/>
                    <a:ln w="9525">
                      <a:noFill/>
                      <a:headEnd/>
                      <a:tailEnd/>
                    </a:ln>
                  </pic:spPr>
                </pic:pic>
              </a:graphicData>
            </a:graphic>
          </wp:inline>
        </w:drawing>
      </w:r>
    </w:p>
    <w:bookmarkEnd w:id="88"/>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92"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90" name="Picture"/>
            <a:graphic>
              <a:graphicData uri="http://schemas.openxmlformats.org/drawingml/2006/picture">
                <pic:pic>
                  <pic:nvPicPr>
                    <pic:cNvPr descr="work/simulation2_retrieval_control_decomposition/simulation2_retrieval_control_decomposition.png" id="91" name="Picture"/>
                    <pic:cNvPicPr>
                      <a:picLocks noChangeArrowheads="1" noChangeAspect="1"/>
                    </pic:cNvPicPr>
                  </pic:nvPicPr>
                  <pic:blipFill>
                    <a:blip r:embed="rId89"/>
                    <a:stretch>
                      <a:fillRect/>
                    </a:stretch>
                  </pic:blipFill>
                  <pic:spPr bwMode="auto">
                    <a:xfrm>
                      <a:off x="0" y="0"/>
                      <a:ext cx="5943600" cy="2657138"/>
                    </a:xfrm>
                    <a:prstGeom prst="rect">
                      <a:avLst/>
                    </a:prstGeom>
                    <a:noFill/>
                    <a:ln w="9525">
                      <a:noFill/>
                      <a:headEnd/>
                      <a:tailEnd/>
                    </a:ln>
                  </pic:spPr>
                </pic:pic>
              </a:graphicData>
            </a:graphic>
          </wp:inline>
        </w:drawing>
      </w:r>
    </w:p>
    <w:bookmarkEnd w:id="92"/>
    <w:p>
      <w:pPr>
        <w:pStyle w:val="AfterWithoutNote"/>
      </w:pPr>
      <w:r>
        <w:t xml:space="preserve">Figure</w:t>
      </w:r>
      <w:r>
        <w:t xml:space="preserve"> </w:t>
      </w:r>
      <w:hyperlink w:anchor="X3f1d862adb125e692948a0e1917736f72c3ad35">
        <w:r>
          <w:rPr>
            <w:rStyle w:val="Hyperlink"/>
          </w:rPr>
          <w:t xml:space="preserve">Figure 9</w:t>
        </w:r>
      </w:hyperlink>
      <w:r>
        <w:t xml:space="preserve"> </w:t>
      </w:r>
      <w:r>
        <w:t xml:space="preserve">shows that endpoint loss remains large when the film-retrieval goal is absent.</w:t>
      </w:r>
      <w:r>
        <w:t xml:space="preserve"> </w:t>
      </w:r>
      <w:r>
        <w:t xml:space="preserve">Start-of-film reinstatement and retrieval monitoring increase film recall in some conditions, yet the smallest endpoint differences occur in the goal-present conditions.</w:t>
      </w:r>
      <w:r>
        <w:t xml:space="preserve"> </w:t>
      </w:r>
      <w:r>
        <w:t xml:space="preserve">The key protection comes from film-directed support that task competitors do not receive.</w:t>
      </w:r>
    </w:p>
    <w:bookmarkStart w:id="96" w:name="X6daa0b906c5e98f8ec58936bb9080f274712771"/>
    <w:p>
      <w:pPr>
        <w:pStyle w:val="FigureTitle"/>
      </w:pPr>
      <w:r>
        <w:t xml:space="preserve">Figure 10</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an internally maintained retrieval state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adds the film-retrieval goal to the film-directed retrieval cue.</w:t>
      </w:r>
      <w:r>
        <w:t xml:space="preserve"> </w:t>
      </w:r>
      <w:r>
        <w:t xml:space="preserve">Brighter cells indicate greater overlap with task-encoding context.</w:t>
      </w:r>
      <w:r>
        <w:t xml:space="preserve"> </w:t>
      </w:r>
      <w:r>
        <w:t xml:space="preserve">Adding the film-retrieval goal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94" name="Picture"/>
            <a:graphic>
              <a:graphicData uri="http://schemas.openxmlformats.org/drawingml/2006/picture">
                <pic:pic>
                  <pic:nvPicPr>
                    <pic:cNvPr descr="work/simulation2_film_retrieval_goal_context_overlap/simulation2_film_retrieval_goal_context_overlap.png" id="95" name="Picture"/>
                    <pic:cNvPicPr>
                      <a:picLocks noChangeArrowheads="1" noChangeAspect="1"/>
                    </pic:cNvPicPr>
                  </pic:nvPicPr>
                  <pic:blipFill>
                    <a:blip r:embed="rId93"/>
                    <a:stretch>
                      <a:fillRect/>
                    </a:stretch>
                  </pic:blipFill>
                  <pic:spPr bwMode="auto">
                    <a:xfrm>
                      <a:off x="0" y="0"/>
                      <a:ext cx="5943600" cy="5653668"/>
                    </a:xfrm>
                    <a:prstGeom prst="rect">
                      <a:avLst/>
                    </a:prstGeom>
                    <a:noFill/>
                    <a:ln w="9525">
                      <a:noFill/>
                      <a:headEnd/>
                      <a:tailEnd/>
                    </a:ln>
                  </pic:spPr>
                </pic:pic>
              </a:graphicData>
            </a:graphic>
          </wp:inline>
        </w:drawing>
      </w:r>
    </w:p>
    <w:bookmarkEnd w:id="96"/>
    <w:p>
      <w:pPr>
        <w:pStyle w:val="AfterWithoutNote"/>
      </w:pPr>
      <w:r>
        <w:t xml:space="preserve">Figure</w:t>
      </w:r>
      <w:r>
        <w:t xml:space="preserve"> </w:t>
      </w:r>
      <w:hyperlink w:anchor="X6daa0b906c5e98f8ec58936bb9080f274712771">
        <w:r>
          <w:rPr>
            <w:rStyle w:val="Hyperlink"/>
          </w:rPr>
          <w:t xml:space="preserve">Figure 10</w:t>
        </w:r>
      </w:hyperlink>
      <w:r>
        <w:t xml:space="preserve"> </w:t>
      </w:r>
      <w:r>
        <w:t xml:space="preserve">explains why the goal-present conditions are less affected by reminder-linked task encoding.</w:t>
      </w:r>
      <w:r>
        <w:t xml:space="preserve"> </w:t>
      </w:r>
      <w:r>
        <w:t xml:space="preserve">Adding the goal lowers task overlap with film-directed retrieval cues, so deliberate recall can favor film items without relying as strongly on temporal context that also supports task competitors.</w:t>
      </w:r>
    </w:p>
    <w:p>
      <w:pPr>
        <w:pStyle w:val="BodyText"/>
      </w:pPr>
      <w:r>
        <w:t xml:space="preserve">The remaining diagnostics show how the other controls help without providing the same broad protection.</w:t>
      </w:r>
      <w:r>
        <w:t xml:space="preserve"> </w:t>
      </w:r>
      <w:r>
        <w:t xml:space="preserve">Start-of-film context reinstatement changes where search begins, so its benefits are concentrated around early film positions.</w:t>
      </w:r>
    </w:p>
    <w:bookmarkStart w:id="100"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98" name="Picture"/>
            <a:graphic>
              <a:graphicData uri="http://schemas.openxmlformats.org/drawingml/2006/picture">
                <pic:pic>
                  <pic:nvPicPr>
                    <pic:cNvPr descr="work/simulation2_start_context_reinstatement/simulation2_start_context_reinstatement.png" id="99" name="Picture"/>
                    <pic:cNvPicPr>
                      <a:picLocks noChangeArrowheads="1" noChangeAspect="1"/>
                    </pic:cNvPicPr>
                  </pic:nvPicPr>
                  <pic:blipFill>
                    <a:blip r:embed="rId97"/>
                    <a:stretch>
                      <a:fillRect/>
                    </a:stretch>
                  </pic:blipFill>
                  <pic:spPr bwMode="auto">
                    <a:xfrm>
                      <a:off x="0" y="0"/>
                      <a:ext cx="5943600" cy="5612321"/>
                    </a:xfrm>
                    <a:prstGeom prst="rect">
                      <a:avLst/>
                    </a:prstGeom>
                    <a:noFill/>
                    <a:ln w="9525">
                      <a:noFill/>
                      <a:headEnd/>
                      <a:tailEnd/>
                    </a:ln>
                  </pic:spPr>
                </pic:pic>
              </a:graphicData>
            </a:graphic>
          </wp:inline>
        </w:drawing>
      </w:r>
    </w:p>
    <w:bookmarkEnd w:id="100"/>
    <w:p>
      <w:pPr>
        <w:pStyle w:val="AfterWithoutNote"/>
      </w:pPr>
      <w:r>
        <w:t xml:space="preserve">Retrieval monitoring addresses a later part of the retrieval sequence.</w:t>
      </w:r>
      <w:r>
        <w:t xml:space="preserve"> </w:t>
      </w:r>
      <w:r>
        <w:t xml:space="preserve">When search samples a non-film item, monitoring limits how strongly that sample redirects subsequent retrieval.</w:t>
      </w:r>
    </w:p>
    <w:bookmarkStart w:id="104"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102" name="Picture"/>
            <a:graphic>
              <a:graphicData uri="http://schemas.openxmlformats.org/drawingml/2006/picture">
                <pic:pic>
                  <pic:nvPicPr>
                    <pic:cNvPr descr="work/simulation2_target_monitoring_diagnostic/simulation2_target_monitoring_diagnostic.png" id="103" name="Picture"/>
                    <pic:cNvPicPr>
                      <a:picLocks noChangeArrowheads="1" noChangeAspect="1"/>
                    </pic:cNvPicPr>
                  </pic:nvPicPr>
                  <pic:blipFill>
                    <a:blip r:embed="rId101"/>
                    <a:stretch>
                      <a:fillRect/>
                    </a:stretch>
                  </pic:blipFill>
                  <pic:spPr bwMode="auto">
                    <a:xfrm>
                      <a:off x="0" y="0"/>
                      <a:ext cx="5943600" cy="5638967"/>
                    </a:xfrm>
                    <a:prstGeom prst="rect">
                      <a:avLst/>
                    </a:prstGeom>
                    <a:noFill/>
                    <a:ln w="9525">
                      <a:noFill/>
                      <a:headEnd/>
                      <a:tailEnd/>
                    </a:ln>
                  </pic:spPr>
                </pic:pic>
              </a:graphicData>
            </a:graphic>
          </wp:inline>
        </w:drawing>
      </w:r>
    </w:p>
    <w:bookmarkEnd w:id="104"/>
    <w:bookmarkEnd w:id="105"/>
    <w:bookmarkStart w:id="110" w:name="recognition-like-test-format"/>
    <w:p>
      <w:pPr>
        <w:pStyle w:val="Heading2"/>
      </w:pPr>
      <w:r>
        <w:t xml:space="preserve">Recognition-Like Test Format</w:t>
      </w:r>
    </w:p>
    <w:p>
      <w:pPr>
        <w:pStyle w:val="FirstParagraph"/>
      </w:pPr>
      <w:r>
        <w:t xml:space="preserve">Recognition tests in the trauma-film literature present candidate film stills or statements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Here, the model isolates the access step that recognition provides.</w:t>
      </w:r>
      <w:r>
        <w:t xml:space="preserve"> </w:t>
      </w:r>
      <w:r>
        <w:t xml:space="preserve">The candidate film item is available first and can reinstate associated context before any need for that item to win a context-to-item recall competition.</w:t>
      </w:r>
      <w:r>
        <w:t xml:space="preserve"> </w:t>
      </w:r>
      <w:r>
        <w:t xml:space="preserve">This analysis does not model decision criteria, confidence, or complete foil processing.</w:t>
      </w:r>
      <w:r>
        <w:t xml:space="preserve"> </w:t>
      </w:r>
      <w:r>
        <w:t xml:space="preserve">It asks whether presenting the candidate item changes where reminder-linked task competition enters retrieval.</w:t>
      </w:r>
    </w:p>
    <w:bookmarkStart w:id="109"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available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reminder-linked task items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tested film item is already available.</w:t>
      </w:r>
      <w:r>
        <w:t xml:space="preserve"> </w:t>
      </w:r>
      <w:r>
        <w:t xml:space="preserve">The item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Film recognition accuracy is plotted across the same reminder and task-encoding conditions used in the recall simulations.</w:t>
      </w:r>
      <w:r>
        <w:t xml:space="preserve"> </w:t>
      </w:r>
      <w:r>
        <w:t xml:space="preserve">Accuracy is hit rate minus false-alarm rate for unstudied film-like lures.</w:t>
      </w:r>
      <w:r>
        <w:t xml:space="preserve"> </w:t>
      </w:r>
      <w:r>
        <w:t xml:space="preserve">The reminder-plus-strong-task condition does not produce a corresponding reduction in recognition accuracy.</w:t>
      </w:r>
    </w:p>
    <w:p>
      <w:pPr>
        <w:pStyle w:val="FigureWithoutNote"/>
      </w:pPr>
      <w:r>
        <w:drawing>
          <wp:inline>
            <wp:extent cx="5943600" cy="4316185"/>
            <wp:effectExtent b="0" l="0" r="0" t="0"/>
            <wp:docPr descr="" title="" id="107" name="Picture"/>
            <a:graphic>
              <a:graphicData uri="http://schemas.openxmlformats.org/drawingml/2006/picture">
                <pic:pic>
                  <pic:nvPicPr>
                    <pic:cNvPr descr="work/simulation4_recognition_full_figure/item_context_recognition.png" id="108" name="Picture"/>
                    <pic:cNvPicPr>
                      <a:picLocks noChangeArrowheads="1" noChangeAspect="1"/>
                    </pic:cNvPicPr>
                  </pic:nvPicPr>
                  <pic:blipFill>
                    <a:blip r:embed="rId106"/>
                    <a:stretch>
                      <a:fillRect/>
                    </a:stretch>
                  </pic:blipFill>
                  <pic:spPr bwMode="auto">
                    <a:xfrm>
                      <a:off x="0" y="0"/>
                      <a:ext cx="5943600" cy="4316185"/>
                    </a:xfrm>
                    <a:prstGeom prst="rect">
                      <a:avLst/>
                    </a:prstGeom>
                    <a:noFill/>
                    <a:ln w="9525">
                      <a:noFill/>
                      <a:headEnd/>
                      <a:tailEnd/>
                    </a:ln>
                  </pic:spPr>
                </pic:pic>
              </a:graphicData>
            </a:graphic>
          </wp:inline>
        </w:drawing>
      </w:r>
    </w:p>
    <w:bookmarkEnd w:id="109"/>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In context-guided recall, reminder-linked task items can compete when the current context supports both film and task candidates.</w:t>
      </w:r>
      <w:r>
        <w:t xml:space="preserve"> </w:t>
      </w:r>
      <w:r>
        <w:t xml:space="preserve">In recognition-like tests, the presented candidate item reinstates context directly.</w:t>
      </w:r>
      <w:r>
        <w:t xml:space="preserve"> </w:t>
      </w:r>
      <w:r>
        <w:t xml:space="preserve">The task items created by reminder-linked encoding therefore have less opportunity to compete at the initial access step, even though the same learned associations are present in memory.</w:t>
      </w:r>
    </w:p>
    <w:bookmarkEnd w:id="110"/>
    <w:bookmarkEnd w:id="111"/>
    <w:bookmarkStart w:id="112" w:name="general-discussion"/>
    <w:p>
      <w:pPr>
        <w:pStyle w:val="Heading1"/>
      </w:pPr>
      <w:r>
        <w:t xml:space="preserve">General Discussion</w:t>
      </w:r>
    </w:p>
    <w:bookmarkEnd w:id="112"/>
    <w:bookmarkStart w:id="211" w:name="references"/>
    <w:p>
      <w:pPr>
        <w:pStyle w:val="Heading1"/>
      </w:pPr>
      <w:r>
        <w:t xml:space="preserve">References</w:t>
      </w:r>
    </w:p>
    <w:bookmarkStart w:id="210" w:name="refs"/>
    <w:bookmarkStart w:id="114"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3">
        <w:r>
          <w:rPr>
            <w:rStyle w:val="Hyperlink"/>
          </w:rPr>
          <w:t xml:space="preserve">https://doi.org/10.1016/j.jbtep.2023.101920</w:t>
        </w:r>
      </w:hyperlink>
    </w:p>
    <w:bookmarkEnd w:id="114"/>
    <w:bookmarkStart w:id="116"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5">
        <w:r>
          <w:rPr>
            <w:rStyle w:val="Hyperlink"/>
          </w:rPr>
          <w:t xml:space="preserve">https://doi.org/10.1016/j.jpsychires.2023.01.028</w:t>
        </w:r>
      </w:hyperlink>
    </w:p>
    <w:bookmarkEnd w:id="116"/>
    <w:bookmarkStart w:id="118"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17">
        <w:r>
          <w:rPr>
            <w:rStyle w:val="Hyperlink"/>
          </w:rPr>
          <w:t xml:space="preserve">https://doi.org/10.1037/0096-3445.129.1.126</w:t>
        </w:r>
      </w:hyperlink>
    </w:p>
    <w:bookmarkEnd w:id="118"/>
    <w:bookmarkStart w:id="120"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19">
        <w:r>
          <w:rPr>
            <w:rStyle w:val="Hyperlink"/>
          </w:rPr>
          <w:t xml:space="preserve">https://doi.org/10.1016/s2215-0366(25)00397-9</w:t>
        </w:r>
      </w:hyperlink>
    </w:p>
    <w:bookmarkEnd w:id="120"/>
    <w:bookmarkStart w:id="122"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1">
        <w:r>
          <w:rPr>
            <w:rStyle w:val="Hyperlink"/>
          </w:rPr>
          <w:t xml:space="preserve">https://doi.org/10.1037/a0033722</w:t>
        </w:r>
      </w:hyperlink>
    </w:p>
    <w:bookmarkEnd w:id="122"/>
    <w:bookmarkStart w:id="124"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3">
        <w:r>
          <w:rPr>
            <w:rStyle w:val="Hyperlink"/>
          </w:rPr>
          <w:t xml:space="preserve">https://doi.org/10.1037/0033-295X.103.4.670</w:t>
        </w:r>
      </w:hyperlink>
    </w:p>
    <w:bookmarkEnd w:id="124"/>
    <w:bookmarkStart w:id="126"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25">
        <w:r>
          <w:rPr>
            <w:rStyle w:val="Hyperlink"/>
          </w:rPr>
          <w:t xml:space="preserve">https://doi.org/10.1037/a0018113</w:t>
        </w:r>
      </w:hyperlink>
    </w:p>
    <w:bookmarkEnd w:id="126"/>
    <w:bookmarkStart w:id="128"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27">
        <w:r>
          <w:rPr>
            <w:rStyle w:val="Hyperlink"/>
          </w:rPr>
          <w:t xml:space="preserve">https://doi.org/10.1037/rev0000334</w:t>
        </w:r>
      </w:hyperlink>
    </w:p>
    <w:bookmarkEnd w:id="128"/>
    <w:bookmarkStart w:id="130"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29">
        <w:r>
          <w:rPr>
            <w:rStyle w:val="Hyperlink"/>
          </w:rPr>
          <w:t xml:space="preserve">https://doi.org/10.1016/j.jbtep.2011.10.008</w:t>
        </w:r>
      </w:hyperlink>
    </w:p>
    <w:bookmarkEnd w:id="130"/>
    <w:bookmarkStart w:id="131"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1"/>
    <w:bookmarkStart w:id="133"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2">
        <w:r>
          <w:rPr>
            <w:rStyle w:val="Hyperlink"/>
          </w:rPr>
          <w:t xml:space="preserve">https://doi.org/10.1016/S0005-7967(99)00123-0</w:t>
        </w:r>
      </w:hyperlink>
    </w:p>
    <w:bookmarkEnd w:id="133"/>
    <w:bookmarkStart w:id="135"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34">
        <w:r>
          <w:rPr>
            <w:rStyle w:val="Hyperlink"/>
          </w:rPr>
          <w:t xml:space="preserve">https://doi.org/10.1037/rev0000015</w:t>
        </w:r>
      </w:hyperlink>
    </w:p>
    <w:bookmarkEnd w:id="135"/>
    <w:bookmarkStart w:id="137"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36">
        <w:r>
          <w:rPr>
            <w:rStyle w:val="Hyperlink"/>
          </w:rPr>
          <w:t xml:space="preserve">https://doi.org/10.1016/j.jbtep.2023.101858</w:t>
        </w:r>
      </w:hyperlink>
    </w:p>
    <w:bookmarkEnd w:id="137"/>
    <w:bookmarkStart w:id="139"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38">
        <w:r>
          <w:rPr>
            <w:rStyle w:val="Hyperlink"/>
          </w:rPr>
          <w:t xml:space="preserve">https://doi.org/10.1016/j.actpsy.2007.11.002</w:t>
        </w:r>
      </w:hyperlink>
    </w:p>
    <w:bookmarkEnd w:id="139"/>
    <w:bookmarkStart w:id="141"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40">
        <w:r>
          <w:rPr>
            <w:rStyle w:val="Hyperlink"/>
          </w:rPr>
          <w:t xml:space="preserve">https://doi.org/10.1037/0096-3445.133.1.3</w:t>
        </w:r>
      </w:hyperlink>
    </w:p>
    <w:bookmarkEnd w:id="141"/>
    <w:bookmarkStart w:id="143"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42">
        <w:r>
          <w:rPr>
            <w:rStyle w:val="Hyperlink"/>
          </w:rPr>
          <w:t xml:space="preserve">https://doi.org/10.1371/journal.pone.0004153</w:t>
        </w:r>
      </w:hyperlink>
    </w:p>
    <w:bookmarkEnd w:id="143"/>
    <w:bookmarkStart w:id="145"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44">
        <w:r>
          <w:rPr>
            <w:rStyle w:val="Hyperlink"/>
          </w:rPr>
          <w:t xml:space="preserve">https://doi.org/10.1371/journal.pone.0013706</w:t>
        </w:r>
      </w:hyperlink>
    </w:p>
    <w:bookmarkEnd w:id="145"/>
    <w:bookmarkStart w:id="147"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46">
        <w:r>
          <w:rPr>
            <w:rStyle w:val="Hyperlink"/>
          </w:rPr>
          <w:t xml:space="preserve">https://doi.org/10.1016/j.brat.2017.03.018</w:t>
        </w:r>
      </w:hyperlink>
    </w:p>
    <w:bookmarkEnd w:id="147"/>
    <w:bookmarkStart w:id="149"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48">
        <w:r>
          <w:rPr>
            <w:rStyle w:val="Hyperlink"/>
          </w:rPr>
          <w:t xml:space="preserve">https://doi.org/10.1006/jmps.2001.1388</w:t>
        </w:r>
      </w:hyperlink>
    </w:p>
    <w:bookmarkEnd w:id="149"/>
    <w:bookmarkStart w:id="150"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50"/>
    <w:bookmarkStart w:id="152"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51">
        <w:r>
          <w:rPr>
            <w:rStyle w:val="Hyperlink"/>
          </w:rPr>
          <w:t xml:space="preserve">https://doi.org/10.1038/mp.2017.23</w:t>
        </w:r>
      </w:hyperlink>
    </w:p>
    <w:bookmarkEnd w:id="152"/>
    <w:bookmarkStart w:id="154"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53">
        <w:r>
          <w:rPr>
            <w:rStyle w:val="Hyperlink"/>
          </w:rPr>
          <w:t xml:space="preserve">https://doi.org/10.1038/s41398-023-02578-0</w:t>
        </w:r>
      </w:hyperlink>
    </w:p>
    <w:bookmarkEnd w:id="154"/>
    <w:bookmarkStart w:id="156"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55">
        <w:r>
          <w:rPr>
            <w:rStyle w:val="Hyperlink"/>
          </w:rPr>
          <w:t xml:space="preserve">https://doi.org/10.1016/j.cpr.2018.08.005</w:t>
        </w:r>
      </w:hyperlink>
    </w:p>
    <w:bookmarkEnd w:id="156"/>
    <w:bookmarkStart w:id="158"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57">
        <w:r>
          <w:rPr>
            <w:rStyle w:val="Hyperlink"/>
          </w:rPr>
          <w:t xml:space="preserve">https://doi.org/10.1177/0956797615583071</w:t>
        </w:r>
      </w:hyperlink>
    </w:p>
    <w:bookmarkEnd w:id="158"/>
    <w:bookmarkStart w:id="160"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59">
        <w:r>
          <w:rPr>
            <w:rStyle w:val="Hyperlink"/>
          </w:rPr>
          <w:t xml:space="preserve">https://doi.org/10.1016/j.cpr.2016.04.010</w:t>
        </w:r>
      </w:hyperlink>
    </w:p>
    <w:bookmarkEnd w:id="160"/>
    <w:bookmarkStart w:id="161"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61"/>
    <w:bookmarkStart w:id="163"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62">
        <w:r>
          <w:rPr>
            <w:rStyle w:val="Hyperlink"/>
          </w:rPr>
          <w:t xml:space="preserve">https://doi.org/10.1146/annurev-psych-010418-103358</w:t>
        </w:r>
      </w:hyperlink>
    </w:p>
    <w:bookmarkEnd w:id="163"/>
    <w:bookmarkStart w:id="165"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64">
        <w:r>
          <w:rPr>
            <w:rStyle w:val="Hyperlink"/>
          </w:rPr>
          <w:t xml:space="preserve">https://doi.org/10.1002/cpp.2489</w:t>
        </w:r>
      </w:hyperlink>
    </w:p>
    <w:bookmarkEnd w:id="165"/>
    <w:bookmarkStart w:id="167"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66">
        <w:r>
          <w:rPr>
            <w:rStyle w:val="Hyperlink"/>
          </w:rPr>
          <w:t xml:space="preserve">https://doi.org/10.1186/s12916-024-03569-8</w:t>
        </w:r>
      </w:hyperlink>
    </w:p>
    <w:bookmarkEnd w:id="167"/>
    <w:bookmarkStart w:id="169"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68">
        <w:r>
          <w:rPr>
            <w:rStyle w:val="Hyperlink"/>
          </w:rPr>
          <w:t xml:space="preserve">https://doi.org/10.1016/j.jbtep.2019.01.006</w:t>
        </w:r>
      </w:hyperlink>
    </w:p>
    <w:bookmarkEnd w:id="169"/>
    <w:bookmarkStart w:id="171"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70">
        <w:r>
          <w:rPr>
            <w:rStyle w:val="Hyperlink"/>
          </w:rPr>
          <w:t xml:space="preserve">https://doi.org/10.1038/nn.2271</w:t>
        </w:r>
      </w:hyperlink>
    </w:p>
    <w:bookmarkEnd w:id="171"/>
    <w:bookmarkStart w:id="173"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72">
        <w:r>
          <w:rPr>
            <w:rStyle w:val="Hyperlink"/>
          </w:rPr>
          <w:t xml:space="preserve">https://doi.org/10.1523/JNEUROSCI.3378-14.2015</w:t>
        </w:r>
      </w:hyperlink>
    </w:p>
    <w:bookmarkEnd w:id="173"/>
    <w:bookmarkStart w:id="175"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74">
        <w:r>
          <w:rPr>
            <w:rStyle w:val="Hyperlink"/>
          </w:rPr>
          <w:t xml:space="preserve">https://doi.org/10.1002/acp.1611</w:t>
        </w:r>
      </w:hyperlink>
    </w:p>
    <w:bookmarkEnd w:id="175"/>
    <w:bookmarkStart w:id="177"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76">
        <w:r>
          <w:rPr>
            <w:rStyle w:val="Hyperlink"/>
          </w:rPr>
          <w:t xml:space="preserve">https://doi.org/10.1037/xge0000598</w:t>
        </w:r>
      </w:hyperlink>
    </w:p>
    <w:bookmarkEnd w:id="177"/>
    <w:bookmarkStart w:id="179"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78">
        <w:r>
          <w:rPr>
            <w:rStyle w:val="Hyperlink"/>
          </w:rPr>
          <w:t xml:space="preserve">https://doi.org/10.1177/2167702621998315</w:t>
        </w:r>
      </w:hyperlink>
    </w:p>
    <w:bookmarkEnd w:id="179"/>
    <w:bookmarkStart w:id="181"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80">
        <w:r>
          <w:rPr>
            <w:rStyle w:val="Hyperlink"/>
          </w:rPr>
          <w:t xml:space="preserve">https://doi.org/10.1037/a0039036</w:t>
        </w:r>
      </w:hyperlink>
    </w:p>
    <w:bookmarkEnd w:id="181"/>
    <w:bookmarkStart w:id="183"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182">
        <w:r>
          <w:rPr>
            <w:rStyle w:val="Hyperlink"/>
          </w:rPr>
          <w:t xml:space="preserve">https://osf.io/preprints/psyarxiv/m3pnz_v1/</w:t>
        </w:r>
      </w:hyperlink>
    </w:p>
    <w:bookmarkEnd w:id="183"/>
    <w:bookmarkStart w:id="185"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184">
        <w:r>
          <w:rPr>
            <w:rStyle w:val="Hyperlink"/>
          </w:rPr>
          <w:t xml:space="preserve">https://doi.org/10.1016/j.jml.2015.10.002</w:t>
        </w:r>
      </w:hyperlink>
    </w:p>
    <w:bookmarkEnd w:id="185"/>
    <w:bookmarkStart w:id="187"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86">
        <w:r>
          <w:rPr>
            <w:rStyle w:val="Hyperlink"/>
          </w:rPr>
          <w:t xml:space="preserve">https://doi.org/10.1037/a0014420</w:t>
        </w:r>
      </w:hyperlink>
    </w:p>
    <w:bookmarkEnd w:id="187"/>
    <w:bookmarkStart w:id="189"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88">
        <w:r>
          <w:rPr>
            <w:rStyle w:val="Hyperlink"/>
          </w:rPr>
          <w:t xml:space="preserve">https://doi.org/10.1016/j.neuropsychologia.2009.02.013</w:t>
        </w:r>
      </w:hyperlink>
    </w:p>
    <w:bookmarkEnd w:id="189"/>
    <w:bookmarkStart w:id="191"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190">
        <w:r>
          <w:rPr>
            <w:rStyle w:val="Hyperlink"/>
          </w:rPr>
          <w:t xml:space="preserve">https://doi.org/10.1038/s41380-023-02062-7</w:t>
        </w:r>
      </w:hyperlink>
    </w:p>
    <w:bookmarkEnd w:id="191"/>
    <w:bookmarkStart w:id="193"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192">
        <w:r>
          <w:rPr>
            <w:rStyle w:val="Hyperlink"/>
          </w:rPr>
          <w:t xml:space="preserve">https://doi.org/10.1111/j.1467-9280.2005.01634.x</w:t>
        </w:r>
      </w:hyperlink>
    </w:p>
    <w:bookmarkEnd w:id="193"/>
    <w:bookmarkStart w:id="195"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94">
        <w:r>
          <w:rPr>
            <w:rStyle w:val="Hyperlink"/>
          </w:rPr>
          <w:t xml:space="preserve">https://doi.org/10.3758/s13423-011-0086-9</w:t>
        </w:r>
      </w:hyperlink>
    </w:p>
    <w:bookmarkEnd w:id="195"/>
    <w:bookmarkStart w:id="197"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96">
        <w:r>
          <w:rPr>
            <w:rStyle w:val="Hyperlink"/>
          </w:rPr>
          <w:t xml:space="preserve">https://doi.org/10.1037/a0013396</w:t>
        </w:r>
      </w:hyperlink>
    </w:p>
    <w:bookmarkEnd w:id="197"/>
    <w:bookmarkStart w:id="199" w:name="ref-singh2023daily"/>
    <w:p>
      <w:pPr>
        <w:pStyle w:val="Bibliography"/>
      </w:pPr>
      <w:r>
        <w:t xml:space="preserve">Singh, L., Ahmed Pihlgren, S., Holmes, E. A., &amp; Moulds, M. L. (2023). Using a daily diary for monitoring intrusive memories of trauma: A translational data synthesis study exploring convergent validity.</w:t>
      </w:r>
      <w:r>
        <w:t xml:space="preserve"> </w:t>
      </w:r>
      <w:r>
        <w:rPr>
          <w:i/>
          <w:iCs/>
        </w:rPr>
        <w:t xml:space="preserve">International Journal of Methods in Psychiatric Research</w:t>
      </w:r>
      <w:r>
        <w:t xml:space="preserve">,</w:t>
      </w:r>
      <w:r>
        <w:t xml:space="preserve"> </w:t>
      </w:r>
      <w:r>
        <w:rPr>
          <w:i/>
          <w:iCs/>
        </w:rPr>
        <w:t xml:space="preserve">32</w:t>
      </w:r>
      <w:r>
        <w:t xml:space="preserve">(1), e1936.</w:t>
      </w:r>
      <w:r>
        <w:t xml:space="preserve"> </w:t>
      </w:r>
      <w:hyperlink r:id="rId198">
        <w:r>
          <w:rPr>
            <w:rStyle w:val="Hyperlink"/>
          </w:rPr>
          <w:t xml:space="preserve">https://doi.org/10.1002/mpr.1936</w:t>
        </w:r>
      </w:hyperlink>
    </w:p>
    <w:bookmarkEnd w:id="199"/>
    <w:bookmarkStart w:id="201"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00">
        <w:r>
          <w:rPr>
            <w:rStyle w:val="Hyperlink"/>
          </w:rPr>
          <w:t xml:space="preserve">https://doi.org/10.1037/rev0000132</w:t>
        </w:r>
      </w:hyperlink>
    </w:p>
    <w:bookmarkEnd w:id="201"/>
    <w:bookmarkStart w:id="203"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02">
        <w:r>
          <w:rPr>
            <w:rStyle w:val="Hyperlink"/>
          </w:rPr>
          <w:t xml:space="preserve">https://doi.org/10.1038/s41562-024-01956-y</w:t>
        </w:r>
      </w:hyperlink>
    </w:p>
    <w:bookmarkEnd w:id="203"/>
    <w:bookmarkStart w:id="205"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04">
        <w:r>
          <w:rPr>
            <w:rStyle w:val="Hyperlink"/>
          </w:rPr>
          <w:t xml:space="preserve">https://doi.org/10.1525/collabra.130791</w:t>
        </w:r>
      </w:hyperlink>
    </w:p>
    <w:bookmarkEnd w:id="205"/>
    <w:bookmarkStart w:id="207"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06">
        <w:r>
          <w:rPr>
            <w:rStyle w:val="Hyperlink"/>
          </w:rPr>
          <w:t xml:space="preserve">https://doi.org/10.1037/0278-7393.32.4.792</w:t>
        </w:r>
      </w:hyperlink>
    </w:p>
    <w:bookmarkEnd w:id="207"/>
    <w:bookmarkStart w:id="209"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08">
        <w:r>
          <w:rPr>
            <w:rStyle w:val="Hyperlink"/>
          </w:rPr>
          <w:t xml:space="preserve">https://doi.org/10.1037/rev0000505</w:t>
        </w:r>
      </w:hyperlink>
    </w:p>
    <w:bookmarkEnd w:id="209"/>
    <w:bookmarkEnd w:id="210"/>
    <w:bookmarkEnd w:id="21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71" Target="media/rId7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89" Target="media/rId89.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6" Target="media/rId106.png" /><Relationship Type="http://schemas.openxmlformats.org/officeDocument/2006/relationships/hyperlink" Id="rId174" Target="https://doi.org/10.1002/acp.1611" TargetMode="External" /><Relationship Type="http://schemas.openxmlformats.org/officeDocument/2006/relationships/hyperlink" Id="rId164" Target="https://doi.org/10.1002/cpp.2489" TargetMode="External" /><Relationship Type="http://schemas.openxmlformats.org/officeDocument/2006/relationships/hyperlink" Id="rId198" Target="https://doi.org/10.1002/mpr.1936" TargetMode="External" /><Relationship Type="http://schemas.openxmlformats.org/officeDocument/2006/relationships/hyperlink" Id="rId148" Target="https://doi.org/10.1006/jmps.2001.1388" TargetMode="External" /><Relationship Type="http://schemas.openxmlformats.org/officeDocument/2006/relationships/hyperlink" Id="rId132" Target="https://doi.org/10.1016/S0005-7967(99)00123-0" TargetMode="External" /><Relationship Type="http://schemas.openxmlformats.org/officeDocument/2006/relationships/hyperlink" Id="rId138" Target="https://doi.org/10.1016/j.actpsy.2007.11.002" TargetMode="External" /><Relationship Type="http://schemas.openxmlformats.org/officeDocument/2006/relationships/hyperlink" Id="rId146" Target="https://doi.org/10.1016/j.brat.2017.03.018" TargetMode="External" /><Relationship Type="http://schemas.openxmlformats.org/officeDocument/2006/relationships/hyperlink" Id="rId159" Target="https://doi.org/10.1016/j.cpr.2016.04.010" TargetMode="External" /><Relationship Type="http://schemas.openxmlformats.org/officeDocument/2006/relationships/hyperlink" Id="rId155" Target="https://doi.org/10.1016/j.cpr.2018.08.005" TargetMode="External" /><Relationship Type="http://schemas.openxmlformats.org/officeDocument/2006/relationships/hyperlink" Id="rId129" Target="https://doi.org/10.1016/j.jbtep.2011.10.008" TargetMode="External" /><Relationship Type="http://schemas.openxmlformats.org/officeDocument/2006/relationships/hyperlink" Id="rId168" Target="https://doi.org/10.1016/j.jbtep.2019.01.006" TargetMode="External" /><Relationship Type="http://schemas.openxmlformats.org/officeDocument/2006/relationships/hyperlink" Id="rId136" Target="https://doi.org/10.1016/j.jbtep.2023.101858" TargetMode="External" /><Relationship Type="http://schemas.openxmlformats.org/officeDocument/2006/relationships/hyperlink" Id="rId113" Target="https://doi.org/10.1016/j.jbtep.2023.101920" TargetMode="External" /><Relationship Type="http://schemas.openxmlformats.org/officeDocument/2006/relationships/hyperlink" Id="rId184" Target="https://doi.org/10.1016/j.jml.2015.10.002" TargetMode="External" /><Relationship Type="http://schemas.openxmlformats.org/officeDocument/2006/relationships/hyperlink" Id="rId115" Target="https://doi.org/10.1016/j.jpsychires.2023.01.028" TargetMode="External" /><Relationship Type="http://schemas.openxmlformats.org/officeDocument/2006/relationships/hyperlink" Id="rId188" Target="https://doi.org/10.1016/j.neuropsychologia.2009.02.013" TargetMode="External" /><Relationship Type="http://schemas.openxmlformats.org/officeDocument/2006/relationships/hyperlink" Id="rId119" Target="https://doi.org/10.1016/s2215-0366(25)00397-9" TargetMode="External" /><Relationship Type="http://schemas.openxmlformats.org/officeDocument/2006/relationships/hyperlink" Id="rId123" Target="https://doi.org/10.1037/0033-295X.103.4.670" TargetMode="External" /><Relationship Type="http://schemas.openxmlformats.org/officeDocument/2006/relationships/hyperlink" Id="rId117" Target="https://doi.org/10.1037/0096-3445.129.1.126" TargetMode="External" /><Relationship Type="http://schemas.openxmlformats.org/officeDocument/2006/relationships/hyperlink" Id="rId140" Target="https://doi.org/10.1037/0096-3445.133.1.3" TargetMode="External" /><Relationship Type="http://schemas.openxmlformats.org/officeDocument/2006/relationships/hyperlink" Id="rId206" Target="https://doi.org/10.1037/0278-7393.32.4.792" TargetMode="External" /><Relationship Type="http://schemas.openxmlformats.org/officeDocument/2006/relationships/hyperlink" Id="rId196" Target="https://doi.org/10.1037/a0013396" TargetMode="External" /><Relationship Type="http://schemas.openxmlformats.org/officeDocument/2006/relationships/hyperlink" Id="rId186" Target="https://doi.org/10.1037/a0014420" TargetMode="External" /><Relationship Type="http://schemas.openxmlformats.org/officeDocument/2006/relationships/hyperlink" Id="rId125" Target="https://doi.org/10.1037/a0018113" TargetMode="External" /><Relationship Type="http://schemas.openxmlformats.org/officeDocument/2006/relationships/hyperlink" Id="rId121" Target="https://doi.org/10.1037/a0033722" TargetMode="External" /><Relationship Type="http://schemas.openxmlformats.org/officeDocument/2006/relationships/hyperlink" Id="rId180" Target="https://doi.org/10.1037/a0039036" TargetMode="External" /><Relationship Type="http://schemas.openxmlformats.org/officeDocument/2006/relationships/hyperlink" Id="rId134" Target="https://doi.org/10.1037/rev0000015" TargetMode="External" /><Relationship Type="http://schemas.openxmlformats.org/officeDocument/2006/relationships/hyperlink" Id="rId200" Target="https://doi.org/10.1037/rev0000132" TargetMode="External" /><Relationship Type="http://schemas.openxmlformats.org/officeDocument/2006/relationships/hyperlink" Id="rId127" Target="https://doi.org/10.1037/rev0000334" TargetMode="External" /><Relationship Type="http://schemas.openxmlformats.org/officeDocument/2006/relationships/hyperlink" Id="rId208" Target="https://doi.org/10.1037/rev0000505" TargetMode="External" /><Relationship Type="http://schemas.openxmlformats.org/officeDocument/2006/relationships/hyperlink" Id="rId176" Target="https://doi.org/10.1037/xge0000598" TargetMode="External" /><Relationship Type="http://schemas.openxmlformats.org/officeDocument/2006/relationships/hyperlink" Id="rId151" Target="https://doi.org/10.1038/mp.2017.23" TargetMode="External" /><Relationship Type="http://schemas.openxmlformats.org/officeDocument/2006/relationships/hyperlink" Id="rId170" Target="https://doi.org/10.1038/nn.2271" TargetMode="External" /><Relationship Type="http://schemas.openxmlformats.org/officeDocument/2006/relationships/hyperlink" Id="rId190" Target="https://doi.org/10.1038/s41380-023-02062-7" TargetMode="External" /><Relationship Type="http://schemas.openxmlformats.org/officeDocument/2006/relationships/hyperlink" Id="rId153" Target="https://doi.org/10.1038/s41398-023-02578-0" TargetMode="External" /><Relationship Type="http://schemas.openxmlformats.org/officeDocument/2006/relationships/hyperlink" Id="rId202" Target="https://doi.org/10.1038/s41562-024-01956-y" TargetMode="External" /><Relationship Type="http://schemas.openxmlformats.org/officeDocument/2006/relationships/hyperlink" Id="rId192" Target="https://doi.org/10.1111/j.1467-9280.2005.01634.x" TargetMode="External" /><Relationship Type="http://schemas.openxmlformats.org/officeDocument/2006/relationships/hyperlink" Id="rId162" Target="https://doi.org/10.1146/annurev-psych-010418-103358" TargetMode="External" /><Relationship Type="http://schemas.openxmlformats.org/officeDocument/2006/relationships/hyperlink" Id="rId157" Target="https://doi.org/10.1177/0956797615583071" TargetMode="External" /><Relationship Type="http://schemas.openxmlformats.org/officeDocument/2006/relationships/hyperlink" Id="rId178" Target="https://doi.org/10.1177/2167702621998315" TargetMode="External" /><Relationship Type="http://schemas.openxmlformats.org/officeDocument/2006/relationships/hyperlink" Id="rId166" Target="https://doi.org/10.1186/s12916-024-03569-8" TargetMode="External" /><Relationship Type="http://schemas.openxmlformats.org/officeDocument/2006/relationships/hyperlink" Id="rId142" Target="https://doi.org/10.1371/journal.pone.0004153" TargetMode="External" /><Relationship Type="http://schemas.openxmlformats.org/officeDocument/2006/relationships/hyperlink" Id="rId144" Target="https://doi.org/10.1371/journal.pone.0013706" TargetMode="External" /><Relationship Type="http://schemas.openxmlformats.org/officeDocument/2006/relationships/hyperlink" Id="rId172" Target="https://doi.org/10.1523/JNEUROSCI.3378-14.2015" TargetMode="External" /><Relationship Type="http://schemas.openxmlformats.org/officeDocument/2006/relationships/hyperlink" Id="rId204" Target="https://doi.org/10.1525/collabra.130791" TargetMode="External" /><Relationship Type="http://schemas.openxmlformats.org/officeDocument/2006/relationships/hyperlink" Id="rId194" Target="https://doi.org/10.3758/s13423-011-0086-9" TargetMode="External" /><Relationship Type="http://schemas.openxmlformats.org/officeDocument/2006/relationships/hyperlink" Id="rId182"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74" Target="https://doi.org/10.1002/acp.1611" TargetMode="External" /><Relationship Type="http://schemas.openxmlformats.org/officeDocument/2006/relationships/hyperlink" Id="rId164" Target="https://doi.org/10.1002/cpp.2489" TargetMode="External" /><Relationship Type="http://schemas.openxmlformats.org/officeDocument/2006/relationships/hyperlink" Id="rId198" Target="https://doi.org/10.1002/mpr.1936" TargetMode="External" /><Relationship Type="http://schemas.openxmlformats.org/officeDocument/2006/relationships/hyperlink" Id="rId148" Target="https://doi.org/10.1006/jmps.2001.1388" TargetMode="External" /><Relationship Type="http://schemas.openxmlformats.org/officeDocument/2006/relationships/hyperlink" Id="rId132" Target="https://doi.org/10.1016/S0005-7967(99)00123-0" TargetMode="External" /><Relationship Type="http://schemas.openxmlformats.org/officeDocument/2006/relationships/hyperlink" Id="rId138" Target="https://doi.org/10.1016/j.actpsy.2007.11.002" TargetMode="External" /><Relationship Type="http://schemas.openxmlformats.org/officeDocument/2006/relationships/hyperlink" Id="rId146" Target="https://doi.org/10.1016/j.brat.2017.03.018" TargetMode="External" /><Relationship Type="http://schemas.openxmlformats.org/officeDocument/2006/relationships/hyperlink" Id="rId159" Target="https://doi.org/10.1016/j.cpr.2016.04.010" TargetMode="External" /><Relationship Type="http://schemas.openxmlformats.org/officeDocument/2006/relationships/hyperlink" Id="rId155" Target="https://doi.org/10.1016/j.cpr.2018.08.005" TargetMode="External" /><Relationship Type="http://schemas.openxmlformats.org/officeDocument/2006/relationships/hyperlink" Id="rId129" Target="https://doi.org/10.1016/j.jbtep.2011.10.008" TargetMode="External" /><Relationship Type="http://schemas.openxmlformats.org/officeDocument/2006/relationships/hyperlink" Id="rId168" Target="https://doi.org/10.1016/j.jbtep.2019.01.006" TargetMode="External" /><Relationship Type="http://schemas.openxmlformats.org/officeDocument/2006/relationships/hyperlink" Id="rId136" Target="https://doi.org/10.1016/j.jbtep.2023.101858" TargetMode="External" /><Relationship Type="http://schemas.openxmlformats.org/officeDocument/2006/relationships/hyperlink" Id="rId113" Target="https://doi.org/10.1016/j.jbtep.2023.101920" TargetMode="External" /><Relationship Type="http://schemas.openxmlformats.org/officeDocument/2006/relationships/hyperlink" Id="rId184" Target="https://doi.org/10.1016/j.jml.2015.10.002" TargetMode="External" /><Relationship Type="http://schemas.openxmlformats.org/officeDocument/2006/relationships/hyperlink" Id="rId115" Target="https://doi.org/10.1016/j.jpsychires.2023.01.028" TargetMode="External" /><Relationship Type="http://schemas.openxmlformats.org/officeDocument/2006/relationships/hyperlink" Id="rId188" Target="https://doi.org/10.1016/j.neuropsychologia.2009.02.013" TargetMode="External" /><Relationship Type="http://schemas.openxmlformats.org/officeDocument/2006/relationships/hyperlink" Id="rId119" Target="https://doi.org/10.1016/s2215-0366(25)00397-9" TargetMode="External" /><Relationship Type="http://schemas.openxmlformats.org/officeDocument/2006/relationships/hyperlink" Id="rId123" Target="https://doi.org/10.1037/0033-295X.103.4.670" TargetMode="External" /><Relationship Type="http://schemas.openxmlformats.org/officeDocument/2006/relationships/hyperlink" Id="rId117" Target="https://doi.org/10.1037/0096-3445.129.1.126" TargetMode="External" /><Relationship Type="http://schemas.openxmlformats.org/officeDocument/2006/relationships/hyperlink" Id="rId140" Target="https://doi.org/10.1037/0096-3445.133.1.3" TargetMode="External" /><Relationship Type="http://schemas.openxmlformats.org/officeDocument/2006/relationships/hyperlink" Id="rId206" Target="https://doi.org/10.1037/0278-7393.32.4.792" TargetMode="External" /><Relationship Type="http://schemas.openxmlformats.org/officeDocument/2006/relationships/hyperlink" Id="rId196" Target="https://doi.org/10.1037/a0013396" TargetMode="External" /><Relationship Type="http://schemas.openxmlformats.org/officeDocument/2006/relationships/hyperlink" Id="rId186" Target="https://doi.org/10.1037/a0014420" TargetMode="External" /><Relationship Type="http://schemas.openxmlformats.org/officeDocument/2006/relationships/hyperlink" Id="rId125" Target="https://doi.org/10.1037/a0018113" TargetMode="External" /><Relationship Type="http://schemas.openxmlformats.org/officeDocument/2006/relationships/hyperlink" Id="rId121" Target="https://doi.org/10.1037/a0033722" TargetMode="External" /><Relationship Type="http://schemas.openxmlformats.org/officeDocument/2006/relationships/hyperlink" Id="rId180" Target="https://doi.org/10.1037/a0039036" TargetMode="External" /><Relationship Type="http://schemas.openxmlformats.org/officeDocument/2006/relationships/hyperlink" Id="rId134" Target="https://doi.org/10.1037/rev0000015" TargetMode="External" /><Relationship Type="http://schemas.openxmlformats.org/officeDocument/2006/relationships/hyperlink" Id="rId200" Target="https://doi.org/10.1037/rev0000132" TargetMode="External" /><Relationship Type="http://schemas.openxmlformats.org/officeDocument/2006/relationships/hyperlink" Id="rId127" Target="https://doi.org/10.1037/rev0000334" TargetMode="External" /><Relationship Type="http://schemas.openxmlformats.org/officeDocument/2006/relationships/hyperlink" Id="rId208" Target="https://doi.org/10.1037/rev0000505" TargetMode="External" /><Relationship Type="http://schemas.openxmlformats.org/officeDocument/2006/relationships/hyperlink" Id="rId176" Target="https://doi.org/10.1037/xge0000598" TargetMode="External" /><Relationship Type="http://schemas.openxmlformats.org/officeDocument/2006/relationships/hyperlink" Id="rId151" Target="https://doi.org/10.1038/mp.2017.23" TargetMode="External" /><Relationship Type="http://schemas.openxmlformats.org/officeDocument/2006/relationships/hyperlink" Id="rId170" Target="https://doi.org/10.1038/nn.2271" TargetMode="External" /><Relationship Type="http://schemas.openxmlformats.org/officeDocument/2006/relationships/hyperlink" Id="rId190" Target="https://doi.org/10.1038/s41380-023-02062-7" TargetMode="External" /><Relationship Type="http://schemas.openxmlformats.org/officeDocument/2006/relationships/hyperlink" Id="rId153" Target="https://doi.org/10.1038/s41398-023-02578-0" TargetMode="External" /><Relationship Type="http://schemas.openxmlformats.org/officeDocument/2006/relationships/hyperlink" Id="rId202" Target="https://doi.org/10.1038/s41562-024-01956-y" TargetMode="External" /><Relationship Type="http://schemas.openxmlformats.org/officeDocument/2006/relationships/hyperlink" Id="rId192" Target="https://doi.org/10.1111/j.1467-9280.2005.01634.x" TargetMode="External" /><Relationship Type="http://schemas.openxmlformats.org/officeDocument/2006/relationships/hyperlink" Id="rId162" Target="https://doi.org/10.1146/annurev-psych-010418-103358" TargetMode="External" /><Relationship Type="http://schemas.openxmlformats.org/officeDocument/2006/relationships/hyperlink" Id="rId157" Target="https://doi.org/10.1177/0956797615583071" TargetMode="External" /><Relationship Type="http://schemas.openxmlformats.org/officeDocument/2006/relationships/hyperlink" Id="rId178" Target="https://doi.org/10.1177/2167702621998315" TargetMode="External" /><Relationship Type="http://schemas.openxmlformats.org/officeDocument/2006/relationships/hyperlink" Id="rId166" Target="https://doi.org/10.1186/s12916-024-03569-8" TargetMode="External" /><Relationship Type="http://schemas.openxmlformats.org/officeDocument/2006/relationships/hyperlink" Id="rId142" Target="https://doi.org/10.1371/journal.pone.0004153" TargetMode="External" /><Relationship Type="http://schemas.openxmlformats.org/officeDocument/2006/relationships/hyperlink" Id="rId144" Target="https://doi.org/10.1371/journal.pone.0013706" TargetMode="External" /><Relationship Type="http://schemas.openxmlformats.org/officeDocument/2006/relationships/hyperlink" Id="rId172" Target="https://doi.org/10.1523/JNEUROSCI.3378-14.2015" TargetMode="External" /><Relationship Type="http://schemas.openxmlformats.org/officeDocument/2006/relationships/hyperlink" Id="rId204" Target="https://doi.org/10.1525/collabra.130791" TargetMode="External" /><Relationship Type="http://schemas.openxmlformats.org/officeDocument/2006/relationships/hyperlink" Id="rId194" Target="https://doi.org/10.3758/s13423-011-0086-9" TargetMode="External" /><Relationship Type="http://schemas.openxmlformats.org/officeDocument/2006/relationships/hyperlink" Id="rId182"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2026-06-30T07:35:54Z</dcterms:created>
  <dcterms:modified xsi:type="dcterms:W3CDTF">2026-06-30T07:35:54Z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