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67.png" ContentType="image/png"/>
  <Override PartName="/word/media/rId6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unguided retrieval and deliberate recall draw on the same film and task associations but differ in how strongly retrieval is constrained toward film items.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At retrieval, overlapping context can cue both film items and task competitors, reducing the probability that film items win retrieval even though stored film-item associations remain unchanged.</w:t>
      </w:r>
      <w:r>
        <w:t xml:space="preserve"> </w:t>
      </w:r>
      <w:r>
        <w:t xml:space="preserve">Deliberate recall is less vulnerable when task goals provide a film-directed start cue and selection emphasizes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Together, these results show that selective interference can arise from retrieval dynamics in a single retrieved-context system.</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instantiate this source-context machinery with emotional context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demonstrating how selective interference can arise within a single retrieved-context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A film reminder can reinstate film-associated context before task encoding, and task events encoded in that state can later receive support from film-related retrieval cues.</w:t>
      </w:r>
      <w:r>
        <w:t xml:space="preserve"> </w:t>
      </w:r>
      <w:r>
        <w:t xml:space="preserve">At retrieval, the current context state cues memory search, so film items and task items compete when both are associated with similar context states.</w:t>
      </w:r>
      <w:r>
        <w:t xml:space="preserve"> </w:t>
      </w:r>
      <w:r>
        <w:t xml:space="preserve">Deliberate recall can reduce vulnerability to this competition when retrieval begins from a film-directed state and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Selective interference therefore reflects a change in how film-associated context cues the stored event set: task items can become more likely to win retrieval and, once retrieved, can pull context toward the task, even as film-item associations remain available.</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Simulation 1 establishes the context-binding interference component: a post-reminder task reduces film recall when task items are strongly learned while film-associated context has been reinstated.</w:t>
      </w:r>
      <w:r>
        <w:t xml:space="preserve"> </w:t>
      </w:r>
      <w:r>
        <w:t xml:space="preserve">Simulation 2 adds intentionality by comparing unguided retrieval and deliberate recall over matched film and task associations, then decomposes the film-directed start cueing and selection settings that protect deliberate recall.</w:t>
      </w:r>
      <w:r>
        <w:t xml:space="preserve"> </w:t>
      </w:r>
      <w:r>
        <w:t xml:space="preserve">Simulation 3 separates task properties by varying task-item learning strength, contextual overlap, and source-context overlap, rather than treating the visuospatial/comparison contrast as a primitive model label.</w:t>
      </w:r>
      <w:r>
        <w:t xml:space="preserve"> </w:t>
      </w:r>
      <w:r>
        <w:t xml:space="preserve">Simulation 4 evaluates cue support across test formats by varying film-related monitoring cues and tests that supply a film item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t xml:space="preserve">Task items interfere when they are bound to film-associated context strongly enough to be cued with film items, and deliberate recall gains protection when film-directed control favors film items within the same association set.</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context when they are encoded soon after the film, after a reminder has reinstated film-associated context, or when they share a non-temporal source feature with film items.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source-context pathway can amplify competition when film and task items share the marked source feature.</w:t>
      </w:r>
    </w:p>
    <w:p>
      <w:pPr>
        <w:pStyle w:val="BodyText"/>
      </w:pPr>
      <w:r>
        <w:t xml:space="preserve">Context-to-item retrieval uses the current context state to cue candidate items.</w:t>
      </w:r>
      <w:r>
        <w:t xml:space="preserve"> </w:t>
      </w:r>
      <w:r>
        <w:t xml:space="preserve">Unguided retrieval is the model analogue of conditions in which film memories come to mind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selected for recall over competitor items.</w:t>
      </w:r>
      <w:r>
        <w:t xml:space="preserve"> </w:t>
      </w:r>
      <w:r>
        <w:t xml:space="preserve">The size of this effect depends on the number of competitors, their learned support, and the similarity between their associated temporal or source-context states and film context.</w:t>
      </w:r>
      <w:r>
        <w:t xml:space="preserve"> </w:t>
      </w:r>
      <w:r>
        <w:t xml:space="preserve">In these simulations, task modality is represented through those quantities: the learned support task items receive and the similarity between task-associated context and film-associated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reinstates associated context and reduces reliance on selecting film items from a mixed competitor set</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film-directed retrieval over the same stored associations.</w:t>
      </w:r>
      <w:r>
        <w:t xml:space="preserve"> </w:t>
      </w:r>
      <w:r>
        <w:t xml:space="preserve">Its protection depends on how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retrieval-mode and control settings, and source-context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4"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baseline parameters, then specifies the context-updating, learning, retrieval, and control operations used to configure the selective-interference simulations.</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symbolic base parameters used by the model.</w:t>
      </w:r>
      <w:r>
        <w:t xml:space="preserve"> </w:t>
      </w:r>
      <w:r>
        <w:t xml:space="preserve">The table separates parameters that define the inherited CMR operations from parameters later scaled or manipulated in the simulations; numerical values and phase settings are specified in the simulation methodology.</w:t>
      </w:r>
    </w:p>
    <w:bookmarkStart w:id="30" w:name="tbl-base-parameters"/>
    <w:p>
      <w:pPr>
        <w:pStyle w:val="FigureTitle"/>
      </w:pPr>
      <w:r>
        <w:t xml:space="preserve">Table 1</w:t>
      </w:r>
    </w:p>
    <w:p>
      <w:pPr>
        <w:pStyle w:val="Caption"/>
      </w:pPr>
      <w:r>
        <w:t xml:space="preserve">Base parameters and roles in the model specification.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start-cue parameter</w:t>
            </w:r>
          </w:p>
        </w:tc>
        <w:tc>
          <w:tcPr/>
          <w:p>
            <w:pPr>
              <w:pStyle w:val="Compact"/>
            </w:pPr>
            <w:r>
              <w:t xml:space="preserve">Start-of-list context reinstatement or film-directed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selective-interference simulations vary the new associations formed across phases.</w:t>
      </w:r>
      <w:r>
        <w:t xml:space="preserve"> </w:t>
      </w:r>
      <w:r>
        <w:t xml:space="preserve">These baseline associations are fixed model architecture and are held constant across the selective-interference simulations.</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6"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Supplied film items therefore use the same feature-to-context operation as sampled and reminded items.</w:t>
      </w:r>
    </w:p>
    <w:bookmarkEnd w:id="49"/>
    <w:bookmarkStart w:id="53" w:name="source-context"/>
    <w:p>
      <w:pPr>
        <w:pStyle w:val="Heading2"/>
      </w:pPr>
      <w:r>
        <w:t xml:space="preserve">Source Context</w:t>
      </w:r>
    </w:p>
    <w:p>
      <w:pPr>
        <w:pStyle w:val="FirstParagraph"/>
      </w:pPr>
      <w:r>
        <w:t xml:space="preserve">The source-context pathway provides a configurable non-temporal overlap dimension for later task-specificity simulations.</w:t>
      </w:r>
      <w:r>
        <w:t xml:space="preserve"> </w:t>
      </w:r>
      <w:r>
        <w:t xml:space="preserve">It generalizes the role that emotional context plays in eCMR to contextual features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two-unit source feature vector</w:t>
      </w:r>
      <w:r>
        <w:t xml:space="preserve"> </w:t>
      </w:r>
      <m:oMath>
        <m:sSub>
          <m:e>
            <m:r>
              <m:t>s</m:t>
            </m:r>
          </m:e>
          <m:sub>
            <m:r>
              <m:t>i</m:t>
            </m:r>
          </m:sub>
        </m:sSub>
      </m:oMath>
      <w:r>
        <w:t xml:space="preserve">.</w:t>
      </w:r>
      <w:r>
        <w:t xml:space="preserve"> </w:t>
      </w:r>
      <w:r>
        <w:t xml:space="preserve">The marked source feature can be used to examine whether film and task items that share a non-temporal source state compete more strongly.</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Source-context-to-feature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the added context-to-feature learning strength for item</w:t>
      </w:r>
      <w:r>
        <w:t xml:space="preserve"> </w:t>
      </w:r>
      <m:oMath>
        <m:r>
          <m:t>i</m:t>
        </m:r>
      </m:oMath>
      <w:r>
        <w:t xml:space="preserve"> </w:t>
      </w:r>
      <w:r>
        <w:t xml:space="preserve">in the source-context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 or default items receive 0.</w:t>
      </w:r>
      <w:r>
        <w:t xml:space="preserve"> </w:t>
      </w:r>
      <w:r>
        <w:t xml:space="preserve">When source-context learning is engaged, the source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sSub>
            <m:e>
              <m:r>
                <m:t>ϕ</m:t>
              </m:r>
            </m:e>
            <m:sub>
              <m:r>
                <m:rPr>
                  <m:sty m:val="p"/>
                </m:rPr>
                <m:t>e</m:t>
              </m:r>
              <m:r>
                <m:rPr>
                  <m:sty m:val="p"/>
                </m:rPr>
                <m:t>m</m:t>
              </m:r>
              <m:r>
                <m:rPr>
                  <m:sty m:val="p"/>
                </m:rPr>
                <m:t>o</m:t>
              </m:r>
              <m:r>
                <m:rPr>
                  <m:sty m:val="p"/>
                </m:rPr>
                <m:t>t</m:t>
              </m:r>
              <m:r>
                <m:rPr>
                  <m:sty m:val="p"/>
                </m:rPr>
                <m:t>,</m:t>
              </m:r>
              <m:r>
                <m:t>i</m:t>
              </m:r>
            </m:sub>
          </m:sSub>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Task items are distinct item features and are assigned the marked source feature only in source-context-overlap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Because retrieval proceeds as a sequence of competitive samples terminated by a growing stop probability, task competitors can reduce film-item access by winning individual retrieval competitions before search terminates.</w:t>
      </w:r>
    </w:p>
    <w:bookmarkEnd w:id="53"/>
    <w:bookmarkEnd w:id="54"/>
    <w:bookmarkStart w:id="74" w:name="simulations"/>
    <w:p>
      <w:pPr>
        <w:pStyle w:val="Heading1"/>
      </w:pPr>
      <w:r>
        <w:t xml:space="preserve">Simulations</w:t>
      </w:r>
    </w:p>
    <w:p>
      <w:pPr>
        <w:pStyle w:val="FirstParagraph"/>
      </w:pPr>
      <w:r>
        <w:t xml:space="preserve">The simulations instantiate the retrieved-context account in a controlled trauma-film analogue.</w:t>
      </w:r>
      <w:r>
        <w:t xml:space="preserve"> </w:t>
      </w:r>
      <w:r>
        <w:t xml:space="preserve">They evaluate four linked packages: context-binding interference, retrieval-mode differences, task specificity, and cue support across test formats.</w:t>
      </w:r>
      <w:r>
        <w:t xml:space="preserve"> </w:t>
      </w:r>
      <w:r>
        <w:t xml:space="preserve">Simulation 1 shows how a post-reminder task reduces film recall when task items receive strong context-to-feature learning while film-relevant context is active.</w:t>
      </w:r>
      <w:r>
        <w:t xml:space="preserve"> </w:t>
      </w:r>
      <w:r>
        <w:t xml:space="preserve">Simulation 2 adds the intentionality manipulation by comparing unguided retrieval with deliberate recall and then decomposing the film-directed control settings that reduce deliberate-recall vulnerability.</w:t>
      </w:r>
      <w:r>
        <w:t xml:space="preserve"> </w:t>
      </w:r>
      <w:r>
        <w:t xml:space="preserve">Simulation 3 examines which task properties make the post-film task effective, including task-item learning strength, contextual similarity, and source-context overlap.</w:t>
      </w:r>
      <w:r>
        <w:t xml:space="preserve"> </w:t>
      </w:r>
      <w:r>
        <w:t xml:space="preserve">Simulation 4 examines how film-related monitoring cues and tests that supply a film item change vulnerability across test formats.</w:t>
      </w:r>
    </w:p>
    <w:bookmarkStart w:id="57" w:name="methodology"/>
    <w:p>
      <w:pPr>
        <w:pStyle w:val="Heading2"/>
      </w:pPr>
      <w:r>
        <w:t xml:space="preserve">Methodology</w:t>
      </w:r>
    </w:p>
    <w:p>
      <w:pPr>
        <w:pStyle w:val="FirstParagraph"/>
      </w:pPr>
      <w:r>
        <w:t xml:space="preserve">Base parameters were anchored to an existing immediate free-recall dataset in which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This dataset provides an externally estimated eCMR regime for deliberate context-guided recall of affective and neutral photographs.</w:t>
      </w:r>
      <w:r>
        <w:t xml:space="preserve"> </w:t>
      </w:r>
      <w:r>
        <w:t xml:space="preserve">The fitted parameters set baseline encoding, retrieval, and stopping dynamics before the selective-interference manipulations are applied as phase-specific encoding or retrieval-control settings.</w:t>
      </w:r>
      <w:r>
        <w:t xml:space="preserve"> </w:t>
      </w:r>
      <w:hyperlink w:anchor="tbl-simulation-parameters">
        <w:r>
          <w:rPr>
            <w:rStyle w:val="Hyperlink"/>
          </w:rPr>
          <w:t xml:space="preserve">Table 2</w:t>
        </w:r>
      </w:hyperlink>
      <w:r>
        <w:t xml:space="preserve"> </w:t>
      </w:r>
      <w:r>
        <w:t xml:space="preserve">gives the default numerical values used in the current simulations.</w:t>
      </w:r>
    </w:p>
    <w:bookmarkStart w:id="55" w:name="tbl-simulation-parameters"/>
    <w:p>
      <w:pPr>
        <w:pStyle w:val="FigureTitle"/>
      </w:pPr>
      <w:r>
        <w:t xml:space="preserve">Table 2</w:t>
      </w:r>
    </w:p>
    <w:p>
      <w:pPr>
        <w:pStyle w:val="Caption"/>
      </w:pPr>
      <w:r>
        <w:t xml:space="preserve">Default numerical parameter values used in the current simulations.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Start-cue parameter</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0.499</w:t>
            </w:r>
          </w:p>
        </w:tc>
        <w:tc>
          <w:tcPr/>
          <w:p>
            <w:pPr>
              <w:pStyle w:val="Compact"/>
            </w:pPr>
            <w:r>
              <w:t xml:space="preserve">Primacy scale</w:t>
            </w:r>
          </w:p>
        </w:tc>
      </w:tr>
      <w:tr>
        <w:tc>
          <w:tcPr/>
          <w:p>
            <w:pPr>
              <w:pStyle w:val="Compact"/>
            </w:pPr>
            <m:oMath>
              <m:sSub>
                <m:e>
                  <m:r>
                    <m:t>ϕ</m:t>
                  </m:r>
                </m:e>
                <m:sub>
                  <m:r>
                    <m:t>d</m:t>
                  </m:r>
                </m:sub>
              </m:sSub>
            </m:oMath>
          </w:p>
        </w:tc>
        <w:tc>
          <w:tcPr/>
          <w:p>
            <w:pPr>
              <w:pStyle w:val="Compact"/>
              <w:jc w:val="right"/>
            </w:pPr>
            <w:r>
              <w:t xml:space="preserve">0.530</w:t>
            </w:r>
          </w:p>
        </w:tc>
        <w:tc>
          <w:tcPr/>
          <w:p>
            <w:pPr>
              <w:pStyle w:val="Compact"/>
            </w:pPr>
            <w:r>
              <w:t xml:space="preserve">Primacy decay</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55"/>
    <w:p>
      <w:pPr>
        <w:pStyle w:val="AfterWithoutNote"/>
      </w:pPr>
      <w:r>
        <w:t xml:space="preserve">The current simulations update associations after context integration and disallow repeated sampling of the same item.</w:t>
      </w:r>
    </w:p>
    <w:p>
      <w:pPr>
        <w:pStyle w:val="BodyText"/>
      </w:pPr>
      <w:r>
        <w:t xml:space="preserve">Each simulated trial contains 16 film items, 16 break/buffer items, 16 task items, and 16 filler items.</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All encoded film, break/buffer, task, and filler items can enter the retrieval competition unless a later simulation explicitly changes the test format.</w:t>
      </w:r>
      <w:r>
        <w:t xml:space="preserve"> </w:t>
      </w:r>
      <w:r>
        <w:t xml:space="preserve">The simulated retrieval sequence records sampled candidates rather than only final accepted responses.</w:t>
      </w:r>
      <w:r>
        <w:t xml:space="preserve"> </w:t>
      </w:r>
      <w:r>
        <w:t xml:space="preserve">This convention allows later target-monitoring simulations to count an off-target sample as a retrieval attempt, attenuate its context update, and still allow search to continue.</w:t>
      </w:r>
    </w:p>
    <w:p>
      <w:pPr>
        <w:pStyle w:val="BodyText"/>
      </w:pPr>
      <w:r>
        <w:t xml:space="preserve">Film, break/buffer, task, and filler items are encoded by the same CMR operations defined above.</w:t>
      </w:r>
      <w:r>
        <w:t xml:space="preserve"> </w:t>
      </w:r>
      <w:r>
        <w:t xml:space="preserve">Phase settings control temporal drift and context-to-feature learning strength.</w:t>
      </w:r>
      <w:r>
        <w:t xml:space="preserve"> </w:t>
      </w:r>
      <w:r>
        <w:t xml:space="preserve">In the no-reminder condition used for Simulation 1, the reminder-start and film-item reminder-cue drift scales are set to zero.</w:t>
      </w:r>
      <w:r>
        <w:t xml:space="preserve"> </w:t>
      </w:r>
      <w:r>
        <w:t xml:space="preserve">In the with-reminder condition, context first shifts toward the start state and then receives sequential film-item reminder cues before task encoding.</w:t>
      </w:r>
      <w:r>
        <w:t xml:space="preserve"> </w:t>
      </w:r>
      <w:r>
        <w:t xml:space="preserve">Reminder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do not add new recallable items.</w:t>
      </w:r>
      <w:r>
        <w:t xml:space="preserve"> </w:t>
      </w:r>
      <w:hyperlink w:anchor="tbl-simulation-phase-settings">
        <w:r>
          <w:rPr>
            <w:rStyle w:val="Hyperlink"/>
          </w:rPr>
          <w:t xml:space="preserve">Table 3</w:t>
        </w:r>
      </w:hyperlink>
      <w:r>
        <w:t xml:space="preserve"> </w:t>
      </w:r>
      <w:r>
        <w:t xml:space="preserve">summarizes the phase structure and settings used for the current Figure 2 simulations.</w:t>
      </w:r>
    </w:p>
    <w:bookmarkStart w:id="56" w:name="tbl-simulation-phase-settings"/>
    <w:p>
      <w:pPr>
        <w:pStyle w:val="FigureTitle"/>
      </w:pPr>
      <w:r>
        <w:t xml:space="preserve">Table 3</w:t>
      </w:r>
    </w:p>
    <w:p>
      <w:pPr>
        <w:pStyle w:val="Caption"/>
      </w:pPr>
      <w:r>
        <w:t xml:space="preserve">Phase structure and settings for the current Figure 2 simulations.</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film-item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sweep cell</w:t>
            </w:r>
          </w:p>
        </w:tc>
        <w:tc>
          <w:tcPr/>
          <w:p>
            <w:pPr>
              <w:pStyle w:val="Compact"/>
              <w:jc w:val="right"/>
            </w:pPr>
            <w:r>
              <w:t xml:space="preserve">5000</w:t>
            </w:r>
          </w:p>
        </w:tc>
        <w:tc>
          <w:tcPr/>
          <w:p>
            <w:pPr>
              <w:pStyle w:val="Compact"/>
            </w:pPr>
            <w:r>
              <w:t xml:space="preserve">Replications used for Figure 2 estimates</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film-item cue reinstatement</w:t>
            </w:r>
          </w:p>
        </w:tc>
      </w:tr>
      <w:tr>
        <w:tc>
          <w:tcPr/>
          <w:p>
            <w:pPr>
              <w:pStyle w:val="Compact"/>
            </w:pPr>
            <w:r>
              <w:t xml:space="preserve">Task learning factor</w:t>
            </w:r>
          </w:p>
        </w:tc>
        <w:tc>
          <w:tcPr/>
          <w:p>
            <w:pPr>
              <w:pStyle w:val="Compact"/>
              <w:jc w:val="right"/>
            </w:pPr>
            <w:r>
              <w:t xml:space="preserve">0.0–3.0 by 0.5</w:t>
            </w:r>
          </w:p>
        </w:tc>
        <w:tc>
          <w:tcPr/>
          <w:p>
            <w:pPr>
              <w:pStyle w:val="Compact"/>
            </w:pPr>
            <w:r>
              <w:t xml:space="preserve">Multiplies task-phase context-to-feature learning</w:t>
            </w:r>
          </w:p>
        </w:tc>
      </w:tr>
      <w:tr>
        <w:tc>
          <w:tcPr/>
          <w:p>
            <w:pPr>
              <w:pStyle w:val="Compact"/>
            </w:pPr>
            <w:r>
              <w:t xml:space="preserve">Source marking</w:t>
            </w:r>
          </w:p>
        </w:tc>
        <w:tc>
          <w:tcPr/>
          <w:p>
            <w:pPr>
              <w:pStyle w:val="Compact"/>
              <w:jc w:val="right"/>
            </w:pPr>
            <w:r>
              <w:t xml:space="preserve">Off</w:t>
            </w:r>
          </w:p>
        </w:tc>
        <w:tc>
          <w:tcPr/>
          <w:p>
            <w:pPr>
              <w:pStyle w:val="Compact"/>
            </w:pPr>
            <w:r>
              <w:t xml:space="preserve">No source-context-overlap manipulation in Simulation 1</w:t>
            </w:r>
          </w:p>
        </w:tc>
      </w:tr>
    </w:tbl>
    <w:bookmarkEnd w:id="56"/>
    <w:p>
      <w:pPr>
        <w:pStyle w:val="AfterWithoutNote"/>
      </w:pPr>
      <w:r>
        <w:t xml:space="preserve">For each condition and sweep value, the model encodes the phase sequence, enters retrieval,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 and repeats this process across simulated trials.</w:t>
      </w:r>
      <w:r>
        <w:t xml:space="preserve"> </w:t>
      </w:r>
      <w:r>
        <w:t xml:space="preserve">Serial-position curves estimate the probability that each encoded position appears at least once in the sampled retrieval sequence.</w:t>
      </w:r>
      <w:r>
        <w:t xml:space="preserve"> </w:t>
      </w:r>
      <w:r>
        <w:t xml:space="preserve">The model-state analyses in Figure 2 quantify two quantities that explain the behavioral curves.</w:t>
      </w:r>
      <w:r>
        <w:t xml:space="preserve"> </w:t>
      </w:r>
      <w:r>
        <w:t xml:space="preserve">The context-similarity analysis computes cosine similarity between unit-normalized temporal context states associated with film-item encoding and temporal context states active during task-item encoding.</w:t>
      </w:r>
      <w:r>
        <w:t xml:space="preserve"> </w:t>
      </w:r>
      <w:r>
        <w:t xml:space="preserve">The support-allocation analysis forms a film-context cue from the centroid of film encoding context states, applies that cue to</w:t>
      </w:r>
      <w:r>
        <w:t xml:space="preserve"> </w:t>
      </w:r>
      <m:oMath>
        <m:sSup>
          <m:e>
            <m:r>
              <m:t>M</m:t>
            </m:r>
          </m:e>
          <m:sup>
            <m:r>
              <m:t>C</m:t>
            </m:r>
            <m:r>
              <m:t>F</m:t>
            </m:r>
          </m:sup>
        </m:sSup>
      </m:oMath>
      <w:r>
        <w:t xml:space="preserve"> </w:t>
      </w:r>
      <w:r>
        <w:t xml:space="preserve">after task encoding, and computes task support divided by the sum of film and task support.</w:t>
      </w:r>
    </w:p>
    <w:bookmarkEnd w:id="57"/>
    <w:bookmarkStart w:id="62"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while film-relevant context is active.</w:t>
      </w:r>
      <w:r>
        <w:t xml:space="preserve"> </w:t>
      </w:r>
      <w:r>
        <w:t xml:space="preserve">To separate task encoding strength from reminder-driven context reinstatement, the simulation sweeps the task learning factor under no-reminder and with-reminder conditions.</w:t>
      </w:r>
      <w:r>
        <w:t xml:space="preserve"> </w:t>
      </w:r>
      <w:r>
        <w:t xml:space="preserve">The plotted task learning factor multiplies task-phase context-to-feature learning in</w:t>
      </w:r>
      <w:r>
        <w:t xml:space="preserve"> </w:t>
      </w:r>
      <w:hyperlink w:anchor="eq-mcf-learning">
        <w:r>
          <w:rPr>
            <w:rStyle w:val="Hyperlink"/>
          </w:rPr>
          <w:t xml:space="preserve">Equation 8</w:t>
        </w:r>
      </w:hyperlink>
      <w:r>
        <w:t xml:space="preserve">.</w:t>
      </w:r>
      <w:r>
        <w:t xml:space="preserve"> </w:t>
      </w:r>
      <w:r>
        <w:t xml:space="preserve">Retrieval settings are held fixed, so differences in recall reflect the item-context associations formed before retrieval rather than changes in retrieval control.</w:t>
      </w:r>
      <w:r>
        <w:t xml:space="preserve"> </w:t>
      </w:r>
      <w:r>
        <w:t xml:space="preserve">Simulation 2 then examines whether film-directed retrieval control reduces the impact of those task-item associations on deliberate recall.</w:t>
      </w:r>
    </w:p>
    <w:bookmarkStart w:id="61"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demonstrates how task items can become competitors for film recall by varying task encoding strength with or without film-context reinstatement before task encoding.</w:t>
      </w:r>
      <w:r>
        <w:t xml:space="preserve"> </w:t>
      </w:r>
      <w:r>
        <w:rPr>
          <w:b/>
          <w:bCs/>
        </w:rPr>
        <w:t xml:space="preserve">(A)</w:t>
      </w:r>
      <w:r>
        <w:t xml:space="preserve"> </w:t>
      </w:r>
      <w:r>
        <w:t xml:space="preserve">Without a film reminder, task items become associated with later context states reached after drift away from the film, so stronger task encoding produces only modest redistribution from film items to task items.</w:t>
      </w:r>
      <w:r>
        <w:t xml:space="preserve"> </w:t>
      </w:r>
      <w:r>
        <w:rPr>
          <w:b/>
          <w:bCs/>
        </w:rPr>
        <w:t xml:space="preserve">(B)</w:t>
      </w:r>
      <w:r>
        <w:t xml:space="preserve"> </w:t>
      </w:r>
      <w:r>
        <w:t xml:space="preserve">With a film reminder, task items become associated with context states more similar to those associated with film items, so stronger task encoding produces larger redistribution from film items to task items.</w:t>
      </w:r>
      <w:r>
        <w:t xml:space="preserve"> </w:t>
      </w:r>
      <w:r>
        <w:rPr>
          <w:b/>
          <w:bCs/>
        </w:rPr>
        <w:t xml:space="preserve">(C)</w:t>
      </w:r>
      <w:r>
        <w:t xml:space="preserve"> </w:t>
      </w:r>
      <w:r>
        <w:t xml:space="preserve">This behavioral contrast follows from the context trace: reminder cues make the context states active during task encoding more similar to the states associated with film items.</w:t>
      </w:r>
      <w:r>
        <w:t xml:space="preserve"> </w:t>
      </w:r>
      <w:r>
        <w:rPr>
          <w:b/>
          <w:bCs/>
        </w:rPr>
        <w:t xml:space="preserve">(D)</w:t>
      </w:r>
      <w:r>
        <w:t xml:space="preserve"> </w:t>
      </w:r>
      <w:r>
        <w:t xml:space="preserve">When the model is cued with film context, stronger task encoding assigns a larger share of item support to task items, especially after a film reminder.</w:t>
      </w:r>
    </w:p>
    <w:p>
      <w:pPr>
        <w:pStyle w:val="FigureWithoutNote"/>
      </w:pPr>
      <w:r>
        <w:drawing>
          <wp:inline>
            <wp:extent cx="5943600" cy="3562918"/>
            <wp:effectExtent b="0" l="0" r="0" t="0"/>
            <wp:docPr descr="" title="" id="59" name="Picture"/>
            <a:graphic>
              <a:graphicData uri="http://schemas.openxmlformats.org/drawingml/2006/picture">
                <pic:pic>
                  <pic:nvPicPr>
                    <pic:cNvPr descr="figures/simulation1_context_binding.png" id="60" name="Picture"/>
                    <pic:cNvPicPr>
                      <a:picLocks noChangeArrowheads="1" noChangeAspect="1"/>
                    </pic:cNvPicPr>
                  </pic:nvPicPr>
                  <pic:blipFill>
                    <a:blip r:embed="rId58"/>
                    <a:stretch>
                      <a:fillRect/>
                    </a:stretch>
                  </pic:blipFill>
                  <pic:spPr bwMode="auto">
                    <a:xfrm>
                      <a:off x="0" y="0"/>
                      <a:ext cx="5943600" cy="3562918"/>
                    </a:xfrm>
                    <a:prstGeom prst="rect">
                      <a:avLst/>
                    </a:prstGeom>
                    <a:noFill/>
                    <a:ln w="9525">
                      <a:noFill/>
                      <a:headEnd/>
                      <a:tailEnd/>
                    </a:ln>
                  </pic:spPr>
                </pic:pic>
              </a:graphicData>
            </a:graphic>
          </wp:inline>
        </w:drawing>
      </w:r>
    </w:p>
    <w:bookmarkEnd w:id="61"/>
    <w:p>
      <w:pPr>
        <w:pStyle w:val="AfterWithoutNote"/>
      </w:pPr>
      <w:r>
        <w:t xml:space="preserve">Panels A and B show phase-resolved recall probability across encoded positions.</w:t>
      </w:r>
      <w:r>
        <w:t xml:space="preserve"> </w:t>
      </w:r>
      <w:r>
        <w:t xml:space="preserve">Without a film reminder, increasing task learning produces only modest loss of film recall and only modest gain in task recall, because task items become associated with later context states reached after drift away from the film.</w:t>
      </w:r>
      <w:r>
        <w:t xml:space="preserve"> </w:t>
      </w:r>
      <w:r>
        <w:t xml:space="preserve">With a film reminder, the same task-learning manipulation produces a much larger redistribution from film positions to task positions.</w:t>
      </w:r>
      <w:r>
        <w:t xml:space="preserve"> </w:t>
      </w:r>
      <w:r>
        <w:t xml:space="preserve">The with-reminder condition therefore shows that task strength matters most when task items are associated with film-associated context states.</w:t>
      </w:r>
      <w:r>
        <w:t xml:space="preserve"> </w:t>
      </w:r>
      <w:r>
        <w:t xml:space="preserve">The serial-position curves also show that the effect is not uniform across film positions: early film recall remains relatively protected under the current settings compared with recall for later film positions.</w:t>
      </w:r>
      <w:r>
        <w:t xml:space="preserve"> </w:t>
      </w:r>
      <w:r>
        <w:t xml:space="preserve">At the endpoints of the task-learning sweep, mean film recall in the no-reminder condition changes from 0.352 at task learning factor 0.0 to 0.317 at factor 3.0, while mean task recall changes from 0.000 to 0.084.</w:t>
      </w:r>
      <w:r>
        <w:t xml:space="preserve"> </w:t>
      </w:r>
      <w:r>
        <w:t xml:space="preserve">In the with-reminder condition, mean film recall changes from 0.340 to 0.086, while mean task recall changes from 0.000 to 0.354.</w:t>
      </w:r>
    </w:p>
    <w:p>
      <w:pPr>
        <w:pStyle w:val="BodyText"/>
      </w:pPr>
      <w:r>
        <w:t xml:space="preserve">Panels C and D explain why the no-reminder and with-reminder curves diverge.</w:t>
      </w:r>
      <w:r>
        <w:t xml:space="preserve"> </w:t>
      </w:r>
      <w:r>
        <w:t xml:space="preserve">Panel C quantifies temporal-context similarity between the states associated with film items and the states active during task encoding.</w:t>
      </w:r>
      <w:r>
        <w:t xml:space="preserve"> </w:t>
      </w:r>
      <w:r>
        <w:t xml:space="preserve">When a reminder reinstates film-associated context before task encoding, the model encodes task items in states more similar to those associated with film items.</w:t>
      </w:r>
      <w:r>
        <w:t xml:space="preserve"> </w:t>
      </w:r>
      <w:r>
        <w:t xml:space="preserve">Panel D quantifies how much support task items receive from a film-context cue after task encoding.</w:t>
      </w:r>
      <w:r>
        <w:t xml:space="preserve"> </w:t>
      </w:r>
      <w:r>
        <w:t xml:space="preserve">As task context-to-feature learning increases, task items receive a larger share of item support when film-associated context cues retrieval, especially after the film reminder.</w:t>
      </w:r>
      <w:r>
        <w:t xml:space="preserve"> </w:t>
      </w:r>
      <w:r>
        <w:t xml:space="preserve">Across the task-learning sweep, film encoding settings remain unchanged.</w:t>
      </w:r>
      <w:r>
        <w:t xml:space="preserve"> </w:t>
      </w:r>
      <w:r>
        <w:t xml:space="preserve">The loss of film recall comes from stronger support for task items that can be cued by film-associated context.</w:t>
      </w:r>
      <w:r>
        <w:t xml:space="preserve"> </w:t>
      </w:r>
      <w:r>
        <w:t xml:space="preserve">Task items remain distinct from film items but become increasingly likely to win retrieval from film-related cues.</w:t>
      </w:r>
      <w:r>
        <w:t xml:space="preserve"> </w:t>
      </w:r>
      <w:r>
        <w:t xml:space="preserve">Simulation 2 next examines whether film-directed retrieval control reduces the impact of these task-item associations on deliberate recall.</w:t>
      </w:r>
    </w:p>
    <w:bookmarkEnd w:id="62"/>
    <w:bookmarkStart w:id="71" w:name="X275267fc422364c40de36a949ca283d594680dd"/>
    <w:p>
      <w:pPr>
        <w:pStyle w:val="Heading2"/>
      </w:pPr>
      <w:r>
        <w:t xml:space="preserve">Simulation 2: Retrieval Mode and Film-Directed Control</w:t>
      </w:r>
    </w:p>
    <w:p>
      <w:pPr>
        <w:pStyle w:val="FirstParagraph"/>
      </w:pPr>
      <w:r>
        <w:t xml:space="preserve">Simulation 2 turns from encoding conditions to retrieval control.</w:t>
      </w:r>
      <w:r>
        <w:t xml:space="preserve"> </w:t>
      </w:r>
      <w:r>
        <w:t xml:space="preserve">The broader Simulation 2 package decomposes deliberate recall into three film-directed control operations: start-of-list context reinstatement, selection sharpening, and target monitoring.</w:t>
      </w:r>
      <w:r>
        <w:t xml:space="preserve"> </w:t>
      </w:r>
      <w:r>
        <w:t xml:space="preserve">Figure 3 isolates the first operation.</w:t>
      </w:r>
      <w:r>
        <w:t xml:space="preserve"> </w:t>
      </w:r>
      <w:r>
        <w:t xml:space="preserve">In the model, deliberate recall can begin by drifting current context toward the start-of-list state before the first retrieval attempt.</w:t>
      </w:r>
      <w:r>
        <w:t xml:space="preserve"> </w:t>
      </w:r>
      <w:r>
        <w:t xml:space="preserve">Because film items are encoded first, the start-of-list state is film-relevant in the present paradigm: reinstating it changes the context used to cue the first retrieval competition while leaving the learned film and task associations otherwise unchanged.</w:t>
      </w:r>
      <w:r>
        <w:t xml:space="preserve"> </w:t>
      </w:r>
      <w:r>
        <w:t xml:space="preserve">The simulation holds the post-reminder task condition fixed at task learning factor 2.0 and varies the degree of start-of-list context reinstatement.</w:t>
      </w:r>
      <w:r>
        <w:t xml:space="preserve"> </w:t>
      </w:r>
      <w:r>
        <w:t xml:space="preserve">The plotted reinstatement values are multiples of the fitted start-cue parameter, so 1.0 corresponds to</w:t>
      </w:r>
      <w:r>
        <w:t xml:space="preserve"> </w:t>
      </w:r>
      <m:oMath>
        <m:sSub>
          <m:e>
            <m:r>
              <m:t>β</m:t>
            </m:r>
          </m:e>
          <m:sub>
            <m:r>
              <m:t>s</m:t>
            </m:r>
            <m:r>
              <m:t>t</m:t>
            </m:r>
            <m:r>
              <m:t>a</m:t>
            </m:r>
            <m:r>
              <m:t>r</m:t>
            </m:r>
            <m:r>
              <m:t>t</m:t>
            </m:r>
          </m:sub>
        </m:sSub>
      </m:oMath>
      <w:r>
        <w:t xml:space="preserve"> </w:t>
      </w:r>
      <w:r>
        <w:t xml:space="preserve">in</w:t>
      </w:r>
      <w:r>
        <w:t xml:space="preserve"> </w:t>
      </w:r>
      <w:hyperlink w:anchor="eq-deliberate-start-cue">
        <w:r>
          <w:rPr>
            <w:rStyle w:val="Hyperlink"/>
          </w:rPr>
          <w:t xml:space="preserve">Equation 14</w:t>
        </w:r>
      </w:hyperlink>
      <w:r>
        <w:t xml:space="preserve">.</w:t>
      </w:r>
    </w:p>
    <w:bookmarkStart w:id="66" w:name="Xe96feb7454d6b23e449dfafb9c326dcfa9c3226"/>
    <w:p>
      <w:pPr>
        <w:pStyle w:val="FigureTitle"/>
      </w:pPr>
      <w:r>
        <w:t xml:space="preserve">Figure 3</w:t>
      </w:r>
    </w:p>
    <w:p>
      <w:pPr>
        <w:pStyle w:val="Caption"/>
      </w:pPr>
      <w:r>
        <w:rPr>
          <w:b/>
          <w:bCs/>
        </w:rPr>
        <w:t xml:space="preserve">Start-of-list context reinstatement protects film recall by changing the context that cues retrieval.</w:t>
      </w:r>
      <w:r>
        <w:t xml:space="preserve"> </w:t>
      </w:r>
      <w:r>
        <w:t xml:space="preserve">Simulation 2 demonstrates how a deliberate-recall start operation can protect film recall after post-reminder task encoding by drifting retrieval context toward the start-of-list state immediately before the first retrieval attempt.</w:t>
      </w:r>
      <w:r>
        <w:t xml:space="preserve"> </w:t>
      </w:r>
      <w:r>
        <w:rPr>
          <w:b/>
          <w:bCs/>
        </w:rPr>
        <w:t xml:space="preserve">(A)</w:t>
      </w:r>
      <w:r>
        <w:t xml:space="preserve"> </w:t>
      </w:r>
      <w:r>
        <w:t xml:space="preserve">Before any item is sampled, stronger start-of-list context reinstatement makes the retrieval context support early film items rather than late filler items.</w:t>
      </w:r>
      <w:r>
        <w:t xml:space="preserve"> </w:t>
      </w:r>
      <w:r>
        <w:rPr>
          <w:b/>
          <w:bCs/>
        </w:rPr>
        <w:t xml:space="preserve">(B)</w:t>
      </w:r>
      <w:r>
        <w:t xml:space="preserve"> </w:t>
      </w:r>
      <w:r>
        <w:t xml:space="preserve">This pre-recall support shift makes recall more likely to begin with film items, especially items from the beginning of the film sequence.</w:t>
      </w:r>
      <w:r>
        <w:t xml:space="preserve"> </w:t>
      </w:r>
      <w:r>
        <w:rPr>
          <w:b/>
          <w:bCs/>
        </w:rPr>
        <w:t xml:space="preserve">(C)</w:t>
      </w:r>
      <w:r>
        <w:t xml:space="preserve"> </w:t>
      </w:r>
      <w:r>
        <w:t xml:space="preserve">Across the sampled retrieval sequence, stronger start-of-list context reinstatement increases access to film items, with the largest gains concentrated near the beginning of the film sequence.</w:t>
      </w:r>
      <w:r>
        <w:t xml:space="preserve"> </w:t>
      </w:r>
      <w:r>
        <w:t xml:space="preserve">Because sampled early film items reinstate film-associated context, and because context drifts gradually during retrieval, a start-of-recall context shift can affect later samples as well as the first sampled item.</w:t>
      </w:r>
    </w:p>
    <w:p>
      <w:pPr>
        <w:pStyle w:val="FigureWithoutNote"/>
      </w:pPr>
      <w:r>
        <w:drawing>
          <wp:inline>
            <wp:extent cx="5943600" cy="4209375"/>
            <wp:effectExtent b="0" l="0" r="0" t="0"/>
            <wp:docPr descr="" title="" id="64" name="Picture"/>
            <a:graphic>
              <a:graphicData uri="http://schemas.openxmlformats.org/drawingml/2006/picture">
                <pic:pic>
                  <pic:nvPicPr>
                    <pic:cNvPr descr="figures/simulation2_start_context_reinstatement.png" id="65" name="Picture"/>
                    <pic:cNvPicPr>
                      <a:picLocks noChangeArrowheads="1" noChangeAspect="1"/>
                    </pic:cNvPicPr>
                  </pic:nvPicPr>
                  <pic:blipFill>
                    <a:blip r:embed="rId63"/>
                    <a:stretch>
                      <a:fillRect/>
                    </a:stretch>
                  </pic:blipFill>
                  <pic:spPr bwMode="auto">
                    <a:xfrm>
                      <a:off x="0" y="0"/>
                      <a:ext cx="5943600" cy="4209375"/>
                    </a:xfrm>
                    <a:prstGeom prst="rect">
                      <a:avLst/>
                    </a:prstGeom>
                    <a:noFill/>
                    <a:ln w="9525">
                      <a:noFill/>
                      <a:headEnd/>
                      <a:tailEnd/>
                    </a:ln>
                  </pic:spPr>
                </pic:pic>
              </a:graphicData>
            </a:graphic>
          </wp:inline>
        </w:drawing>
      </w:r>
    </w:p>
    <w:bookmarkEnd w:id="66"/>
    <w:p>
      <w:pPr>
        <w:pStyle w:val="AfterWithoutNote"/>
      </w:pPr>
      <w:r>
        <w:t xml:space="preserve">Panel A probes</w:t>
      </w:r>
      <w:r>
        <w:t xml:space="preserve"> </w:t>
      </w:r>
      <m:oMath>
        <m:sSup>
          <m:e>
            <m:r>
              <m:t>M</m:t>
            </m:r>
          </m:e>
          <m:sup>
            <m:r>
              <m:t>C</m:t>
            </m:r>
            <m:r>
              <m:t>F</m:t>
            </m:r>
          </m:sup>
        </m:sSup>
      </m:oMath>
      <w:r>
        <w:t xml:space="preserve"> </w:t>
      </w:r>
      <w:r>
        <w:t xml:space="preserve">with the pre-recall retrieval context before Luce choice, stopping, or sampled-item context updating.</w:t>
      </w:r>
      <w:r>
        <w:t xml:space="preserve"> </w:t>
      </w:r>
      <w:r>
        <w:t xml:space="preserve">With no start-of-list context reinstatement, support is concentrated in late filler positions because the retrieval context reflects the post-filler state.</w:t>
      </w:r>
      <w:r>
        <w:t xml:space="preserve"> </w:t>
      </w:r>
      <w:r>
        <w:t xml:space="preserve">As start-of-list context reinstatement increases, support shifts toward early film positions.</w:t>
      </w:r>
      <w:r>
        <w:t xml:space="preserve"> </w:t>
      </w:r>
      <w:r>
        <w:t xml:space="preserve">Panels B and C apply the same retrieval settings to sampled retrieval sequences.</w:t>
      </w:r>
      <w:r>
        <w:t xml:space="preserve"> </w:t>
      </w:r>
      <w:r>
        <w:t xml:space="preserve">Panel B shows that this support shift changes recall initiation, with first recalls moving from filler positions when start-of-list context reinstatement is omitted to early film positions as reinstatement increases.</w:t>
      </w:r>
      <w:r>
        <w:t xml:space="preserve"> </w:t>
      </w:r>
      <w:r>
        <w:t xml:space="preserve">Panel C shows that the initiation shift has full-sequence consequences: sampled early film items reinstate film-associated context and raise film-item access across subsequent samples.</w:t>
      </w:r>
      <w:r>
        <w:t xml:space="preserve"> </w:t>
      </w:r>
      <w:r>
        <w:t xml:space="preserve">Under the strong task setting used here, task items remain available to be sampled later in the sequence, so the next step is to examine how selection operates once a retrieval cue has been set.</w:t>
      </w:r>
    </w:p>
    <w:p>
      <w:pPr>
        <w:pStyle w:val="BodyText"/>
      </w:pPr>
      <w:r>
        <w:t xml:space="preserve">The second control setting is retrieval selectivity.</w:t>
      </w:r>
      <w:r>
        <w:t xml:space="preserve"> </w:t>
      </w:r>
      <w:r>
        <w:t xml:space="preserve">This manipulation scales the choice-sensitivity parameter</w:t>
      </w:r>
      <w:r>
        <w:t xml:space="preserve"> </w:t>
      </w:r>
      <m:oMath>
        <m:r>
          <m:t>τ</m:t>
        </m:r>
      </m:oMath>
      <w:r>
        <w:t xml:space="preserve"> </w:t>
      </w:r>
      <w:r>
        <w:t xml:space="preserve">in</w:t>
      </w:r>
      <w:r>
        <w:t xml:space="preserve"> </w:t>
      </w:r>
      <w:hyperlink w:anchor="eq-choice-sensitivity">
        <w:r>
          <w:rPr>
            <w:rStyle w:val="Hyperlink"/>
          </w:rPr>
          <w:t xml:space="preserve">Equation 10</w:t>
        </w:r>
      </w:hyperlink>
      <w:r>
        <w:t xml:space="preserve">, changing how sharply candidate support is converted into selection probability.</w:t>
      </w:r>
      <w:r>
        <w:t xml:space="preserve"> </w:t>
      </w:r>
      <w:r>
        <w:t xml:space="preserve">It does not supply a film cue by itself.</w:t>
      </w:r>
      <w:r>
        <w:t xml:space="preserve"> </w:t>
      </w:r>
      <w:r>
        <w:t xml:space="preserve">Instead, it makes the candidate structure supplied by the current context more consequential.</w:t>
      </w:r>
      <w:r>
        <w:t xml:space="preserve"> </w:t>
      </w:r>
      <w:r>
        <w:t xml:space="preserve">Figure 4 crosses retrieval selectivity with start-of-list context reinstatement while holding the same post-reminder task condition fixed.</w:t>
      </w:r>
      <w:r>
        <w:t xml:space="preserve"> </w:t>
      </w:r>
      <w:r>
        <w:t xml:space="preserve">The final panel introduces target monitoring as a post-off-target recovery operation.</w:t>
      </w:r>
      <w:r>
        <w:t xml:space="preserve"> </w:t>
      </w:r>
      <w:r>
        <w:t xml:space="preserve">Here, target monitoring refers to control engaged after a sampled candidate is recognized as off target: the operation can reduce that candidate’s influence on subsequent search and help reorient retrieval toward film-relevant context.</w:t>
      </w:r>
      <w:r>
        <w:t xml:space="preserve"> </w:t>
      </w:r>
      <w:r>
        <w:t xml:space="preserve">The concrete CMR-style implementation used here is rejected-sample updating.</w:t>
      </w:r>
      <w:r>
        <w:t xml:space="preserve"> </w:t>
      </w:r>
      <w:r>
        <w:t xml:space="preserve">Sampled off-target candidates still occupy retrieval attempts, but their context update is multiplied by</w:t>
      </w:r>
      <w:r>
        <w:t xml:space="preserve"> </w:t>
      </w:r>
      <m:oMath>
        <m:r>
          <m:t>κ</m:t>
        </m:r>
      </m:oMath>
      <w:r>
        <w:t xml:space="preserve">, with</w:t>
      </w:r>
      <w:r>
        <w:t xml:space="preserve"> </w:t>
      </w:r>
      <m:oMath>
        <m:r>
          <m:t>κ</m:t>
        </m:r>
        <m:r>
          <m:rPr>
            <m:sty m:val="p"/>
          </m:rPr>
          <m:t>=</m:t>
        </m:r>
        <m:r>
          <m:t>1</m:t>
        </m:r>
      </m:oMath>
      <w:r>
        <w:t xml:space="preserve"> </w:t>
      </w:r>
      <w:r>
        <w:t xml:space="preserve">giving the normal sampled-item update and</w:t>
      </w:r>
      <w:r>
        <w:t xml:space="preserve"> </w:t>
      </w:r>
      <m:oMath>
        <m:r>
          <m:t>κ</m:t>
        </m:r>
        <m:r>
          <m:rPr>
            <m:sty m:val="p"/>
          </m:rPr>
          <m:t>=</m:t>
        </m:r>
        <m:r>
          <m:t>0</m:t>
        </m:r>
      </m:oMath>
      <w:r>
        <w:t xml:space="preserve"> </w:t>
      </w:r>
      <w:r>
        <w:t xml:space="preserve">preventing off-target context updating.</w:t>
      </w:r>
    </w:p>
    <w:bookmarkStart w:id="70" w:name="fig-simulation2-retrieval-selectivity"/>
    <w:p>
      <w:pPr>
        <w:pStyle w:val="FigureTitle"/>
      </w:pPr>
      <w:r>
        <w:t xml:space="preserve">Figure 4</w:t>
      </w:r>
    </w:p>
    <w:p>
      <w:pPr>
        <w:pStyle w:val="Caption"/>
      </w:pPr>
      <w:r>
        <w:rPr>
          <w:b/>
          <w:bCs/>
        </w:rPr>
        <w:t xml:space="preserve">Retrieval selectivity sharpens the current search path, while target monitoring limits drift after off-target samples.</w:t>
      </w:r>
      <w:r>
        <w:t xml:space="preserve"> </w:t>
      </w:r>
      <w:r>
        <w:t xml:space="preserve">Simulation 2 demonstrates why deliberate recall requires more than globally sharper selection by first varying retrieval selectivity after post-reminder task encoding, with or without start-of-list context reinstatement, and then examining a rejected-sample implementation of off-target recovery.</w:t>
      </w:r>
      <w:r>
        <w:t xml:space="preserve"> </w:t>
      </w:r>
      <w:r>
        <w:rPr>
          <w:b/>
          <w:bCs/>
        </w:rPr>
        <w:t xml:space="preserve">(A)</w:t>
      </w:r>
      <w:r>
        <w:t xml:space="preserve"> </w:t>
      </w:r>
      <w:r>
        <w:t xml:space="preserve">With start-of-list reinstatement, higher retrieval selectivity increases short-lag transitions, indicating stronger local search around the currently active temporal neighborhood.</w:t>
      </w:r>
      <w:r>
        <w:t xml:space="preserve"> </w:t>
      </w:r>
      <w:r>
        <w:rPr>
          <w:b/>
          <w:bCs/>
        </w:rPr>
        <w:t xml:space="preserve">(B)</w:t>
      </w:r>
      <w:r>
        <w:t xml:space="preserve"> </w:t>
      </w:r>
      <w:r>
        <w:t xml:space="preserve">Without start-of-list reinstatement, sharper local search amplifies recall of late non-film items because the ongoing retrieval context most strongly supports those positions.</w:t>
      </w:r>
      <w:r>
        <w:t xml:space="preserve"> </w:t>
      </w:r>
      <w:r>
        <w:rPr>
          <w:b/>
          <w:bCs/>
        </w:rPr>
        <w:t xml:space="preserve">(C)</w:t>
      </w:r>
      <w:r>
        <w:t xml:space="preserve"> </w:t>
      </w:r>
      <w:r>
        <w:t xml:space="preserve">With start-of-list reinstatement, the same increase in retrieval selectivity amplifies recall of film items because retrieval begins from context that supports the start of the film sequence.</w:t>
      </w:r>
      <w:r>
        <w:t xml:space="preserve"> </w:t>
      </w:r>
      <w:r>
        <w:rPr>
          <w:b/>
          <w:bCs/>
        </w:rPr>
        <w:t xml:space="preserve">(D)</w:t>
      </w:r>
      <w:r>
        <w:t xml:space="preserve"> </w:t>
      </w:r>
      <w:r>
        <w:t xml:space="preserve">A concrete rejected-sample implementation shows the same constraint: reducing the context update after off-target samples helps retrieval return to film items only when start-of-list reinstatement has already made film items accessible.</w:t>
      </w:r>
      <w:r>
        <w:t xml:space="preserve"> </w:t>
      </w:r>
      <w:r>
        <w:t xml:space="preserve">Together, the panels show that selection sharpening is conditional on the current retrieval context, whereas target monitoring can limit the aftereffects of off-target samples without supplying a film cue by itself.</w:t>
      </w:r>
    </w:p>
    <w:p>
      <w:pPr>
        <w:pStyle w:val="FigureWithoutNote"/>
      </w:pPr>
      <w:r>
        <w:drawing>
          <wp:inline>
            <wp:extent cx="5943600" cy="4082965"/>
            <wp:effectExtent b="0" l="0" r="0" t="0"/>
            <wp:docPr descr="" title="" id="68" name="Picture"/>
            <a:graphic>
              <a:graphicData uri="http://schemas.openxmlformats.org/drawingml/2006/picture">
                <pic:pic>
                  <pic:nvPicPr>
                    <pic:cNvPr descr="figures/simulation2_retrieval_selectivity.png" id="69" name="Picture"/>
                    <pic:cNvPicPr>
                      <a:picLocks noChangeArrowheads="1" noChangeAspect="1"/>
                    </pic:cNvPicPr>
                  </pic:nvPicPr>
                  <pic:blipFill>
                    <a:blip r:embed="rId67"/>
                    <a:stretch>
                      <a:fillRect/>
                    </a:stretch>
                  </pic:blipFill>
                  <pic:spPr bwMode="auto">
                    <a:xfrm>
                      <a:off x="0" y="0"/>
                      <a:ext cx="5943600" cy="4082965"/>
                    </a:xfrm>
                    <a:prstGeom prst="rect">
                      <a:avLst/>
                    </a:prstGeom>
                    <a:noFill/>
                    <a:ln w="9525">
                      <a:noFill/>
                      <a:headEnd/>
                      <a:tailEnd/>
                    </a:ln>
                  </pic:spPr>
                </pic:pic>
              </a:graphicData>
            </a:graphic>
          </wp:inline>
        </w:drawing>
      </w:r>
    </w:p>
    <w:bookmarkEnd w:id="70"/>
    <w:p>
      <w:pPr>
        <w:pStyle w:val="AfterWithoutNote"/>
      </w:pPr>
      <w:r>
        <w:t xml:space="preserve">Panel A shows the local-search consequence of increasing retrieval selectivity in the start-of-list reinstatement condition.</w:t>
      </w:r>
      <w:r>
        <w:t xml:space="preserve"> </w:t>
      </w:r>
      <w:r>
        <w:t xml:space="preserve">Because the Luce choice rule exaggerates differences in candidate support, higher values make successive recalls cluster more strongly around nearby encoded positions.</w:t>
      </w:r>
      <w:r>
        <w:t xml:space="preserve"> </w:t>
      </w:r>
      <w:r>
        <w:t xml:space="preserve">Panels B and C show that the recall consequences of this local search depend on the retrieval context.</w:t>
      </w:r>
      <w:r>
        <w:t xml:space="preserve"> </w:t>
      </w:r>
      <w:r>
        <w:t xml:space="preserve">When recall begins from the ongoing post-filler context, increasing retrieval selectivity favors the late non-film items most strongly supported by that context.</w:t>
      </w:r>
      <w:r>
        <w:t xml:space="preserve"> </w:t>
      </w:r>
      <w:r>
        <w:t xml:space="preserve">When recall begins after start-of-list context reinstatement, increasing retrieval selectivity favors the early film items supported by the reinstated context.</w:t>
      </w:r>
      <w:r>
        <w:t xml:space="preserve"> </w:t>
      </w:r>
      <w:r>
        <w:t xml:space="preserve">Panel D conditions on transitions where the current sample is off target, retrieval continues, and at least one film item remains unsampled.</w:t>
      </w:r>
      <w:r>
        <w:t xml:space="preserve"> </w:t>
      </w:r>
      <w:r>
        <w:t xml:space="preserve">Without start-of-list context reinstatement, the probability that the next sample is a film item remains near zero across the</w:t>
      </w:r>
      <w:r>
        <w:t xml:space="preserve"> </w:t>
      </w:r>
      <m:oMath>
        <m:r>
          <m:t>κ</m:t>
        </m:r>
      </m:oMath>
      <w:r>
        <w:t xml:space="preserve"> </w:t>
      </w:r>
      <w:r>
        <w:t xml:space="preserve">sweep.</w:t>
      </w:r>
      <w:r>
        <w:t xml:space="preserve"> </w:t>
      </w:r>
      <w:r>
        <w:t xml:space="preserve">With start-of-list context reinstatement, lowering</w:t>
      </w:r>
      <w:r>
        <w:t xml:space="preserve"> </w:t>
      </w:r>
      <m:oMath>
        <m:r>
          <m:t>κ</m:t>
        </m:r>
      </m:oMath>
      <w:r>
        <w:t xml:space="preserve"> </w:t>
      </w:r>
      <w:r>
        <w:t xml:space="preserve">from 1.0 to 0.0 raises this film-return probability from 0.059 to 0.643.</w:t>
      </w:r>
      <w:r>
        <w:t xml:space="preserve"> </w:t>
      </w:r>
      <w:r>
        <w:t xml:space="preserve">Across Figures 3 and 4, deliberate recall is protected by a sequence of control settings: start-of-list context reinstatement supplies a film-relevant retrieval cue, retrieval selectivity sharpens whatever the current context supports, and target monitoring limits the context-updating consequences of sampled off-target candidates.</w:t>
      </w:r>
    </w:p>
    <w:bookmarkEnd w:id="71"/>
    <w:bookmarkStart w:id="72" w:name="X959c89e07921dad0e6427ddac0201e22ff6b885"/>
    <w:p>
      <w:pPr>
        <w:pStyle w:val="Heading2"/>
      </w:pPr>
      <w:r>
        <w:t xml:space="preserve">Simulation 3: Task Specificity and Source-Context Overlap</w:t>
      </w:r>
    </w:p>
    <w:p>
      <w:pPr>
        <w:pStyle w:val="FirstParagraph"/>
      </w:pPr>
      <w:r>
        <w:t xml:space="preserve">Premise: Simulation 3 distinguishes task properties that affect interference: learned support for task items, temporal-context overlap with film items, and source-context overlap.</w:t>
      </w:r>
      <w:r>
        <w:t xml:space="preserve"> </w:t>
      </w:r>
      <w:r>
        <w:t xml:space="preserve">These properties specify when a task labeled visuospatial should produce strong competitors, and when a comparison task could do the same.</w:t>
      </w:r>
      <w:r>
        <w:t xml:space="preserve"> </w:t>
      </w:r>
      <w:r>
        <w:t xml:space="preserve">Temporal and source-context overlap can amplify task-item influence when task items are cued alongside film items.</w:t>
      </w:r>
      <w:r>
        <w:t xml:space="preserve"> </w:t>
      </w:r>
      <w:r>
        <w:t xml:space="preserve">This section should distinguish those task properties from the surface label of a task as visuospatial.</w:t>
      </w:r>
    </w:p>
    <w:p>
      <w:pPr>
        <w:pStyle w:val="BodyText"/>
      </w:pPr>
      <w:r>
        <w:t xml:space="preserve">Primary readouts: The figure should show film-item access and task-competitor retrieval under task-strength and source-context-overlap variants.</w:t>
      </w:r>
      <w:r>
        <w:t xml:space="preserve"> </w:t>
      </w:r>
      <w:r>
        <w:t xml:space="preserve">If contextual overlap is also varied here, the display should make clear which factor changes competitor recruitment and which factor changes competitor success once cued.</w:t>
      </w:r>
      <w:r>
        <w:t xml:space="preserve"> </w:t>
      </w:r>
      <w:r>
        <w:t xml:space="preserve">Phase-resolved recall remains useful because the model’s explanation depends on task items entering retrieval alongside film items.</w:t>
      </w:r>
    </w:p>
    <w:p>
      <w:pPr>
        <w:pStyle w:val="BodyText"/>
      </w:pPr>
      <w:r>
        <w:t xml:space="preserve">Intended text take-away: The account does not require a special trace-weakening effect of visuospatial tasks.</w:t>
      </w:r>
      <w:r>
        <w:t xml:space="preserve"> </w:t>
      </w:r>
      <w:r>
        <w:t xml:space="preserve">Task effectiveness can be decomposed into retrieved-context properties: competitor strength, temporal-context overlap, source-context overlap, or their combination.</w:t>
      </w:r>
      <w:r>
        <w:t xml:space="preserve"> </w:t>
      </w:r>
      <w:r>
        <w:t xml:space="preserve">Source matching can be used as a sensitivity extension if it is run as a specific manipulation, but it should not become the main explanation unless the simulations make it central.</w:t>
      </w:r>
    </w:p>
    <w:p>
      <w:pPr>
        <w:pStyle w:val="BodyText"/>
      </w:pPr>
      <w:r>
        <w:t xml:space="preserve">Open specification: Decide whether source-context overlap is a main simulation or a sensitivity analysis.</w:t>
      </w:r>
      <w:r>
        <w:t xml:space="preserve"> </w:t>
      </w:r>
      <w:r>
        <w:t xml:space="preserve">Decide whether comparison-task conditions are best represented as weak task learning, lower temporal overlap, lower source overlap, or a particular combination tied to an empirical contrast.</w:t>
      </w:r>
      <w:r>
        <w:t xml:space="preserve"> </w:t>
      </w:r>
      <w:r>
        <w:t xml:space="preserve">Reminder timing is not a separate numbered package in the current scaffold; graded reminder reinstatement or drift can enter here only if needed to specify contextual overlap for task-specificity contrasts.</w:t>
      </w:r>
    </w:p>
    <w:bookmarkEnd w:id="72"/>
    <w:bookmarkStart w:id="73" w:name="Xbb86edf9a8761741bf156e8f8f4d3ff038dd223"/>
    <w:p>
      <w:pPr>
        <w:pStyle w:val="Heading2"/>
      </w:pPr>
      <w:r>
        <w:t xml:space="preserve">Simulation 4: Cue Support and Test-Format Extensions</w:t>
      </w:r>
    </w:p>
    <w:p>
      <w:pPr>
        <w:pStyle w:val="FirstParagraph"/>
      </w:pPr>
      <w:r>
        <w:t xml:space="preserve">Premise: Intrusion diaries, vigilance-style monitoring, free recall, cued recall, and recognition-like tests differ in how much they rely on broad context-to-feature search versus film-directed retrieval support.</w:t>
      </w:r>
      <w:r>
        <w:t xml:space="preserve"> </w:t>
      </w:r>
      <w:r>
        <w:t xml:space="preserve">This section asks how film-related monitoring cues and tests that supply a film item alter vulnerability to task interference.</w:t>
      </w:r>
      <w:r>
        <w:t xml:space="preserve"> </w:t>
      </w:r>
      <w:r>
        <w:t xml:space="preserve">The section should only become a simulation result if each test format is assigned a concrete retrieval or cueing setting.</w:t>
      </w:r>
      <w:r>
        <w:t xml:space="preserve"> </w:t>
      </w:r>
      <w:r>
        <w:t xml:space="preserve">Candidate settings include unguided retrieval from ongoing context, monitoring with film-related cues, deliberate recall with film-directed start cueing, cued recall with stronger external support, and supplied-film-item access.</w:t>
      </w:r>
    </w:p>
    <w:p>
      <w:pPr>
        <w:pStyle w:val="BodyText"/>
      </w:pPr>
      <w:r>
        <w:t xml:space="preserve">Primary readouts: The figure should show a graded vulnerability profile across retrieval and cueing settings under the same stored associations.</w:t>
      </w:r>
      <w:r>
        <w:t xml:space="preserve"> </w:t>
      </w:r>
      <w:r>
        <w:t xml:space="preserve">The useful result is a continuum of film-item impairment across broad unguided search, film-cued monitoring, deliberate recall, and supplied-film-item access.</w:t>
      </w:r>
      <w:r>
        <w:t xml:space="preserve"> </w:t>
      </w:r>
      <w:r>
        <w:t xml:space="preserve">The display should avoid implying a full recognition decision model unless such a mechanism is added.</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depending on how much the task supports film-directed retrieval or supplies film items as cues.</w:t>
      </w:r>
      <w:r>
        <w:t xml:space="preserve"> </w:t>
      </w:r>
      <w:r>
        <w:t xml:space="preserve">Cue-rich tests should narrow the intrusion-voluntary-memory dissociation because they reduce reliance on broad context-to-feature sampling.</w:t>
      </w:r>
    </w:p>
    <w:p>
      <w:pPr>
        <w:pStyle w:val="BodyText"/>
      </w:pPr>
      <w:r>
        <w:t xml:space="preserve">Open specification: The mapping from empirical test format to model setting is the main unresolved piece.</w:t>
      </w:r>
      <w:r>
        <w:t xml:space="preserve"> </w:t>
      </w:r>
      <w:r>
        <w:t xml:space="preserve">If the mapping remains qualitative, this material belongs in the discussion rather than as a numbered simulation.</w:t>
      </w:r>
      <w:r>
        <w:t xml:space="preserve"> </w:t>
      </w:r>
      <w:r>
        <w:t xml:space="preserve">Decide whether supplied-film-item access is implemented strongly enough to justify splitting this section into a separate recognition-like simulation later.</w:t>
      </w:r>
    </w:p>
    <w:bookmarkEnd w:id="73"/>
    <w:bookmarkEnd w:id="74"/>
    <w:bookmarkStart w:id="75" w:name="general-discussion"/>
    <w:p>
      <w:pPr>
        <w:pStyle w:val="Heading1"/>
      </w:pPr>
      <w:r>
        <w:t xml:space="preserve">General Discussion</w:t>
      </w:r>
    </w:p>
    <w:bookmarkEnd w:id="75"/>
    <w:bookmarkStart w:id="146" w:name="references"/>
    <w:p>
      <w:pPr>
        <w:pStyle w:val="Heading1"/>
      </w:pPr>
      <w:r>
        <w:t xml:space="preserve">References</w:t>
      </w:r>
    </w:p>
    <w:bookmarkStart w:id="145" w:name="refs"/>
    <w:bookmarkStart w:id="77"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76">
        <w:r>
          <w:rPr>
            <w:rStyle w:val="Hyperlink"/>
          </w:rPr>
          <w:t xml:space="preserve">https://doi.org/10.1016/j.jpsychires.2023.01.028</w:t>
        </w:r>
      </w:hyperlink>
    </w:p>
    <w:bookmarkEnd w:id="77"/>
    <w:bookmarkStart w:id="79"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78">
        <w:r>
          <w:rPr>
            <w:rStyle w:val="Hyperlink"/>
          </w:rPr>
          <w:t xml:space="preserve">https://doi.org/10.1037/a0033722</w:t>
        </w:r>
      </w:hyperlink>
    </w:p>
    <w:bookmarkEnd w:id="79"/>
    <w:bookmarkStart w:id="81"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80">
        <w:r>
          <w:rPr>
            <w:rStyle w:val="Hyperlink"/>
          </w:rPr>
          <w:t xml:space="preserve">https://doi.org/10.1037/0033-295X.103.4.670</w:t>
        </w:r>
      </w:hyperlink>
    </w:p>
    <w:bookmarkEnd w:id="81"/>
    <w:bookmarkStart w:id="83"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82">
        <w:r>
          <w:rPr>
            <w:rStyle w:val="Hyperlink"/>
          </w:rPr>
          <w:t xml:space="preserve">https://doi.org/10.1037/a0018113</w:t>
        </w:r>
      </w:hyperlink>
    </w:p>
    <w:bookmarkEnd w:id="83"/>
    <w:bookmarkStart w:id="85"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84">
        <w:r>
          <w:rPr>
            <w:rStyle w:val="Hyperlink"/>
          </w:rPr>
          <w:t xml:space="preserve">https://doi.org/10.1037/rev0000334</w:t>
        </w:r>
      </w:hyperlink>
    </w:p>
    <w:bookmarkEnd w:id="85"/>
    <w:bookmarkStart w:id="87"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86">
        <w:r>
          <w:rPr>
            <w:rStyle w:val="Hyperlink"/>
          </w:rPr>
          <w:t xml:space="preserve">https://doi.org/10.1016/j.jbtep.2011.10.008</w:t>
        </w:r>
      </w:hyperlink>
    </w:p>
    <w:bookmarkEnd w:id="87"/>
    <w:bookmarkStart w:id="88"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88"/>
    <w:bookmarkStart w:id="90"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89">
        <w:r>
          <w:rPr>
            <w:rStyle w:val="Hyperlink"/>
          </w:rPr>
          <w:t xml:space="preserve">https://doi.org/10.1016/S0005-7967(99)00123-0</w:t>
        </w:r>
      </w:hyperlink>
    </w:p>
    <w:bookmarkEnd w:id="90"/>
    <w:bookmarkStart w:id="92"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91">
        <w:r>
          <w:rPr>
            <w:rStyle w:val="Hyperlink"/>
          </w:rPr>
          <w:t xml:space="preserve">https://doi.org/10.1016/j.actpsy.2007.11.002</w:t>
        </w:r>
      </w:hyperlink>
    </w:p>
    <w:bookmarkEnd w:id="92"/>
    <w:bookmarkStart w:id="94"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93">
        <w:r>
          <w:rPr>
            <w:rStyle w:val="Hyperlink"/>
          </w:rPr>
          <w:t xml:space="preserve">https://doi.org/10.1037/0096-3445.133.1.3</w:t>
        </w:r>
      </w:hyperlink>
    </w:p>
    <w:bookmarkEnd w:id="94"/>
    <w:bookmarkStart w:id="96"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95">
        <w:r>
          <w:rPr>
            <w:rStyle w:val="Hyperlink"/>
          </w:rPr>
          <w:t xml:space="preserve">https://doi.org/10.1371/journal.pone.0004153</w:t>
        </w:r>
      </w:hyperlink>
    </w:p>
    <w:bookmarkEnd w:id="96"/>
    <w:bookmarkStart w:id="98"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97">
        <w:r>
          <w:rPr>
            <w:rStyle w:val="Hyperlink"/>
          </w:rPr>
          <w:t xml:space="preserve">https://doi.org/10.1371/journal.pone.0013706</w:t>
        </w:r>
      </w:hyperlink>
    </w:p>
    <w:bookmarkEnd w:id="98"/>
    <w:bookmarkStart w:id="100"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99">
        <w:r>
          <w:rPr>
            <w:rStyle w:val="Hyperlink"/>
          </w:rPr>
          <w:t xml:space="preserve">https://doi.org/10.1016/j.brat.2017.03.018</w:t>
        </w:r>
      </w:hyperlink>
    </w:p>
    <w:bookmarkEnd w:id="100"/>
    <w:bookmarkStart w:id="102"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01">
        <w:r>
          <w:rPr>
            <w:rStyle w:val="Hyperlink"/>
          </w:rPr>
          <w:t xml:space="preserve">https://doi.org/10.1006/jmps.2001.1388</w:t>
        </w:r>
      </w:hyperlink>
    </w:p>
    <w:bookmarkEnd w:id="102"/>
    <w:bookmarkStart w:id="103"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03"/>
    <w:bookmarkStart w:id="105"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04">
        <w:r>
          <w:rPr>
            <w:rStyle w:val="Hyperlink"/>
          </w:rPr>
          <w:t xml:space="preserve">https://doi.org/10.1038/mp.2017.23</w:t>
        </w:r>
      </w:hyperlink>
    </w:p>
    <w:bookmarkEnd w:id="105"/>
    <w:bookmarkStart w:id="10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06">
        <w:r>
          <w:rPr>
            <w:rStyle w:val="Hyperlink"/>
          </w:rPr>
          <w:t xml:space="preserve">https://doi.org/10.1016/j.cpr.2018.08.005</w:t>
        </w:r>
      </w:hyperlink>
    </w:p>
    <w:bookmarkEnd w:id="107"/>
    <w:bookmarkStart w:id="10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08">
        <w:r>
          <w:rPr>
            <w:rStyle w:val="Hyperlink"/>
          </w:rPr>
          <w:t xml:space="preserve">https://doi.org/10.1177/0956797615583071</w:t>
        </w:r>
      </w:hyperlink>
    </w:p>
    <w:bookmarkEnd w:id="109"/>
    <w:bookmarkStart w:id="11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10">
        <w:r>
          <w:rPr>
            <w:rStyle w:val="Hyperlink"/>
          </w:rPr>
          <w:t xml:space="preserve">https://doi.org/10.1016/j.cpr.2016.04.010</w:t>
        </w:r>
      </w:hyperlink>
    </w:p>
    <w:bookmarkEnd w:id="111"/>
    <w:bookmarkStart w:id="112"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12"/>
    <w:bookmarkStart w:id="114"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13">
        <w:r>
          <w:rPr>
            <w:rStyle w:val="Hyperlink"/>
          </w:rPr>
          <w:t xml:space="preserve">https://doi.org/10.1002/cpp.2489</w:t>
        </w:r>
      </w:hyperlink>
    </w:p>
    <w:bookmarkEnd w:id="114"/>
    <w:bookmarkStart w:id="116"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15">
        <w:r>
          <w:rPr>
            <w:rStyle w:val="Hyperlink"/>
          </w:rPr>
          <w:t xml:space="preserve">https://doi.org/10.1016/j.jbtep.2019.01.006</w:t>
        </w:r>
      </w:hyperlink>
    </w:p>
    <w:bookmarkEnd w:id="116"/>
    <w:bookmarkStart w:id="118"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17">
        <w:r>
          <w:rPr>
            <w:rStyle w:val="Hyperlink"/>
          </w:rPr>
          <w:t xml:space="preserve">https://doi.org/10.1038/nn.2271</w:t>
        </w:r>
      </w:hyperlink>
    </w:p>
    <w:bookmarkEnd w:id="118"/>
    <w:bookmarkStart w:id="120"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19">
        <w:r>
          <w:rPr>
            <w:rStyle w:val="Hyperlink"/>
          </w:rPr>
          <w:t xml:space="preserve">https://doi.org/10.1002/acp.1611</w:t>
        </w:r>
      </w:hyperlink>
    </w:p>
    <w:bookmarkEnd w:id="120"/>
    <w:bookmarkStart w:id="122"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21">
        <w:r>
          <w:rPr>
            <w:rStyle w:val="Hyperlink"/>
          </w:rPr>
          <w:t xml:space="preserve">https://doi.org/10.1037/xge0000598</w:t>
        </w:r>
      </w:hyperlink>
    </w:p>
    <w:bookmarkEnd w:id="122"/>
    <w:bookmarkStart w:id="124"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23">
        <w:r>
          <w:rPr>
            <w:rStyle w:val="Hyperlink"/>
          </w:rPr>
          <w:t xml:space="preserve">https://doi.org/10.1177/2167702621998315</w:t>
        </w:r>
      </w:hyperlink>
    </w:p>
    <w:bookmarkEnd w:id="124"/>
    <w:bookmarkStart w:id="12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25">
        <w:r>
          <w:rPr>
            <w:rStyle w:val="Hyperlink"/>
          </w:rPr>
          <w:t xml:space="preserve">https://doi.org/10.1037/a0039036</w:t>
        </w:r>
      </w:hyperlink>
    </w:p>
    <w:bookmarkEnd w:id="126"/>
    <w:bookmarkStart w:id="128"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27">
        <w:r>
          <w:rPr>
            <w:rStyle w:val="Hyperlink"/>
          </w:rPr>
          <w:t xml:space="preserve">https://doi.org/10.1037/a0014420</w:t>
        </w:r>
      </w:hyperlink>
    </w:p>
    <w:bookmarkEnd w:id="128"/>
    <w:bookmarkStart w:id="130"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29">
        <w:r>
          <w:rPr>
            <w:rStyle w:val="Hyperlink"/>
          </w:rPr>
          <w:t xml:space="preserve">https://doi.org/10.1016/j.neuropsychologia.2009.02.013</w:t>
        </w:r>
      </w:hyperlink>
    </w:p>
    <w:bookmarkEnd w:id="130"/>
    <w:bookmarkStart w:id="132"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31">
        <w:r>
          <w:rPr>
            <w:rStyle w:val="Hyperlink"/>
          </w:rPr>
          <w:t xml:space="preserve">https://doi.org/10.3758/s13423-011-0086-9</w:t>
        </w:r>
      </w:hyperlink>
    </w:p>
    <w:bookmarkEnd w:id="132"/>
    <w:bookmarkStart w:id="134"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33">
        <w:r>
          <w:rPr>
            <w:rStyle w:val="Hyperlink"/>
          </w:rPr>
          <w:t xml:space="preserve">https://doi.org/10.1037/a0013396</w:t>
        </w:r>
      </w:hyperlink>
    </w:p>
    <w:bookmarkEnd w:id="134"/>
    <w:bookmarkStart w:id="136"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35">
        <w:r>
          <w:rPr>
            <w:rStyle w:val="Hyperlink"/>
          </w:rPr>
          <w:t xml:space="preserve">https://doi.org/10.1037/rev0000132</w:t>
        </w:r>
      </w:hyperlink>
    </w:p>
    <w:bookmarkEnd w:id="136"/>
    <w:bookmarkStart w:id="138"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37">
        <w:r>
          <w:rPr>
            <w:rStyle w:val="Hyperlink"/>
          </w:rPr>
          <w:t xml:space="preserve">https://doi.org/10.1038/s41562-024-01956-y</w:t>
        </w:r>
      </w:hyperlink>
    </w:p>
    <w:bookmarkEnd w:id="138"/>
    <w:bookmarkStart w:id="140"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39">
        <w:r>
          <w:rPr>
            <w:rStyle w:val="Hyperlink"/>
          </w:rPr>
          <w:t xml:space="preserve">https://doi.org/10.1525/collabra.130791</w:t>
        </w:r>
      </w:hyperlink>
    </w:p>
    <w:bookmarkEnd w:id="140"/>
    <w:bookmarkStart w:id="142"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41">
        <w:r>
          <w:rPr>
            <w:rStyle w:val="Hyperlink"/>
          </w:rPr>
          <w:t xml:space="preserve">https://doi.org/10.1038/s41583-019-0150-4</w:t>
        </w:r>
      </w:hyperlink>
    </w:p>
    <w:bookmarkEnd w:id="142"/>
    <w:bookmarkStart w:id="144"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43">
        <w:r>
          <w:rPr>
            <w:rStyle w:val="Hyperlink"/>
          </w:rPr>
          <w:t xml:space="preserve">https://doi.org/10.1037/0278-7393.32.4.792</w:t>
        </w:r>
      </w:hyperlink>
    </w:p>
    <w:bookmarkEnd w:id="144"/>
    <w:bookmarkEnd w:id="145"/>
    <w:bookmarkEnd w:id="14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5" Target="media/rId25.png" /><Relationship Type="http://schemas.openxmlformats.org/officeDocument/2006/relationships/hyperlink" Id="rId119" Target="https://doi.org/10.1002/acp.1611" TargetMode="External" /><Relationship Type="http://schemas.openxmlformats.org/officeDocument/2006/relationships/hyperlink" Id="rId113" Target="https://doi.org/10.1002/cpp.2489" TargetMode="External" /><Relationship Type="http://schemas.openxmlformats.org/officeDocument/2006/relationships/hyperlink" Id="rId101" Target="https://doi.org/10.1006/jmps.2001.1388" TargetMode="External" /><Relationship Type="http://schemas.openxmlformats.org/officeDocument/2006/relationships/hyperlink" Id="rId89" Target="https://doi.org/10.1016/S0005-7967(99)00123-0" TargetMode="External" /><Relationship Type="http://schemas.openxmlformats.org/officeDocument/2006/relationships/hyperlink" Id="rId91" Target="https://doi.org/10.1016/j.actpsy.2007.11.002" TargetMode="External" /><Relationship Type="http://schemas.openxmlformats.org/officeDocument/2006/relationships/hyperlink" Id="rId99" Target="https://doi.org/10.1016/j.brat.2017.03.018" TargetMode="External" /><Relationship Type="http://schemas.openxmlformats.org/officeDocument/2006/relationships/hyperlink" Id="rId110" Target="https://doi.org/10.1016/j.cpr.2016.04.010" TargetMode="External" /><Relationship Type="http://schemas.openxmlformats.org/officeDocument/2006/relationships/hyperlink" Id="rId106" Target="https://doi.org/10.1016/j.cpr.2018.08.005" TargetMode="External" /><Relationship Type="http://schemas.openxmlformats.org/officeDocument/2006/relationships/hyperlink" Id="rId86" Target="https://doi.org/10.1016/j.jbtep.2011.10.008" TargetMode="External" /><Relationship Type="http://schemas.openxmlformats.org/officeDocument/2006/relationships/hyperlink" Id="rId115" Target="https://doi.org/10.1016/j.jbtep.2019.01.006" TargetMode="External" /><Relationship Type="http://schemas.openxmlformats.org/officeDocument/2006/relationships/hyperlink" Id="rId76" Target="https://doi.org/10.1016/j.jpsychires.2023.01.028" TargetMode="External" /><Relationship Type="http://schemas.openxmlformats.org/officeDocument/2006/relationships/hyperlink" Id="rId129" Target="https://doi.org/10.1016/j.neuropsychologia.2009.02.013" TargetMode="External" /><Relationship Type="http://schemas.openxmlformats.org/officeDocument/2006/relationships/hyperlink" Id="rId80" Target="https://doi.org/10.1037/0033-295X.103.4.670" TargetMode="External" /><Relationship Type="http://schemas.openxmlformats.org/officeDocument/2006/relationships/hyperlink" Id="rId93" Target="https://doi.org/10.1037/0096-3445.133.1.3" TargetMode="External" /><Relationship Type="http://schemas.openxmlformats.org/officeDocument/2006/relationships/hyperlink" Id="rId143" Target="https://doi.org/10.1037/0278-7393.32.4.792" TargetMode="External" /><Relationship Type="http://schemas.openxmlformats.org/officeDocument/2006/relationships/hyperlink" Id="rId133" Target="https://doi.org/10.1037/a0013396" TargetMode="External" /><Relationship Type="http://schemas.openxmlformats.org/officeDocument/2006/relationships/hyperlink" Id="rId127" Target="https://doi.org/10.1037/a0014420" TargetMode="External" /><Relationship Type="http://schemas.openxmlformats.org/officeDocument/2006/relationships/hyperlink" Id="rId82" Target="https://doi.org/10.1037/a0018113" TargetMode="External" /><Relationship Type="http://schemas.openxmlformats.org/officeDocument/2006/relationships/hyperlink" Id="rId78" Target="https://doi.org/10.1037/a0033722" TargetMode="External" /><Relationship Type="http://schemas.openxmlformats.org/officeDocument/2006/relationships/hyperlink" Id="rId125" Target="https://doi.org/10.1037/a0039036" TargetMode="External" /><Relationship Type="http://schemas.openxmlformats.org/officeDocument/2006/relationships/hyperlink" Id="rId135" Target="https://doi.org/10.1037/rev0000132" TargetMode="External" /><Relationship Type="http://schemas.openxmlformats.org/officeDocument/2006/relationships/hyperlink" Id="rId84" Target="https://doi.org/10.1037/rev0000334" TargetMode="External" /><Relationship Type="http://schemas.openxmlformats.org/officeDocument/2006/relationships/hyperlink" Id="rId121" Target="https://doi.org/10.1037/xge0000598" TargetMode="External" /><Relationship Type="http://schemas.openxmlformats.org/officeDocument/2006/relationships/hyperlink" Id="rId104" Target="https://doi.org/10.1038/mp.2017.23" TargetMode="External" /><Relationship Type="http://schemas.openxmlformats.org/officeDocument/2006/relationships/hyperlink" Id="rId117" Target="https://doi.org/10.1038/nn.2271" TargetMode="External" /><Relationship Type="http://schemas.openxmlformats.org/officeDocument/2006/relationships/hyperlink" Id="rId137" Target="https://doi.org/10.1038/s41562-024-01956-y" TargetMode="External" /><Relationship Type="http://schemas.openxmlformats.org/officeDocument/2006/relationships/hyperlink" Id="rId141" Target="https://doi.org/10.1038/s41583-019-0150-4" TargetMode="External" /><Relationship Type="http://schemas.openxmlformats.org/officeDocument/2006/relationships/hyperlink" Id="rId108" Target="https://doi.org/10.1177/0956797615583071" TargetMode="External" /><Relationship Type="http://schemas.openxmlformats.org/officeDocument/2006/relationships/hyperlink" Id="rId123" Target="https://doi.org/10.1177/2167702621998315" TargetMode="External" /><Relationship Type="http://schemas.openxmlformats.org/officeDocument/2006/relationships/hyperlink" Id="rId95" Target="https://doi.org/10.1371/journal.pone.0004153" TargetMode="External" /><Relationship Type="http://schemas.openxmlformats.org/officeDocument/2006/relationships/hyperlink" Id="rId97" Target="https://doi.org/10.1371/journal.pone.0013706" TargetMode="External" /><Relationship Type="http://schemas.openxmlformats.org/officeDocument/2006/relationships/hyperlink" Id="rId139" Target="https://doi.org/10.1525/collabra.130791" TargetMode="External" /><Relationship Type="http://schemas.openxmlformats.org/officeDocument/2006/relationships/hyperlink" Id="rId131"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acp.1611" TargetMode="External" /><Relationship Type="http://schemas.openxmlformats.org/officeDocument/2006/relationships/hyperlink" Id="rId113" Target="https://doi.org/10.1002/cpp.2489" TargetMode="External" /><Relationship Type="http://schemas.openxmlformats.org/officeDocument/2006/relationships/hyperlink" Id="rId101" Target="https://doi.org/10.1006/jmps.2001.1388" TargetMode="External" /><Relationship Type="http://schemas.openxmlformats.org/officeDocument/2006/relationships/hyperlink" Id="rId89" Target="https://doi.org/10.1016/S0005-7967(99)00123-0" TargetMode="External" /><Relationship Type="http://schemas.openxmlformats.org/officeDocument/2006/relationships/hyperlink" Id="rId91" Target="https://doi.org/10.1016/j.actpsy.2007.11.002" TargetMode="External" /><Relationship Type="http://schemas.openxmlformats.org/officeDocument/2006/relationships/hyperlink" Id="rId99" Target="https://doi.org/10.1016/j.brat.2017.03.018" TargetMode="External" /><Relationship Type="http://schemas.openxmlformats.org/officeDocument/2006/relationships/hyperlink" Id="rId110" Target="https://doi.org/10.1016/j.cpr.2016.04.010" TargetMode="External" /><Relationship Type="http://schemas.openxmlformats.org/officeDocument/2006/relationships/hyperlink" Id="rId106" Target="https://doi.org/10.1016/j.cpr.2018.08.005" TargetMode="External" /><Relationship Type="http://schemas.openxmlformats.org/officeDocument/2006/relationships/hyperlink" Id="rId86" Target="https://doi.org/10.1016/j.jbtep.2011.10.008" TargetMode="External" /><Relationship Type="http://schemas.openxmlformats.org/officeDocument/2006/relationships/hyperlink" Id="rId115" Target="https://doi.org/10.1016/j.jbtep.2019.01.006" TargetMode="External" /><Relationship Type="http://schemas.openxmlformats.org/officeDocument/2006/relationships/hyperlink" Id="rId76" Target="https://doi.org/10.1016/j.jpsychires.2023.01.028" TargetMode="External" /><Relationship Type="http://schemas.openxmlformats.org/officeDocument/2006/relationships/hyperlink" Id="rId129" Target="https://doi.org/10.1016/j.neuropsychologia.2009.02.013" TargetMode="External" /><Relationship Type="http://schemas.openxmlformats.org/officeDocument/2006/relationships/hyperlink" Id="rId80" Target="https://doi.org/10.1037/0033-295X.103.4.670" TargetMode="External" /><Relationship Type="http://schemas.openxmlformats.org/officeDocument/2006/relationships/hyperlink" Id="rId93" Target="https://doi.org/10.1037/0096-3445.133.1.3" TargetMode="External" /><Relationship Type="http://schemas.openxmlformats.org/officeDocument/2006/relationships/hyperlink" Id="rId143" Target="https://doi.org/10.1037/0278-7393.32.4.792" TargetMode="External" /><Relationship Type="http://schemas.openxmlformats.org/officeDocument/2006/relationships/hyperlink" Id="rId133" Target="https://doi.org/10.1037/a0013396" TargetMode="External" /><Relationship Type="http://schemas.openxmlformats.org/officeDocument/2006/relationships/hyperlink" Id="rId127" Target="https://doi.org/10.1037/a0014420" TargetMode="External" /><Relationship Type="http://schemas.openxmlformats.org/officeDocument/2006/relationships/hyperlink" Id="rId82" Target="https://doi.org/10.1037/a0018113" TargetMode="External" /><Relationship Type="http://schemas.openxmlformats.org/officeDocument/2006/relationships/hyperlink" Id="rId78" Target="https://doi.org/10.1037/a0033722" TargetMode="External" /><Relationship Type="http://schemas.openxmlformats.org/officeDocument/2006/relationships/hyperlink" Id="rId125" Target="https://doi.org/10.1037/a0039036" TargetMode="External" /><Relationship Type="http://schemas.openxmlformats.org/officeDocument/2006/relationships/hyperlink" Id="rId135" Target="https://doi.org/10.1037/rev0000132" TargetMode="External" /><Relationship Type="http://schemas.openxmlformats.org/officeDocument/2006/relationships/hyperlink" Id="rId84" Target="https://doi.org/10.1037/rev0000334" TargetMode="External" /><Relationship Type="http://schemas.openxmlformats.org/officeDocument/2006/relationships/hyperlink" Id="rId121" Target="https://doi.org/10.1037/xge0000598" TargetMode="External" /><Relationship Type="http://schemas.openxmlformats.org/officeDocument/2006/relationships/hyperlink" Id="rId104" Target="https://doi.org/10.1038/mp.2017.23" TargetMode="External" /><Relationship Type="http://schemas.openxmlformats.org/officeDocument/2006/relationships/hyperlink" Id="rId117" Target="https://doi.org/10.1038/nn.2271" TargetMode="External" /><Relationship Type="http://schemas.openxmlformats.org/officeDocument/2006/relationships/hyperlink" Id="rId137" Target="https://doi.org/10.1038/s41562-024-01956-y" TargetMode="External" /><Relationship Type="http://schemas.openxmlformats.org/officeDocument/2006/relationships/hyperlink" Id="rId141" Target="https://doi.org/10.1038/s41583-019-0150-4" TargetMode="External" /><Relationship Type="http://schemas.openxmlformats.org/officeDocument/2006/relationships/hyperlink" Id="rId108" Target="https://doi.org/10.1177/0956797615583071" TargetMode="External" /><Relationship Type="http://schemas.openxmlformats.org/officeDocument/2006/relationships/hyperlink" Id="rId123" Target="https://doi.org/10.1177/2167702621998315" TargetMode="External" /><Relationship Type="http://schemas.openxmlformats.org/officeDocument/2006/relationships/hyperlink" Id="rId95" Target="https://doi.org/10.1371/journal.pone.0004153" TargetMode="External" /><Relationship Type="http://schemas.openxmlformats.org/officeDocument/2006/relationships/hyperlink" Id="rId97" Target="https://doi.org/10.1371/journal.pone.0013706" TargetMode="External" /><Relationship Type="http://schemas.openxmlformats.org/officeDocument/2006/relationships/hyperlink" Id="rId139" Target="https://doi.org/10.1525/collabra.130791" TargetMode="External" /><Relationship Type="http://schemas.openxmlformats.org/officeDocument/2006/relationships/hyperlink" Id="rId131"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2026-05-24T00:42:10Z</dcterms:created>
  <dcterms:modified xsi:type="dcterms:W3CDTF">2026-05-24T00:42:10Z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