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The account uses bidirectional item-context associations to connect reminders, encoding, and later recall.</w:t>
      </w:r>
      <w:r>
        <w:t xml:space="preserve"> </w:t>
      </w:r>
      <w:r>
        <w:t xml:space="preserve">In retrieved-context models, the current context cues candidate items, and retrieved or presented items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This item-to-context operation gives reminders a specific computational role: a reminder can reinstate context associated with an earlier episode before new material is encoded.</w:t>
      </w:r>
      <w:r>
        <w:t xml:space="preserve"> </w:t>
      </w:r>
      <w:r>
        <w:t xml:space="preserve">As part of an account of the selective-interference effect, the film reminder shifts the current context toward film-associated states before the task begins.</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CMR explains this pattern by treating recall as candidate sampling from the current context.</w:t>
      </w:r>
      <w:r>
        <w:t xml:space="preserve"> </w:t>
      </w:r>
      <w:r>
        <w:t xml:space="preserve">As context drifts, support for non-target items declines; 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A reminder can also change how later material is encoded.</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We implement the reminder as reinstatement of film-associated context before task encoding.</w:t>
      </w:r>
      <w:r>
        <w:t xml:space="preserve"> </w:t>
      </w:r>
      <w:r>
        <w:t xml:space="preserve">Task events encoded in that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supplied-item-recognition"/>
    <w:p>
      <w:pPr>
        <w:pStyle w:val="Heading2"/>
      </w:pPr>
      <w:r>
        <w:t xml:space="preserve">Supplied-Item Recognition</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film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Matched recall conditions require intrusion-like and deliberate measures to depend on context-guided candidate selection.</w:t>
      </w:r>
      <w:r>
        <w:t xml:space="preserve"> </w:t>
      </w:r>
      <w:r>
        <w:t xml:space="preserve">Film cues can be present in both measures, but their role is to shape the retrieval context rather than to serve as candidate items for recognition.</w:t>
      </w:r>
      <w:r>
        <w:t xml:space="preserve"> </w:t>
      </w:r>
      <w:r>
        <w:t xml:space="preserve">Free recall and specific probing move in this direction because participants must produce or elaborate film material from prompts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A vigilance-intrusion design gives the simulations a closer match: film-cued laboratory tasks can hold cues, timing, and response format largely fixed while changing the instruction from monitoring for unintended film memories to deliberately searching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 simulated comparison therefore adapts this design to vary retrieval intentionality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b/>
            <w:bCs/>
          </w:rPr>
          <w:t xml:space="preserve">unsworth2010understanding?</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zaromb2006temporal">
        <w:r>
          <w:rPr>
            <w:rStyle w:val="Hyperlink"/>
          </w:rPr>
          <w:t xml:space="preserve">Zaromb et al., 2006</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polyn2011semantic">
        <w:r>
          <w:rPr>
            <w:rStyle w:val="Hyperlink"/>
            <w:b/>
            <w:bCs/>
          </w:rPr>
          <w:t xml:space="preserve">polyn2011semantic?</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In this kind of task, category-selective activity measured using intracranial recordings tracks retrieval effort, remains active between reported recalls, and weakens before extra-category intrusions</w:t>
      </w:r>
      <w:r>
        <w:t xml:space="preserve"> </w:t>
      </w:r>
      <w:r>
        <w:t xml:space="preserve">(</w:t>
      </w:r>
      <w:hyperlink w:anchor="ref-norman2017neuronal">
        <w:r>
          <w:rPr>
            <w:rStyle w:val="Hyperlink"/>
            <w:b/>
            <w:bCs/>
          </w:rPr>
          <w:t xml:space="preserve">norman2017neuronal?</w:t>
        </w:r>
      </w:hyperlink>
      <w:r>
        <w:t xml:space="preserve">)</w:t>
      </w:r>
      <w:r>
        <w:t xml:space="preserve">.</w:t>
      </w:r>
      <w:r>
        <w:t xml:space="preserve"> </w:t>
      </w:r>
      <w:r>
        <w:t xml:space="preserve">Existing CMR models let source, task, and semantic information contribute to candidate support via a source context cue</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A category-targeted search mechanism has been implemented in an earlier associative memory model, and recent review work identifies this as a natural but still underdeveloped extension of CMR</w:t>
      </w:r>
      <w:r>
        <w:t xml:space="preserve"> </w:t>
      </w:r>
      <w:r>
        <w:t xml:space="preserve">(</w:t>
      </w:r>
      <w:hyperlink w:anchor="ref-raaijmakers1980sam">
        <w:r>
          <w:rPr>
            <w:rStyle w:val="Hyperlink"/>
            <w:b/>
            <w:bCs/>
          </w:rPr>
          <w:t xml:space="preserve">raaijmakers1980sam?</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Film candidates receive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protecting film recall from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Start-of-film reinstatement and retrieval monitoring both improve film recall in the tested simulations, but neither adds a cue that selectively supports film items over task items encoded in film-overlapping context.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35" w:name="references"/>
    <w:p>
      <w:pPr>
        <w:pStyle w:val="Heading1"/>
      </w:pPr>
      <w:r>
        <w:t xml:space="preserve">References</w:t>
      </w:r>
    </w:p>
    <w:bookmarkStart w:id="234"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7"/>
    <w:bookmarkStart w:id="179"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8">
        <w:r>
          <w:rPr>
            <w:rStyle w:val="Hyperlink"/>
          </w:rPr>
          <w:t xml:space="preserve">https://doi.org/10.1146/annurev-psych-010418-103358</w:t>
        </w:r>
      </w:hyperlink>
    </w:p>
    <w:bookmarkEnd w:id="179"/>
    <w:bookmarkStart w:id="18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0">
        <w:r>
          <w:rPr>
            <w:rStyle w:val="Hyperlink"/>
          </w:rPr>
          <w:t xml:space="preserve">https://doi.org/10.1002/cpp.2489</w:t>
        </w:r>
      </w:hyperlink>
    </w:p>
    <w:bookmarkEnd w:id="181"/>
    <w:bookmarkStart w:id="183"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2">
        <w:r>
          <w:rPr>
            <w:rStyle w:val="Hyperlink"/>
          </w:rPr>
          <w:t xml:space="preserve">https://doi.org/10.1186/s12916-024-03569-8</w:t>
        </w:r>
      </w:hyperlink>
    </w:p>
    <w:bookmarkEnd w:id="183"/>
    <w:bookmarkStart w:id="18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4">
        <w:r>
          <w:rPr>
            <w:rStyle w:val="Hyperlink"/>
          </w:rPr>
          <w:t xml:space="preserve">https://doi.org/10.1016/j.jbtep.2019.01.006</w:t>
        </w:r>
      </w:hyperlink>
    </w:p>
    <w:bookmarkEnd w:id="185"/>
    <w:bookmarkStart w:id="18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6">
        <w:r>
          <w:rPr>
            <w:rStyle w:val="Hyperlink"/>
          </w:rPr>
          <w:t xml:space="preserve">https://doi.org/10.1038/nn.2271</w:t>
        </w:r>
      </w:hyperlink>
    </w:p>
    <w:bookmarkEnd w:id="187"/>
    <w:bookmarkStart w:id="189"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8">
        <w:r>
          <w:rPr>
            <w:rStyle w:val="Hyperlink"/>
          </w:rPr>
          <w:t xml:space="preserve">https://doi.org/10.1523/JNEUROSCI.3378-14.2015</w:t>
        </w:r>
      </w:hyperlink>
    </w:p>
    <w:bookmarkEnd w:id="189"/>
    <w:bookmarkStart w:id="191"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0">
        <w:r>
          <w:rPr>
            <w:rStyle w:val="Hyperlink"/>
          </w:rPr>
          <w:t xml:space="preserve">https://doi.org/10.1002/acp.1611</w:t>
        </w:r>
      </w:hyperlink>
    </w:p>
    <w:bookmarkEnd w:id="191"/>
    <w:bookmarkStart w:id="193"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2">
        <w:r>
          <w:rPr>
            <w:rStyle w:val="Hyperlink"/>
          </w:rPr>
          <w:t xml:space="preserve">https://doi.org/10.1037/xge0000598</w:t>
        </w:r>
      </w:hyperlink>
    </w:p>
    <w:bookmarkEnd w:id="193"/>
    <w:bookmarkStart w:id="195"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4">
        <w:r>
          <w:rPr>
            <w:rStyle w:val="Hyperlink"/>
          </w:rPr>
          <w:t xml:space="preserve">https://doi.org/10.1177/2167702621998315</w:t>
        </w:r>
      </w:hyperlink>
    </w:p>
    <w:bookmarkEnd w:id="195"/>
    <w:bookmarkStart w:id="197"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6">
        <w:r>
          <w:rPr>
            <w:rStyle w:val="Hyperlink"/>
          </w:rPr>
          <w:t xml:space="preserve">https://doi.org/10.1037/xge0001354</w:t>
        </w:r>
      </w:hyperlink>
    </w:p>
    <w:bookmarkEnd w:id="197"/>
    <w:bookmarkStart w:id="19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8">
        <w:r>
          <w:rPr>
            <w:rStyle w:val="Hyperlink"/>
          </w:rPr>
          <w:t xml:space="preserve">https://doi.org/10.1037/a0039036</w:t>
        </w:r>
      </w:hyperlink>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4">
        <w:r>
          <w:rPr>
            <w:rStyle w:val="Hyperlink"/>
          </w:rPr>
          <w:t xml:space="preserve">https://doi.org/10.1016/j.neuropsychologia.2011.08.025</w:t>
        </w:r>
      </w:hyperlink>
    </w:p>
    <w:bookmarkEnd w:id="205"/>
    <w:bookmarkStart w:id="20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06">
        <w:r>
          <w:rPr>
            <w:rStyle w:val="Hyperlink"/>
          </w:rPr>
          <w:t xml:space="preserve">https://doi.org/10.1037/a0014420</w:t>
        </w:r>
      </w:hyperlink>
    </w:p>
    <w:bookmarkEnd w:id="207"/>
    <w:bookmarkStart w:id="20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08">
        <w:r>
          <w:rPr>
            <w:rStyle w:val="Hyperlink"/>
          </w:rPr>
          <w:t xml:space="preserve">https://doi.org/10.1016/j.neuropsychologia.2009.02.013</w:t>
        </w:r>
      </w:hyperlink>
    </w:p>
    <w:bookmarkEnd w:id="209"/>
    <w:bookmarkStart w:id="21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0">
        <w:r>
          <w:rPr>
            <w:rStyle w:val="Hyperlink"/>
          </w:rPr>
          <w:t xml:space="preserve">https://doi.org/10.1038/s41380-023-02062-7</w:t>
        </w:r>
      </w:hyperlink>
    </w:p>
    <w:bookmarkEnd w:id="211"/>
    <w:bookmarkStart w:id="21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2">
        <w:r>
          <w:rPr>
            <w:rStyle w:val="Hyperlink"/>
          </w:rPr>
          <w:t xml:space="preserve">https://doi.org/10.1111/j.1467-9280.2005.01634.x</w:t>
        </w:r>
      </w:hyperlink>
    </w:p>
    <w:bookmarkEnd w:id="213"/>
    <w:bookmarkStart w:id="21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14">
        <w:r>
          <w:rPr>
            <w:rStyle w:val="Hyperlink"/>
          </w:rPr>
          <w:t xml:space="preserve">https://doi.org/10.3758/s13423-011-0086-9</w:t>
        </w:r>
      </w:hyperlink>
    </w:p>
    <w:bookmarkEnd w:id="215"/>
    <w:bookmarkStart w:id="21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16">
        <w:r>
          <w:rPr>
            <w:rStyle w:val="Hyperlink"/>
          </w:rPr>
          <w:t xml:space="preserve">https://doi.org/10.1037/a0013396</w:t>
        </w:r>
      </w:hyperlink>
    </w:p>
    <w:bookmarkEnd w:id="217"/>
    <w:bookmarkStart w:id="21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18">
        <w:r>
          <w:rPr>
            <w:rStyle w:val="Hyperlink"/>
          </w:rPr>
          <w:t xml:space="preserve">https://doi.org/10.1177/0963721413498893</w:t>
        </w:r>
      </w:hyperlink>
    </w:p>
    <w:bookmarkEnd w:id="219"/>
    <w:bookmarkStart w:id="22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0">
        <w:r>
          <w:rPr>
            <w:rStyle w:val="Hyperlink"/>
          </w:rPr>
          <w:t xml:space="preserve">https://doi.org/10.1037/rev0000132</w:t>
        </w:r>
      </w:hyperlink>
    </w:p>
    <w:bookmarkEnd w:id="221"/>
    <w:bookmarkStart w:id="22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2">
        <w:r>
          <w:rPr>
            <w:rStyle w:val="Hyperlink"/>
          </w:rPr>
          <w:t xml:space="preserve">https://doi.org/10.1016/j.jml.2007.01.002</w:t>
        </w:r>
      </w:hyperlink>
    </w:p>
    <w:bookmarkEnd w:id="223"/>
    <w:bookmarkStart w:id="22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24">
        <w:r>
          <w:rPr>
            <w:rStyle w:val="Hyperlink"/>
          </w:rPr>
          <w:t xml:space="preserve">https://doi.org/10.3758/bf03195864</w:t>
        </w:r>
      </w:hyperlink>
    </w:p>
    <w:bookmarkEnd w:id="225"/>
    <w:bookmarkStart w:id="22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26">
        <w:r>
          <w:rPr>
            <w:rStyle w:val="Hyperlink"/>
          </w:rPr>
          <w:t xml:space="preserve">https://doi.org/10.1038/s41562-024-01956-y</w:t>
        </w:r>
      </w:hyperlink>
    </w:p>
    <w:bookmarkEnd w:id="227"/>
    <w:bookmarkStart w:id="22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28">
        <w:r>
          <w:rPr>
            <w:rStyle w:val="Hyperlink"/>
          </w:rPr>
          <w:t xml:space="preserve">https://doi.org/10.1525/collabra.130791</w:t>
        </w:r>
      </w:hyperlink>
    </w:p>
    <w:bookmarkEnd w:id="229"/>
    <w:bookmarkStart w:id="23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0">
        <w:r>
          <w:rPr>
            <w:rStyle w:val="Hyperlink"/>
          </w:rPr>
          <w:t xml:space="preserve">https://doi.org/10.1037/0278-7393.32.4.792</w:t>
        </w:r>
      </w:hyperlink>
    </w:p>
    <w:bookmarkEnd w:id="231"/>
    <w:bookmarkStart w:id="233"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32">
        <w:r>
          <w:rPr>
            <w:rStyle w:val="Hyperlink"/>
          </w:rPr>
          <w:t xml:space="preserve">https://doi.org/10.1037/rev0000505</w:t>
        </w:r>
      </w:hyperlink>
    </w:p>
    <w:bookmarkEnd w:id="233"/>
    <w:bookmarkEnd w:id="234"/>
    <w:bookmarkEnd w:id="2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2026-07-01T15:44:09Z</dcterms:created>
  <dcterms:modified xsi:type="dcterms:W3CDTF">2026-07-01T15:44:09Z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