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101.png" ContentType="image/png"/>
  <Override PartName="/word/media/rId89.png" ContentType="image/png"/>
  <Override PartName="/word/media/rId93.png" ContentType="image/png"/>
  <Override PartName="/word/media/rId97.png" ContentType="image/png"/>
  <Override PartName="/word/media/rId106.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the cues and control available during retrieval.</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by contrast,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One prominent interpretation is that the intervention acts more strongly on the form of memory that gives rise to intrusions than on the memory accessed by voluntary tests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the shared logic is selective vulnerability.</w:t>
      </w:r>
      <w:r>
        <w:t xml:space="preserve"> </w:t>
      </w:r>
      <w:r>
        <w:t xml:space="preserve">The intervention is assumed to affect sensory/perceptual processes linked to intrusions more than the contextualized processes used in voluntary tests.</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should interfere less when retrieval has a more selective basis for identifying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framework</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p>
    <w:p>
      <w:pPr>
        <w:pStyle w:val="BodyText"/>
      </w:pPr>
      <w:r>
        <w:t xml:space="preserve">We then use simulations to explore what the formalized account predicts about when and how the dissociation should appear.</w:t>
      </w:r>
      <w:r>
        <w:t xml:space="preserve"> </w:t>
      </w:r>
      <w:r>
        <w:t xml:space="preserve">The simulations show how reminder-linked task encoding can make task material compete with film recall, how deliberate recall can be less affected when retrieval control gives film material a more selective basis for recall, and how recognition-like paradigms can remain relatively unaffected when a presented item retrieves associated context rather than context selecting among film and task items.</w:t>
      </w:r>
      <w:r>
        <w:t xml:space="preserve"> </w:t>
      </w:r>
      <w:r>
        <w:t xml:space="preserve">The result is a mechanistic alternative to selective-vulnerability accounts of the selective-interference effect, clarifying boundary conditions for the dissociation and motivating better-matched tests of intrusive and voluntary remembering.</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5379de560319a294ac03d32e0acd8d596f2df3d"/>
    <w:p>
      <w:pPr>
        <w:pStyle w:val="Heading2"/>
      </w:pPr>
      <w:r>
        <w:t xml:space="preserve">Retrieval Conditions Shape the Selective-Interference Contrast</w:t>
      </w:r>
    </w:p>
    <w:p>
      <w:pPr>
        <w:pStyle w:val="FirstParagraph"/>
      </w:pPr>
      <w:hyperlink w:anchor="fig-empirical-target">
        <w:r>
          <w:rPr>
            <w:rStyle w:val="Hyperlink"/>
          </w:rPr>
          <w:t xml:space="preserve">Figure 1</w:t>
        </w:r>
      </w:hyperlink>
      <w:r>
        <w:t xml:space="preserve"> </w:t>
      </w:r>
      <w:r>
        <w:t xml:space="preserve">distills the selective interference effect: reduced intrusion-like access with relatively preserved voluntary access to the same film material.</w:t>
      </w:r>
      <w:r>
        <w:t xml:space="preserve"> </w:t>
      </w:r>
      <w:r>
        <w:t xml:space="preserve">This dissociation is often treated as a difference between involuntary and voluntary remembering, but the evidence is also structured by how each task makes film material available.</w:t>
      </w:r>
      <w:r>
        <w:t xml:space="preserve"> </w:t>
      </w:r>
      <w:r>
        <w:t xml:space="preserve">Trauma-film studies commonly measure later intrusions with diaries or laboratory intrusion tasks, and measure voluntary memory with recognition, recall, or probing measures</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In diary measures, participants report film memories that arise during daily life.</w:t>
      </w:r>
      <w:r>
        <w:t xml:space="preserve"> </w:t>
      </w:r>
      <w:r>
        <w:t xml:space="preserve">In laboratory intrusion tasks, film cues or monitoring instructions can make the film more available during the task</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Voluntary-memory tests vary along the same dimension.</w:t>
      </w:r>
      <w:r>
        <w:t xml:space="preserve"> </w:t>
      </w:r>
      <w:r>
        <w:t xml:space="preserve">Some present candidate film statements or still images for judgment.</w:t>
      </w:r>
      <w:r>
        <w:t xml:space="preserve"> </w:t>
      </w:r>
      <w:r>
        <w:t xml:space="preserve">Others provide prompts or open instructions that require participants to produce or elaborate film details.</w:t>
      </w:r>
      <w:r>
        <w:t xml:space="preserve"> </w:t>
      </w:r>
      <w:r>
        <w:t xml:space="preserve">Preserved voluntary-memory performance can therefore reflect the retrieval conditions built into the test, especially whether film material must be brought to mind or is already presented for judgment.</w:t>
      </w:r>
    </w:p>
    <w:p>
      <w:pPr>
        <w:pStyle w:val="BodyText"/>
      </w:pPr>
      <w:r>
        <w:t xml:space="preserve">Much of the selective-interference evidence has a diary-or-laboratory-intrusion plus recognition structure.</w:t>
      </w:r>
      <w:r>
        <w:t xml:space="preserve"> </w:t>
      </w:r>
      <w:r>
        <w:t xml:space="preserve">In immediate post-film studies, Tetris reduced intrusions reported during the intervention period and in the following week, while later verbal recognition did not differ reliably from control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Delayed-reminder studies found a similar pattern: diary or laboratory intrusion measures were reduced, while verbal or visual recognition remained relatively intact</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continued this pattern</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Related post-film visuospatial-task work also reported fewer intrusive memories with little measurable impairment on later voluntary memory</w:t>
      </w:r>
      <w:r>
        <w:t xml:space="preserve"> </w:t>
      </w:r>
      <w:r>
        <w:t xml:space="preserve">(</w:t>
      </w:r>
      <w:hyperlink w:anchor="ref-deeprose2012imagery">
        <w:r>
          <w:rPr>
            <w:rStyle w:val="Hyperlink"/>
          </w:rPr>
          <w:t xml:space="preserve">Deeprose et al., 2012</w:t>
        </w:r>
      </w:hyperlink>
      <w:r>
        <w:t xml:space="preserve">)</w:t>
      </w:r>
      <w:r>
        <w:t xml:space="preserve">.</w:t>
      </w:r>
      <w:r>
        <w:t xml:space="preserve"> </w:t>
      </w:r>
      <w:r>
        <w:t xml:space="preserve">These studies support the selective-interference pattern, while narrowing the strongest inference about preserved voluntary memory.</w:t>
      </w:r>
      <w:r>
        <w:t xml:space="preserve"> </w:t>
      </w:r>
      <w:r>
        <w:t xml:space="preserve">In many key studies, the preserved measure was recognition.</w:t>
      </w:r>
      <w:r>
        <w:t xml:space="preserve"> </w:t>
      </w:r>
      <w:r>
        <w:t xml:space="preserve">The broader evidence remains heterogeneous, and at least one reminder-plus-Tetris study found reduced verbal recognition rather than spared recognition</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Recognition is a voluntary memory test, but it begins from a distinctive retrieval condition.</w:t>
      </w:r>
      <w:r>
        <w:t xml:space="preserve"> </w:t>
      </w:r>
      <w:r>
        <w:t xml:space="preserve">The participant intentionally judges memory for the film, yet the candidate film statement or image is already present.</w:t>
      </w:r>
      <w:r>
        <w:t xml:space="preserve"> </w:t>
      </w:r>
      <w:r>
        <w:t xml:space="preserve">Diary reports and laboratory intrusion tasks instead count film memories when they come to mind and are reported.</w:t>
      </w:r>
      <w:r>
        <w:t xml:space="preserve"> </w:t>
      </w:r>
      <w:r>
        <w:t xml:space="preserve">Free recall and probing also differ from recognition because they require participants to produce or elaborate film material from less complete item information.</w:t>
      </w:r>
      <w:r>
        <w:t xml:space="preserve"> </w:t>
      </w:r>
      <w:r>
        <w:t xml:space="preserve">Preserved recognition therefore licenses a narrower interpretation than preserved voluntary memory in general.</w:t>
      </w:r>
      <w:r>
        <w:t xml:space="preserve"> </w:t>
      </w:r>
      <w:r>
        <w:t xml:space="preserve">It shows that a voluntary test with candidate film material already available can be spared.</w:t>
      </w:r>
    </w:p>
    <w:p>
      <w:pPr>
        <w:pStyle w:val="BodyText"/>
      </w:pPr>
      <w:r>
        <w:t xml:space="preserve">Evidence beyond recognition is therefore important.</w:t>
      </w:r>
      <w:r>
        <w:t xml:space="preserve"> </w:t>
      </w:r>
      <w:r>
        <w:t xml:space="preserve">Lau-Zhu et al. (</w:t>
      </w:r>
      <w:hyperlink w:anchor="ref-lau2019intrusive">
        <w:r>
          <w:rPr>
            <w:rStyle w:val="Hyperlink"/>
          </w:rPr>
          <w:t xml:space="preserve">2019</w:t>
        </w:r>
      </w:hyperlink>
      <w:r>
        <w:t xml:space="preserve">)</w:t>
      </w:r>
      <w:r>
        <w:t xml:space="preserve"> </w:t>
      </w:r>
      <w:r>
        <w:t xml:space="preserve">found reduced diary intrusions with relatively preserved free recall, specific probing, and visual recognition in one experiment.</w:t>
      </w:r>
      <w:r>
        <w:t xml:space="preserve"> </w:t>
      </w:r>
      <w:r>
        <w:t xml:space="preserve">In another experiment, the intervention reduced both diary intrusions and vigilance-intrusion reports while recognition remained relatively intact.</w:t>
      </w:r>
      <w:r>
        <w:t xml:space="preserve"> </w:t>
      </w:r>
      <w:r>
        <w:t xml:space="preserve">These findings extend the selective-interference pattern beyond recognition alone.</w:t>
      </w:r>
      <w:r>
        <w:t xml:space="preserve"> </w:t>
      </w:r>
      <w:r>
        <w:t xml:space="preserve">They also keep the retrieval-condition problem in view.</w:t>
      </w:r>
      <w:r>
        <w:t xml:space="preserve"> </w:t>
      </w:r>
      <w:r>
        <w:t xml:space="preserve">Free recall, specific probing, recognition, diaries, and vigilance-intrusion tasks all concern the same film, but they differ in cueing, item availability, generation demands, and monitoring.</w:t>
      </w:r>
    </w:p>
    <w:p>
      <w:pPr>
        <w:pStyle w:val="BodyText"/>
      </w:pPr>
      <w:r>
        <w:t xml:space="preserve">The intrusion-like measures also differ from one another.</w:t>
      </w:r>
      <w:r>
        <w:t xml:space="preserve"> </w:t>
      </w:r>
      <w:r>
        <w:t xml:space="preserve">Diaries sample memories that arise during everyday activity, where cues and ongoing goals are only partly controlled</w:t>
      </w:r>
      <w:r>
        <w:t xml:space="preserve"> </w:t>
      </w:r>
      <w:r>
        <w:t xml:space="preserve">(</w:t>
      </w:r>
      <w:hyperlink w:anchor="ref-singh2023daily">
        <w:r>
          <w:rPr>
            <w:rStyle w:val="Hyperlink"/>
          </w:rPr>
          <w:t xml:space="preserve">Singh et al., 2023</w:t>
        </w:r>
      </w:hyperlink>
      <w:r>
        <w:t xml:space="preserve">)</w:t>
      </w:r>
      <w:r>
        <w:t xml:space="preserve">.</w:t>
      </w:r>
      <w:r>
        <w:t xml:space="preserve"> </w:t>
      </w:r>
      <w:r>
        <w:t xml:space="preserve">Laboratory intrusion-provocation tasks and vigilance-intrusion tasks add more structure.</w:t>
      </w:r>
      <w:r>
        <w:t xml:space="preserve"> </w:t>
      </w:r>
      <w:r>
        <w:t xml:space="preserve">In</w:t>
      </w:r>
      <w:r>
        <w:t xml:space="preserve"> </w:t>
      </w:r>
      <w:r>
        <w:t xml:space="preserve">James et al. (</w:t>
      </w:r>
      <w:hyperlink w:anchor="ref-james2015computer">
        <w:r>
          <w:rPr>
            <w:rStyle w:val="Hyperlink"/>
          </w:rPr>
          <w:t xml:space="preserve">2015</w:t>
        </w:r>
      </w:hyperlink>
      <w:r>
        <w:t xml:space="preserve">)</w:t>
      </w:r>
      <w:r>
        <w:t xml:space="preserve">, film images preceded a brief period for reporting intrusions.</w:t>
      </w:r>
      <w:r>
        <w:t xml:space="preserve"> </w:t>
      </w:r>
      <w:r>
        <w:t xml:space="preserve">In</w:t>
      </w:r>
      <w:r>
        <w:t xml:space="preserve"> </w:t>
      </w:r>
      <w:r>
        <w:t xml:space="preserve">Lau-Zhu et al. (</w:t>
      </w:r>
      <w:hyperlink w:anchor="ref-lau2019intrusive">
        <w:r>
          <w:rPr>
            <w:rStyle w:val="Hyperlink"/>
          </w:rPr>
          <w:t xml:space="preserve">2019</w:t>
        </w:r>
      </w:hyperlink>
      <w:r>
        <w:t xml:space="preserve">)</w:t>
      </w:r>
      <w:r>
        <w:t xml:space="preserve"> </w:t>
      </w:r>
      <w:r>
        <w:t xml:space="preserve">and</w:t>
      </w:r>
      <w:r>
        <w:t xml:space="preserve"> </w:t>
      </w:r>
      <w:r>
        <w:t xml:space="preserve">Lau-Zhu et al. (</w:t>
      </w:r>
      <w:hyperlink w:anchor="ref-lau2021selectively">
        <w:r>
          <w:rPr>
            <w:rStyle w:val="Hyperlink"/>
          </w:rPr>
          <w:t xml:space="preserve">2021</w:t>
        </w:r>
      </w:hyperlink>
      <w:r>
        <w:t xml:space="preserve">)</w:t>
      </w:r>
      <w:r>
        <w:t xml:space="preserve">, participants performed an attention task while background scenes or film cues appeared and reported film intrusions when they occurred.</w:t>
      </w:r>
      <w:r>
        <w:t xml:space="preserve"> </w:t>
      </w:r>
      <w:r>
        <w:t xml:space="preserve">Lau-Zhu et al. (</w:t>
      </w:r>
      <w:hyperlink w:anchor="ref-lau2021selectively">
        <w:r>
          <w:rPr>
            <w:rStyle w:val="Hyperlink"/>
          </w:rPr>
          <w:t xml:space="preserve">2021</w:t>
        </w:r>
      </w:hyperlink>
      <w:r>
        <w:t xml:space="preserve">)</w:t>
      </w:r>
      <w:r>
        <w:t xml:space="preserve"> </w:t>
      </w:r>
      <w:r>
        <w:t xml:space="preserve">made the comparison especially explicit by varying trauma-film and foil cues across intrusion and recognition measures.</w:t>
      </w:r>
      <w:r>
        <w:t xml:space="preserve"> </w:t>
      </w:r>
      <w:r>
        <w:t xml:space="preserve">That design improved comparability across measures, while also showing that cueing and monitoring are part of the retrieval situation being compared.</w:t>
      </w:r>
    </w:p>
    <w:p>
      <w:pPr>
        <w:pStyle w:val="BodyText"/>
      </w:pPr>
      <w:hyperlink w:anchor="fig-empirical-examples">
        <w:r>
          <w:rPr>
            <w:rStyle w:val="Hyperlink"/>
          </w:rPr>
          <w:t xml:space="preserve">Figure 2</w:t>
        </w:r>
      </w:hyperlink>
      <w:r>
        <w:t xml:space="preserve"> </w:t>
      </w:r>
      <w:r>
        <w:t xml:space="preserve">presents three examples rather than an exhaustive evidence table: delayed-reminder diary-plus-recognition designs, a delayed-reminder diary-plus-free-recall design, and a trauma-film-cued vigilance-intrusion-plus-recognition design.</w:t>
      </w:r>
      <w:r>
        <w:t xml:space="preserve"> </w:t>
      </w:r>
      <w:r>
        <w:t xml:space="preserve">Across these examples, the comparison changes more than retrieval intention.</w:t>
      </w:r>
      <w:r>
        <w:t xml:space="preserve"> </w:t>
      </w:r>
      <w:r>
        <w:t xml:space="preserve">It changes cueing, item availability, generation demands, and monitoring.</w:t>
      </w:r>
      <w:r>
        <w:t xml:space="preserve"> </w:t>
      </w:r>
      <w:r>
        <w:t xml:space="preserve">These retrieval conditions belong in the phenomenon to be modeled.</w:t>
      </w:r>
      <w:r>
        <w:t xml:space="preserve"> </w:t>
      </w:r>
      <w:r>
        <w:t xml:space="preserve">They help determine when reminder-linked task material should compete with film retrieval, and when a voluntary-memory test should make film memory appear relatively preserved.</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bookmarkEnd w:id="32"/>
    <w:bookmarkEnd w:id="33"/>
    <w:bookmarkStart w:id="42"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items retrieved from memory, presented as reminders, or presented during a test can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In the present simulations, this control component changes three settings: the context state from which search begins, whether a maintained film-retrieval goal supports film material during sampling, and how much off-target samples update later context.</w:t>
      </w:r>
      <w:r>
        <w:t xml:space="preserve"> </w:t>
      </w:r>
      <w:r>
        <w:t xml:space="preserve">These settings correspond to start-of-film context reinstatement, a maintained film-retrieval goal, and retrieval monitoring.</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Film reminders are film cues presented before task encoding, so they can change the context in which task items are learned.</w:t>
      </w:r>
      <w:r>
        <w:t xml:space="preserve"> </w:t>
      </w:r>
      <w:r>
        <w:t xml:space="preserve">Some laboratory intrusion measures, especially vigilance-intrusion tasks, present film-related cues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recall simulations approximate that retrieval setting by including weak test-phase film cues held constant across the main recall conditions.</w:t>
      </w:r>
      <w:r>
        <w:t xml:space="preserve"> </w:t>
      </w:r>
      <w:r>
        <w:t xml:space="preserve">Recognition tests present a candidate film item for judgment.</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Contextual similarity is established during encoding.</w:t>
      </w:r>
      <w:r>
        <w:t xml:space="preserve"> </w:t>
      </w:r>
      <w:r>
        <w:t xml:space="preserve">In CMR, an item is a discrete encoded unit.</w:t>
      </w:r>
      <w:r>
        <w:t xml:space="preserve"> </w:t>
      </w:r>
      <w:r>
        <w:t xml:space="preserve">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Source context provides a non-temporal context pathway in the model.</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the present model uses the same architectural role for a simplified film/source feature.</w:t>
      </w:r>
      <w:r>
        <w:t xml:space="preserve"> </w:t>
      </w:r>
      <w:r>
        <w:t xml:space="preserve">Film items carry the marked film/source feature.</w:t>
      </w:r>
      <w:r>
        <w:t xml:space="preserve"> </w:t>
      </w:r>
      <w:r>
        <w:t xml:space="preserve">Neutral task and filler items lack that feature and can weakly bind active source context during encoding.</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The current simulations use source context as part of the retrieval architecture and leave task-category specificity for later discussion.</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presented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42"/>
    <w:bookmarkStart w:id="67"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6"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3"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3"/>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4"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4"/>
    </w:p>
    <w:p>
      <w:pPr>
        <w:pStyle w:val="FirstParagraph"/>
      </w:pPr>
      <w:bookmarkStart w:id="45"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5"/>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6"/>
    <w:bookmarkStart w:id="58"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7"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7"/>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8"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8"/>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9"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9"/>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0"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0"/>
    </w:p>
    <w:p>
      <w:pPr>
        <w:pStyle w:val="FirstParagraph"/>
      </w:pPr>
      <w:r>
        <w:t xml:space="preserve">A primacy function weights context-to-feature learning:</w:t>
      </w:r>
    </w:p>
    <w:p>
      <w:pPr>
        <w:pStyle w:val="BodyText"/>
      </w:pPr>
      <w:bookmarkStart w:id="51"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1"/>
    </w:p>
    <w:p>
      <w:pPr>
        <w:pStyle w:val="FirstParagraph"/>
      </w:pPr>
      <w:r>
        <w:t xml:space="preserve">Context-to-feature associations update as:</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2"/>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3"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3"/>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For the present simulations, film items match the goal and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4"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4"/>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5"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5"/>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6"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6"/>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7"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7"/>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candidate film items presented by the test use the context update without adding a new recallable event.</w:t>
      </w:r>
    </w:p>
    <w:bookmarkEnd w:id="58"/>
    <w:bookmarkStart w:id="62"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59"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9"/>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0"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0"/>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1"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1"/>
    </w:p>
    <w:p>
      <w:pPr>
        <w:pStyle w:val="FirstParagraph"/>
      </w:pPr>
      <w:r>
        <w:t xml:space="preserve">Candidate film items presented by the test therefore use the same feature-to-context operation as sampled and reminded items.</w:t>
      </w:r>
    </w:p>
    <w:bookmarkEnd w:id="62"/>
    <w:bookmarkStart w:id="66"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3"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3"/>
    </w:p>
    <w:p>
      <w:pPr>
        <w:pStyle w:val="FirstParagraph"/>
      </w:pPr>
      <w:r>
        <w:t xml:space="preserve">Source-context-to-feature support begins at zero:</w:t>
      </w:r>
    </w:p>
    <w:p>
      <w:pPr>
        <w:pStyle w:val="BodyText"/>
      </w:pPr>
      <w:bookmarkStart w:id="64"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4"/>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5"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5"/>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6"/>
    <w:bookmarkEnd w:id="67"/>
    <w:bookmarkStart w:id="117"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Simulation 3 asks how recall changes when the test periodically supplies film cues during retrieval, measuring both overall film recall and the film-recall gap between unguided and deliberate retrieval.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 encoding strength, contextual similarity, and source-context overlap.</w:t>
      </w:r>
    </w:p>
    <w:bookmarkStart w:id="68"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With-reminder task-encoding condition from Simulation 1; task encoding multiplier fixed at 2.0</w:t>
            </w:r>
          </w:p>
        </w:tc>
        <w:tc>
          <w:tcPr/>
          <w:p>
            <w:pPr>
              <w:pStyle w:val="Compact"/>
            </w:pPr>
            <w:r>
              <w:t xml:space="preserve">Start-of-list context reinstatement, retrieval selectivity, and off-target context updating</w:t>
            </w:r>
          </w:p>
        </w:tc>
        <w:tc>
          <w:tcPr/>
          <w:p>
            <w:pPr>
              <w:pStyle w:val="Compact"/>
            </w:pPr>
            <w:r>
              <w:t xml:space="preserve">Pre-recall support, recall initiation, overall recall, and film return after off-target samples</w:t>
            </w:r>
          </w:p>
        </w:tc>
      </w:tr>
      <w:tr>
        <w:tc>
          <w:tcPr/>
          <w:p>
            <w:pPr>
              <w:pStyle w:val="Compact"/>
            </w:pPr>
            <w:r>
              <w:t xml:space="preserve">3</w:t>
            </w:r>
          </w:p>
        </w:tc>
        <w:tc>
          <w:tcPr/>
          <w:p>
            <w:pPr>
              <w:pStyle w:val="Compact"/>
            </w:pPr>
            <w:r>
              <w:t xml:space="preserve">With-reminder task-encoding condition and matched unguided/deliberate retrieval settings</w:t>
            </w:r>
          </w:p>
        </w:tc>
        <w:tc>
          <w:tcPr/>
          <w:p>
            <w:pPr>
              <w:pStyle w:val="Compact"/>
            </w:pPr>
            <w:r>
              <w:t xml:space="preserve">Strength of test-phase film cues</w:t>
            </w:r>
          </w:p>
        </w:tc>
        <w:tc>
          <w:tcPr/>
          <w:p>
            <w:pPr>
              <w:pStyle w:val="Compact"/>
            </w:pPr>
            <w:r>
              <w:t xml:space="preserve">Film recall mass, intentionality gap, and recall by encoded position</w:t>
            </w:r>
          </w:p>
        </w:tc>
      </w:tr>
      <w:tr>
        <w:tc>
          <w:tcPr/>
          <w:p>
            <w:pPr>
              <w:pStyle w:val="Compact"/>
            </w:pPr>
            <w:r>
              <w:t xml:space="preserve">4</w:t>
            </w:r>
          </w:p>
        </w:tc>
        <w:tc>
          <w:tcPr/>
          <w:p>
            <w:pPr>
              <w:pStyle w:val="Compact"/>
            </w:pPr>
            <w:r>
              <w:t xml:space="preserve">Same encoded associations, without a full recognition-decision model</w:t>
            </w:r>
          </w:p>
        </w:tc>
        <w:tc>
          <w:tcPr/>
          <w:p>
            <w:pPr>
              <w:pStyle w:val="Compact"/>
            </w:pPr>
            <w:r>
              <w:t xml:space="preserve">Context-guided recall versus supplied-item access</w:t>
            </w:r>
          </w:p>
        </w:tc>
        <w:tc>
          <w:tcPr/>
          <w:p>
            <w:pPr>
              <w:pStyle w:val="Compact"/>
            </w:pPr>
            <w:r>
              <w:t xml:space="preserve">Whether supplied film information changes where interference enters retrieval</w:t>
            </w:r>
          </w:p>
        </w:tc>
      </w:tr>
      <w:tr>
        <w:tc>
          <w:tcPr/>
          <w:p>
            <w:pPr>
              <w:pStyle w:val="Compact"/>
            </w:pPr>
            <w:r>
              <w:t xml:space="preserve">5</w:t>
            </w:r>
          </w:p>
        </w:tc>
        <w:tc>
          <w:tcPr/>
          <w:p>
            <w:pPr>
              <w:pStyle w:val="Compact"/>
            </w:pPr>
            <w:r>
              <w:t xml:space="preserve">Shared phase structure</w:t>
            </w:r>
          </w:p>
        </w:tc>
        <w:tc>
          <w:tcPr/>
          <w:p>
            <w:pPr>
              <w:pStyle w:val="Compact"/>
            </w:pPr>
            <w:r>
              <w:t xml:space="preserve">Task encoding strength, temporal-context overlap, and source-context overlap</w:t>
            </w:r>
          </w:p>
        </w:tc>
        <w:tc>
          <w:tcPr/>
          <w:p>
            <w:pPr>
              <w:pStyle w:val="Compact"/>
            </w:pPr>
            <w:r>
              <w:t xml:space="preserve">Boundary conditions for stronger or weaker task competition</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current simulations.</w:t>
      </w:r>
    </w:p>
    <w:bookmarkStart w:id="69"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film items supplied as test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supply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r>
        <w:t xml:space="preserve"> </w:t>
      </w:r>
      <w:r>
        <w:t xml:space="preserve">The film-context support analysis asks which item classes receive retrieval support when the model is probed with an average film context after task encoding.</w:t>
      </w:r>
      <w:r>
        <w:t xml:space="preserve"> </w:t>
      </w:r>
      <w:r>
        <w:t xml:space="preserve">It forms that probe from the centroid of film encoding context states, applies it to</w:t>
      </w:r>
      <w:r>
        <w:t xml:space="preserve"> </w:t>
      </w:r>
      <m:oMath>
        <m:sSup>
          <m:e>
            <m:r>
              <m:t>M</m:t>
            </m:r>
          </m:e>
          <m:sup>
            <m:r>
              <m:t>C</m:t>
            </m:r>
            <m:r>
              <m:t>F</m:t>
            </m:r>
          </m:sup>
        </m:sSup>
      </m:oMath>
      <w:r>
        <w:t xml:space="preserve">, and sums support separately for film and task items.</w:t>
      </w:r>
    </w:p>
    <w:bookmarkStart w:id="75"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0.0–3.0 by 0.5</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At the lowest and highest multiplier values, mean film recall in the no-reminder condition changes from 0.318 at task encoding multiplier 0.0 to 0.268 at multiplier 3.0, while mean task recall changes from 0.000 to 0.143.</w:t>
      </w:r>
      <w:r>
        <w:t xml:space="preserve"> </w:t>
      </w:r>
      <w:r>
        <w:t xml:space="preserve">In the condition with a pre-task film reminder, mean film recall changes from 0.306 to 0.064, while mean task recall changes from 0.000 to 0.384.</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by changing the retrieval start state and limiting how off-target samples update later search.</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asks whether deliberate film recall remains protected when reminder condition and task encoding strength are crossed.</w:t>
      </w:r>
      <w:r>
        <w:t xml:space="preserve"> </w:t>
      </w:r>
      <w:r>
        <w:t xml:space="preserve">The deliberate-recall setting combines three control mechanisms: start-of-film context reinstatement, a maintained film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 </w:t>
      </w:r>
    </w:p>
    <w:bookmarkStart w:id="96" w:name="Xe96feb7454d6b23e449dfafb9c326dcfa9c3226"/>
    <w:p>
      <w:pPr>
        <w:pStyle w:val="FigureTitle"/>
      </w:pPr>
      <w:r>
        <w:t xml:space="preserve">Figure 10</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4" name="Picture"/>
            <a:graphic>
              <a:graphicData uri="http://schemas.openxmlformats.org/drawingml/2006/picture">
                <pic:pic>
                  <pic:nvPicPr>
                    <pic:cNvPr descr="work/simulation2_start_context_reinstatement/simulation2_start_context_reinstatement.png" id="95" name="Picture"/>
                    <pic:cNvPicPr>
                      <a:picLocks noChangeArrowheads="1" noChangeAspect="1"/>
                    </pic:cNvPicPr>
                  </pic:nvPicPr>
                  <pic:blipFill>
                    <a:blip r:embed="rId93"/>
                    <a:stretch>
                      <a:fillRect/>
                    </a:stretch>
                  </pic:blipFill>
                  <pic:spPr bwMode="auto">
                    <a:xfrm>
                      <a:off x="0" y="0"/>
                      <a:ext cx="5943600" cy="5612321"/>
                    </a:xfrm>
                    <a:prstGeom prst="rect">
                      <a:avLst/>
                    </a:prstGeom>
                    <a:noFill/>
                    <a:ln w="9525">
                      <a:noFill/>
                      <a:headEnd/>
                      <a:tailEnd/>
                    </a:ln>
                  </pic:spPr>
                </pic:pic>
              </a:graphicData>
            </a:graphic>
          </wp:inline>
        </w:drawing>
      </w:r>
    </w:p>
    <w:bookmarkEnd w:id="96"/>
    <w:p>
      <w:pPr>
        <w:pStyle w:val="AfterWithoutNote"/>
      </w:pPr>
      <w:r>
        <w:t xml:space="preserve"> </w:t>
      </w:r>
    </w:p>
    <w:bookmarkStart w:id="100" w:name="Xa9c4b5e1618786b5f440768b73dd7732a592b1f"/>
    <w:p>
      <w:pPr>
        <w:pStyle w:val="FigureTitle"/>
      </w:pPr>
      <w:r>
        <w:t xml:space="preserve">Figure 11</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98" name="Picture"/>
            <a:graphic>
              <a:graphicData uri="http://schemas.openxmlformats.org/drawingml/2006/picture">
                <pic:pic>
                  <pic:nvPicPr>
                    <pic:cNvPr descr="work/simulation2_target_monitoring_diagnostic/simulation2_target_monitoring_diagnostic.png" id="99" name="Picture"/>
                    <pic:cNvPicPr>
                      <a:picLocks noChangeArrowheads="1" noChangeAspect="1"/>
                    </pic:cNvPicPr>
                  </pic:nvPicPr>
                  <pic:blipFill>
                    <a:blip r:embed="rId97"/>
                    <a:stretch>
                      <a:fillRect/>
                    </a:stretch>
                  </pic:blipFill>
                  <pic:spPr bwMode="auto">
                    <a:xfrm>
                      <a:off x="0" y="0"/>
                      <a:ext cx="5943600" cy="5638967"/>
                    </a:xfrm>
                    <a:prstGeom prst="rect">
                      <a:avLst/>
                    </a:prstGeom>
                    <a:noFill/>
                    <a:ln w="9525">
                      <a:noFill/>
                      <a:headEnd/>
                      <a:tailEnd/>
                    </a:ln>
                  </pic:spPr>
                </pic:pic>
              </a:graphicData>
            </a:graphic>
          </wp:inline>
        </w:drawing>
      </w:r>
    </w:p>
    <w:bookmarkEnd w:id="100"/>
    <w:p>
      <w:pPr>
        <w:pStyle w:val="AfterWithoutNote"/>
      </w:pPr>
      <w:r>
        <w:t xml:space="preserve"> </w:t>
      </w:r>
    </w:p>
    <w:bookmarkStart w:id="104" w:name="X6daa0b906c5e98f8ec58936bb9080f274712771"/>
    <w:p>
      <w:pPr>
        <w:pStyle w:val="FigureTitle"/>
      </w:pPr>
      <w:r>
        <w:t xml:space="preserve">Figure 12</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102" name="Picture"/>
            <a:graphic>
              <a:graphicData uri="http://schemas.openxmlformats.org/drawingml/2006/picture">
                <pic:pic>
                  <pic:nvPicPr>
                    <pic:cNvPr descr="work/simulation2_film_retrieval_goal_context_overlap/simulation2_film_retrieval_goal_context_overlap.png" id="103" name="Picture"/>
                    <pic:cNvPicPr>
                      <a:picLocks noChangeArrowheads="1" noChangeAspect="1"/>
                    </pic:cNvPicPr>
                  </pic:nvPicPr>
                  <pic:blipFill>
                    <a:blip r:embed="rId101"/>
                    <a:stretch>
                      <a:fillRect/>
                    </a:stretch>
                  </pic:blipFill>
                  <pic:spPr bwMode="auto">
                    <a:xfrm>
                      <a:off x="0" y="0"/>
                      <a:ext cx="5943600" cy="5653668"/>
                    </a:xfrm>
                    <a:prstGeom prst="rect">
                      <a:avLst/>
                    </a:prstGeom>
                    <a:noFill/>
                    <a:ln w="9525">
                      <a:noFill/>
                      <a:headEnd/>
                      <a:tailEnd/>
                    </a:ln>
                  </pic:spPr>
                </pic:pic>
              </a:graphicData>
            </a:graphic>
          </wp:inline>
        </w:drawing>
      </w:r>
    </w:p>
    <w:bookmarkEnd w:id="104"/>
    <w:p>
      <w:pPr>
        <w:pStyle w:val="AfterWithoutNote"/>
      </w:pPr>
      <w:r>
        <w:t xml:space="preserve">Film cues can also be presented after encoding is complete, during an intrusion-monitoring test.</w:t>
      </w:r>
      <w:r>
        <w:t xml:space="preserve"> </w:t>
      </w:r>
      <w:r>
        <w:t xml:space="preserve">Lau-Zhu et al.</w:t>
      </w:r>
      <w:r>
        <w:t xml:space="preserve"> </w:t>
      </w:r>
      <w:r>
        <w:t xml:space="preserve">(</w:t>
      </w:r>
      <w:hyperlink w:anchor="ref-lau2021selectively">
        <w:r>
          <w:rPr>
            <w:rStyle w:val="Hyperlink"/>
          </w:rPr>
          <w:t xml:space="preserve">2021</w:t>
        </w:r>
      </w:hyperlink>
      <w:r>
        <w:t xml:space="preserve">)</w:t>
      </w:r>
      <w:r>
        <w:t xml:space="preserve"> </w:t>
      </w:r>
      <w:r>
        <w:t xml:space="preserve">manipulated this feature by comparing vigilance-intrusion periods with trauma-film cues versus foil cues.</w:t>
      </w:r>
      <w:r>
        <w:t xml:space="preserve"> </w:t>
      </w:r>
      <w:r>
        <w:t xml:space="preserve">Trauma-film cues increased intrusion reports, consistent with their intended role in eliciting film memories, but there was no clear evidence that cue condition changed the size of the interference effect.</w:t>
      </w:r>
      <w:r>
        <w:t xml:space="preserve"> </w:t>
      </w:r>
      <w:r>
        <w:t xml:space="preserve">Simulation 3 uses the model to examine this combination: film cues may raise access to film material while leaving task competitors active in the same retrieval competition.</w:t>
      </w:r>
    </w:p>
    <w:bookmarkEnd w:id="105"/>
    <w:bookmarkStart w:id="110" w:name="X5839f0b8c81129db231162d4b757efaeea9cdbb"/>
    <w:p>
      <w:pPr>
        <w:pStyle w:val="Heading2"/>
      </w:pPr>
      <w:r>
        <w:t xml:space="preserve">Simulation 3: Test-Phase Film Cues and Retrieval Intentionality</w:t>
      </w:r>
    </w:p>
    <w:p>
      <w:pPr>
        <w:pStyle w:val="FirstParagraph"/>
      </w:pPr>
      <w:r>
        <w:t xml:space="preserve">Simulation 3 abstracts the cueing feature of vigilance-intrusion tasks.</w:t>
      </w:r>
      <w:r>
        <w:t xml:space="preserve"> </w:t>
      </w:r>
      <w:r>
        <w:t xml:space="preserve">The model does not simulate the full task; it simulates the moment when a film cue is presented during an ongoing retrieval period.</w:t>
      </w:r>
      <w:r>
        <w:t xml:space="preserve"> </w:t>
      </w:r>
      <w:r>
        <w:t xml:space="preserve">Each cue is implemented as a randomly selected film cue supplied after every fourth retrieval attempt.</w:t>
      </w:r>
      <w:r>
        <w:t xml:space="preserve"> </w:t>
      </w:r>
      <w:r>
        <w:t xml:space="preserve">The cue updates temporal and source context through feature-to-context associations, after which ordinary context-to-item retrieval resumes.</w:t>
      </w:r>
      <w:r>
        <w:t xml:space="preserve"> </w:t>
      </w:r>
      <w:r>
        <w:t xml:space="preserve">The supplied cue does not occupy a response slot, does not make the cued item unavailable for later recall, and adds no new learning.</w:t>
      </w:r>
      <w:r>
        <w:t xml:space="preserve"> </w:t>
      </w:r>
      <w:r>
        <w:t xml:space="preserve">Cue strength controls how strongly each supplied cue pulls context toward the film state associated with that cue.</w:t>
      </w:r>
      <w:r>
        <w:t xml:space="preserve"> </w:t>
      </w:r>
      <w:r>
        <w:t xml:space="preserve">The plotted values express that pull relative to the fitted recall context-update rate</w:t>
      </w:r>
      <w:r>
        <w:t xml:space="preserve"> </w:t>
      </w:r>
      <m:oMath>
        <m:sSub>
          <m:e>
            <m:r>
              <m:t>β</m:t>
            </m:r>
          </m:e>
          <m:sub>
            <m:r>
              <m:t>r</m:t>
            </m:r>
            <m:r>
              <m:t>e</m:t>
            </m:r>
            <m:r>
              <m:t>c</m:t>
            </m:r>
          </m:sub>
        </m:sSub>
      </m:oMath>
      <w:r>
        <w:t xml:space="preserve">.</w:t>
      </w:r>
      <w:r>
        <w:t xml:space="preserve"> </w:t>
      </w:r>
      <w:r>
        <w:t xml:space="preserve">The vertical reference line in</w:t>
      </w:r>
      <w:r>
        <w:t xml:space="preserve"> </w:t>
      </w:r>
      <w:hyperlink w:anchor="fig-simulation3-film-cue-inclusion">
        <w:r>
          <w:rPr>
            <w:rStyle w:val="Hyperlink"/>
          </w:rPr>
          <w:t xml:space="preserve">Figure 13</w:t>
        </w:r>
      </w:hyperlink>
      <w:r>
        <w:t xml:space="preserve"> </w:t>
      </w:r>
      <w:r>
        <w:t xml:space="preserve">marks the point at which a supplied cue would move context by about the same amount as one ordinary encoding update, approximately</w:t>
      </w:r>
      <w:r>
        <w:t xml:space="preserve"> </w:t>
      </w:r>
      <m:oMath>
        <m:sSub>
          <m:e>
            <m:r>
              <m:t>β</m:t>
            </m:r>
          </m:e>
          <m:sub>
            <m:r>
              <m:t>e</m:t>
            </m:r>
            <m:r>
              <m:t>n</m:t>
            </m:r>
            <m:r>
              <m:t>c</m:t>
            </m:r>
          </m:sub>
        </m:sSub>
      </m:oMath>
      <w:r>
        <w:t xml:space="preserve">.</w:t>
      </w:r>
    </w:p>
    <w:bookmarkStart w:id="109" w:name="fig-simulation3-film-cue-inclusion"/>
    <w:p>
      <w:pPr>
        <w:pStyle w:val="FigureTitle"/>
      </w:pPr>
      <w:r>
        <w:t xml:space="preserve">Figure 13</w:t>
      </w:r>
    </w:p>
    <w:p>
      <w:pPr>
        <w:pStyle w:val="Caption"/>
      </w:pPr>
      <w:r>
        <w:rPr>
          <w:b/>
          <w:bCs/>
        </w:rPr>
        <w:t xml:space="preserve">Test-phase film cues boost film recall, but deliberate recall remains advantaged.</w:t>
      </w:r>
      <w:r>
        <w:t xml:space="preserve"> </w:t>
      </w:r>
      <w:r>
        <w:t xml:space="preserve">Simulation 3 compares unguided retrieval with deliberate recall while varying the strength of film cues supplied during retrieval.</w:t>
      </w:r>
      <w:r>
        <w:t xml:space="preserve"> </w:t>
      </w:r>
      <w:r>
        <w:rPr>
          <w:b/>
          <w:bCs/>
        </w:rPr>
        <w:t xml:space="preserve">(A)</w:t>
      </w:r>
      <w:r>
        <w:t xml:space="preserve"> </w:t>
      </w:r>
      <w:r>
        <w:t xml:space="preserve">Numbered boxes represent ordinary retrieval attempts.</w:t>
      </w:r>
      <w:r>
        <w:t xml:space="preserve"> </w:t>
      </w:r>
      <w:r>
        <w:t xml:space="preserve">After every fourth attempt, the test supplies a film cue; the cue updates context before the next retrieval attempt, is not counted as a response, and adds no new learning.</w:t>
      </w:r>
      <w:r>
        <w:t xml:space="preserve"> </w:t>
      </w:r>
      <w:r>
        <w:rPr>
          <w:b/>
          <w:bCs/>
        </w:rPr>
        <w:t xml:space="preserve">(B)</w:t>
      </w:r>
      <w:r>
        <w:t xml:space="preserve"> </w:t>
      </w:r>
      <w:r>
        <w:t xml:space="preserve">The left plot shows total film recall mass for unguided retrieval and deliberate recall as cue strength increases; the right plot shows the deliberate-minus-unguided gap.</w:t>
      </w:r>
      <w:r>
        <w:t xml:space="preserve"> </w:t>
      </w:r>
      <w:r>
        <w:t xml:space="preserve">Film recall increases with cue strength, but deliberate recall remains higher than unguided retrieval across weak-to-moderate cue values.</w:t>
      </w:r>
      <w:r>
        <w:t xml:space="preserve"> </w:t>
      </w:r>
      <w:r>
        <w:t xml:space="preserve">Only stronger cue values begin to narrow the gap.</w:t>
      </w:r>
      <w:r>
        <w:t xml:space="preserve"> </w:t>
      </w:r>
      <w:r>
        <w:rPr>
          <w:b/>
          <w:bCs/>
        </w:rPr>
        <w:t xml:space="preserve">(C-D)</w:t>
      </w:r>
      <w:r>
        <w:t xml:space="preserve"> </w:t>
      </w:r>
      <w:r>
        <w:t xml:space="preserve">Curves plot recall probability at the retrieval test by encoded position, with darker lines indicating stronger film cue strength.</w:t>
      </w:r>
      <w:r>
        <w:t xml:space="preserve"> </w:t>
      </w:r>
      <w:r>
        <w:t xml:space="preserve">Under unguided retrieval, film cues modestly raise film recall but task and filler competitors remain prominent.</w:t>
      </w:r>
      <w:r>
        <w:t xml:space="preserve"> </w:t>
      </w:r>
      <w:r>
        <w:t xml:space="preserve">Under deliberate recall, film recall is already supported by start-of-list control, and these cues produce additional film recall without eliminating task competition.</w:t>
      </w:r>
    </w:p>
    <w:p>
      <w:pPr>
        <w:pStyle w:val="FigureWithoutNote"/>
      </w:pPr>
      <w:r>
        <w:drawing>
          <wp:inline>
            <wp:extent cx="5943600" cy="4164783"/>
            <wp:effectExtent b="0" l="0" r="0" t="0"/>
            <wp:docPr descr="" title="" id="107" name="Picture"/>
            <a:graphic>
              <a:graphicData uri="http://schemas.openxmlformats.org/drawingml/2006/picture">
                <pic:pic>
                  <pic:nvPicPr>
                    <pic:cNvPr descr="work/simulation3_film_cue_inclusion/simulation3_film_cue_inclusion.png" id="108" name="Picture"/>
                    <pic:cNvPicPr>
                      <a:picLocks noChangeArrowheads="1" noChangeAspect="1"/>
                    </pic:cNvPicPr>
                  </pic:nvPicPr>
                  <pic:blipFill>
                    <a:blip r:embed="rId106"/>
                    <a:stretch>
                      <a:fillRect/>
                    </a:stretch>
                  </pic:blipFill>
                  <pic:spPr bwMode="auto">
                    <a:xfrm>
                      <a:off x="0" y="0"/>
                      <a:ext cx="5943600" cy="4164783"/>
                    </a:xfrm>
                    <a:prstGeom prst="rect">
                      <a:avLst/>
                    </a:prstGeom>
                    <a:noFill/>
                    <a:ln w="9525">
                      <a:noFill/>
                      <a:headEnd/>
                      <a:tailEnd/>
                    </a:ln>
                  </pic:spPr>
                </pic:pic>
              </a:graphicData>
            </a:graphic>
          </wp:inline>
        </w:drawing>
      </w:r>
    </w:p>
    <w:bookmarkEnd w:id="109"/>
    <w:p>
      <w:pPr>
        <w:pStyle w:val="AfterWithoutNote"/>
      </w:pPr>
      <w:r>
        <w:t xml:space="preserve">Panel B gives the primary test of the Simulation 3 prediction.</w:t>
      </w:r>
      <w:r>
        <w:t xml:space="preserve"> </w:t>
      </w:r>
      <w:r>
        <w:t xml:space="preserve">Weak-to-moderate test-phase film cues help unguided retrieval, especially relative to its low baseline, but they do not eliminate the deliberate-recall advantage.</w:t>
      </w:r>
      <w:r>
        <w:t xml:space="preserve"> </w:t>
      </w:r>
      <w:r>
        <w:t xml:space="preserve">For example, increasing film cue strength from 0.00 to 0.675 raises film recall mass from 0.008 to 0.210 under unguided retrieval and from 2.229 to 2.400 under deliberate recall, while the deliberate-minus-unguided gap changes only from 2.221 to 2.190.</w:t>
      </w:r>
      <w:r>
        <w:t xml:space="preserve"> </w:t>
      </w:r>
      <w:r>
        <w:t xml:space="preserve">This pattern separates greater film access from reduced interference.</w:t>
      </w:r>
      <w:r>
        <w:t xml:space="preserve"> </w:t>
      </w:r>
      <w:r>
        <w:t xml:space="preserve">A film cue can pull context toward film-associated states and increase film recall, especially during unguided retrieval.</w:t>
      </w:r>
      <w:r>
        <w:t xml:space="preserve"> </w:t>
      </w:r>
      <w:r>
        <w:t xml:space="preserve">The same cue need not remove the task competitors learned after the reminder, so the deliberate-minus-unguided gap can remain largely intact.</w:t>
      </w:r>
      <w:r>
        <w:t xml:space="preserve"> </w:t>
      </w:r>
      <w:r>
        <w:t xml:space="preserve">At stronger cue values, the gap begins to narrow because cue-driven reinstatement becomes strong enough to make film items dominate subsequent retrieval.</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film items supplied during retrieval can increase film recall, but they reduce selective interference only to the extent that the reinstated context favors film targets over task and filler competitors.</w:t>
      </w:r>
    </w:p>
    <w:bookmarkEnd w:id="110"/>
    <w:bookmarkStart w:id="115" w:name="X4b971085a32b00b7d6d10c2980fa2959349f2f4"/>
    <w:p>
      <w:pPr>
        <w:pStyle w:val="Heading2"/>
      </w:pPr>
      <w:r>
        <w:t xml:space="preserve">Simulation 4: Context-to-Item and Item-to-Context Test Formats</w:t>
      </w:r>
    </w:p>
    <w:p>
      <w:pPr>
        <w:pStyle w:val="FirstParagraph"/>
      </w:pPr>
      <w:r>
        <w:t xml:space="preserve">Simulation 4 turns from vigilance-style cueing to recognition.</w:t>
      </w:r>
      <w:r>
        <w:t xml:space="preserve"> </w:t>
      </w:r>
      <w:r>
        <w:t xml:space="preserve">Recognition tests in the trauma-film literature present candidate film stills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The present simulation does not model decision criteria, foil familiarity, or confidence.</w:t>
      </w:r>
      <w:r>
        <w:t xml:space="preserve"> </w:t>
      </w:r>
      <w:r>
        <w:t xml:space="preserve">It isolates the supplied-item access step that recognition provides: the candidate film item is available first and can reinstate associated context before any need for that item to win a free-recall competition.</w:t>
      </w:r>
      <w:r>
        <w:t xml:space="preserve"> </w:t>
      </w:r>
      <w:hyperlink w:anchor="fig-simulation4-test-format-schematic">
        <w:r>
          <w:rPr>
            <w:rStyle w:val="Hyperlink"/>
          </w:rPr>
          <w:t xml:space="preserve">Figure 14</w:t>
        </w:r>
      </w:hyperlink>
      <w:r>
        <w:t xml:space="preserve"> </w:t>
      </w:r>
      <w:r>
        <w:t xml:space="preserve">schematizes this distinction.</w:t>
      </w:r>
      <w:r>
        <w:t xml:space="preserve"> </w:t>
      </w:r>
      <w:r>
        <w:t xml:space="preserve">When recall requires context-to-item selection, overlapping context can support both film and task candidates, so interference can enter at item selection.</w:t>
      </w:r>
      <w:r>
        <w:t xml:space="preserve"> </w:t>
      </w:r>
      <w:r>
        <w:t xml:space="preserve">When the test supplies the film item, selection of that item is no longer the first step; the model instead asks what context the supplied item reinstates and whether access remains sensitive to the task associations created during encoding.</w:t>
      </w:r>
      <w:r>
        <w:t xml:space="preserve"> </w:t>
      </w:r>
      <w:r>
        <w:t xml:space="preserve">This provides a test-format consequence of the same bidirectional item-context loop examined in Simulation 3.</w:t>
      </w:r>
    </w:p>
    <w:bookmarkStart w:id="114" w:name="fig-simulation4-test-format-schematic"/>
    <w:p>
      <w:pPr>
        <w:pStyle w:val="FigureTitle"/>
      </w:pPr>
      <w:r>
        <w:t xml:space="preserve">Figure 14</w:t>
      </w:r>
    </w:p>
    <w:p>
      <w:pPr>
        <w:pStyle w:val="Caption"/>
      </w:pPr>
      <w:r>
        <w:rPr>
          <w:b/>
          <w:bCs/>
        </w:rPr>
        <w:t xml:space="preserve">Retrieval format changes where interference can enter.</w:t>
      </w:r>
      <w:r>
        <w:t xml:space="preserve"> </w:t>
      </w:r>
      <w:r>
        <w:t xml:space="preserve">Simulation 4 demonstrates a test-format consequence of context-to-item recall versus supplied-item access.</w:t>
      </w:r>
      <w:r>
        <w:t xml:space="preserve"> </w:t>
      </w:r>
      <w:r>
        <w:rPr>
          <w:b/>
          <w:bCs/>
        </w:rPr>
        <w:t xml:space="preserve">(A)</w:t>
      </w:r>
      <w:r>
        <w:t xml:space="preserve"> </w:t>
      </w:r>
      <w:r>
        <w:t xml:space="preserve">When recall requires selecting an item from current context, the same context state can support multiple candidates; task items therefore compete with film items when both have been encoded in overlapping contexts.</w:t>
      </w:r>
      <w:r>
        <w:t xml:space="preserve"> </w:t>
      </w:r>
      <w:r>
        <w:t xml:space="preserve">When the test supplies a film item, that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show how recognition tests can preserve access even when context-guided recall remains sensitive to interference.</w:t>
      </w:r>
    </w:p>
    <w:p>
      <w:pPr>
        <w:pStyle w:val="FigureWithoutNote"/>
      </w:pPr>
      <w:r>
        <w:drawing>
          <wp:inline>
            <wp:extent cx="5943600" cy="4316185"/>
            <wp:effectExtent b="0" l="0" r="0" t="0"/>
            <wp:docPr descr="" title="" id="112" name="Picture"/>
            <a:graphic>
              <a:graphicData uri="http://schemas.openxmlformats.org/drawingml/2006/picture">
                <pic:pic>
                  <pic:nvPicPr>
                    <pic:cNvPr descr="work/simulation4_test_format_schematic/simulation4_test_format_schematic.png" id="113" name="Picture"/>
                    <pic:cNvPicPr>
                      <a:picLocks noChangeArrowheads="1" noChangeAspect="1"/>
                    </pic:cNvPicPr>
                  </pic:nvPicPr>
                  <pic:blipFill>
                    <a:blip r:embed="rId111"/>
                    <a:stretch>
                      <a:fillRect/>
                    </a:stretch>
                  </pic:blipFill>
                  <pic:spPr bwMode="auto">
                    <a:xfrm>
                      <a:off x="0" y="0"/>
                      <a:ext cx="5943600" cy="4316185"/>
                    </a:xfrm>
                    <a:prstGeom prst="rect">
                      <a:avLst/>
                    </a:prstGeom>
                    <a:noFill/>
                    <a:ln w="9525">
                      <a:noFill/>
                      <a:headEnd/>
                      <a:tailEnd/>
                    </a:ln>
                  </pic:spPr>
                </pic:pic>
              </a:graphicData>
            </a:graphic>
          </wp:inline>
        </w:drawing>
      </w:r>
    </w:p>
    <w:bookmarkEnd w:id="114"/>
    <w:bookmarkEnd w:id="115"/>
    <w:bookmarkStart w:id="116" w:name="X3bccd27e2ac34ffe83600109912b9a30086b735"/>
    <w:p>
      <w:pPr>
        <w:pStyle w:val="Heading2"/>
      </w:pPr>
      <w:r>
        <w:t xml:space="preserve">Simulation 5: Task Specificity and Source-Context Overlap</w:t>
      </w:r>
    </w:p>
    <w:p>
      <w:pPr>
        <w:pStyle w:val="FirstParagraph"/>
      </w:pPr>
      <w:r>
        <w:t xml:space="preserve">Simulation 5 explores why some post-film tasks should produce stronger interference than others.</w:t>
      </w:r>
      <w:r>
        <w:t xml:space="preserve"> </w:t>
      </w:r>
      <w:r>
        <w:t xml:space="preserve">The model does not treat</w:t>
      </w:r>
      <w:r>
        <w:t xml:space="preserve"> </w:t>
      </w:r>
      <w:r>
        <w:t xml:space="preserve">“visuospatial”</w:t>
      </w:r>
      <w:r>
        <w:t xml:space="preserve"> </w:t>
      </w:r>
      <w:r>
        <w:t xml:space="preserve">and</w:t>
      </w:r>
      <w:r>
        <w:t xml:space="preserve"> </w:t>
      </w:r>
      <w:r>
        <w:t xml:space="preserve">“comparison”</w:t>
      </w:r>
      <w:r>
        <w:t xml:space="preserve"> </w:t>
      </w:r>
      <w:r>
        <w:t xml:space="preserve">as built-in task categories.</w:t>
      </w:r>
      <w:r>
        <w:t xml:space="preserve"> </w:t>
      </w:r>
      <w:r>
        <w:t xml:space="preserve">Instead, a task matters through the properties of the material it adds to memory: how strongly task items are encoded, how much their temporal context overlaps with film context, and whether they share source context with film items.</w:t>
      </w:r>
      <w:r>
        <w:t xml:space="preserve"> </w:t>
      </w:r>
      <w:r>
        <w:t xml:space="preserve">These factors can vary independently, so a task label is interpretable only through its consequences for competitor strength, temporal-context overlap, and source-context overlap.</w:t>
      </w:r>
    </w:p>
    <w:p>
      <w:pPr>
        <w:pStyle w:val="BodyText"/>
      </w:pPr>
      <w:r>
        <w:t xml:space="preserve">The task-specificity simulations therefore decompose three candidate routes to interference.</w:t>
      </w:r>
      <w:r>
        <w:t xml:space="preserve"> </w:t>
      </w:r>
      <w:r>
        <w:t xml:space="preserve">Increasing the task encoding multiplier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outcomes are film access, task-competitor retrieval, and retrieval outcomes by encoded phase or position.</w:t>
      </w:r>
    </w:p>
    <w:bookmarkEnd w:id="116"/>
    <w:bookmarkEnd w:id="117"/>
    <w:bookmarkStart w:id="118" w:name="general-discussion"/>
    <w:p>
      <w:pPr>
        <w:pStyle w:val="Heading1"/>
      </w:pPr>
      <w:r>
        <w:t xml:space="preserve">General Discussion</w:t>
      </w:r>
    </w:p>
    <w:bookmarkEnd w:id="118"/>
    <w:bookmarkStart w:id="217" w:name="references"/>
    <w:p>
      <w:pPr>
        <w:pStyle w:val="Heading1"/>
      </w:pPr>
      <w:r>
        <w:t xml:space="preserve">References</w:t>
      </w:r>
    </w:p>
    <w:bookmarkStart w:id="216" w:name="refs"/>
    <w:bookmarkStart w:id="120"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9">
        <w:r>
          <w:rPr>
            <w:rStyle w:val="Hyperlink"/>
          </w:rPr>
          <w:t xml:space="preserve">https://doi.org/10.1016/j.jbtep.2023.101920</w:t>
        </w:r>
      </w:hyperlink>
    </w:p>
    <w:bookmarkEnd w:id="120"/>
    <w:bookmarkStart w:id="122"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21">
        <w:r>
          <w:rPr>
            <w:rStyle w:val="Hyperlink"/>
          </w:rPr>
          <w:t xml:space="preserve">https://doi.org/10.1016/j.jpsychires.2023.01.028</w:t>
        </w:r>
      </w:hyperlink>
    </w:p>
    <w:bookmarkEnd w:id="122"/>
    <w:bookmarkStart w:id="124"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3">
        <w:r>
          <w:rPr>
            <w:rStyle w:val="Hyperlink"/>
          </w:rPr>
          <w:t xml:space="preserve">https://doi.org/10.1037/0096-3445.129.1.126</w:t>
        </w:r>
      </w:hyperlink>
    </w:p>
    <w:bookmarkEnd w:id="124"/>
    <w:bookmarkStart w:id="126"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5">
        <w:r>
          <w:rPr>
            <w:rStyle w:val="Hyperlink"/>
          </w:rPr>
          <w:t xml:space="preserve">https://doi.org/10.1016/s2215-0366(25)00397-9</w:t>
        </w:r>
      </w:hyperlink>
    </w:p>
    <w:bookmarkEnd w:id="126"/>
    <w:bookmarkStart w:id="128"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7">
        <w:r>
          <w:rPr>
            <w:rStyle w:val="Hyperlink"/>
          </w:rPr>
          <w:t xml:space="preserve">https://doi.org/10.1037/a0033722</w:t>
        </w:r>
      </w:hyperlink>
    </w:p>
    <w:bookmarkEnd w:id="128"/>
    <w:bookmarkStart w:id="130"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9">
        <w:r>
          <w:rPr>
            <w:rStyle w:val="Hyperlink"/>
          </w:rPr>
          <w:t xml:space="preserve">https://doi.org/10.1037/0033-295X.103.4.670</w:t>
        </w:r>
      </w:hyperlink>
    </w:p>
    <w:bookmarkEnd w:id="130"/>
    <w:bookmarkStart w:id="132"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31">
        <w:r>
          <w:rPr>
            <w:rStyle w:val="Hyperlink"/>
          </w:rPr>
          <w:t xml:space="preserve">https://doi.org/10.1037/a0018113</w:t>
        </w:r>
      </w:hyperlink>
    </w:p>
    <w:bookmarkEnd w:id="132"/>
    <w:bookmarkStart w:id="13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3">
        <w:r>
          <w:rPr>
            <w:rStyle w:val="Hyperlink"/>
          </w:rPr>
          <w:t xml:space="preserve">https://doi.org/10.1037/rev0000334</w:t>
        </w:r>
      </w:hyperlink>
    </w:p>
    <w:bookmarkEnd w:id="134"/>
    <w:bookmarkStart w:id="13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5">
        <w:r>
          <w:rPr>
            <w:rStyle w:val="Hyperlink"/>
          </w:rPr>
          <w:t xml:space="preserve">https://doi.org/10.1016/j.jbtep.2011.10.008</w:t>
        </w:r>
      </w:hyperlink>
    </w:p>
    <w:bookmarkEnd w:id="136"/>
    <w:bookmarkStart w:id="13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7"/>
    <w:bookmarkStart w:id="13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8">
        <w:r>
          <w:rPr>
            <w:rStyle w:val="Hyperlink"/>
          </w:rPr>
          <w:t xml:space="preserve">https://doi.org/10.1016/S0005-7967(99)00123-0</w:t>
        </w:r>
      </w:hyperlink>
    </w:p>
    <w:bookmarkEnd w:id="139"/>
    <w:bookmarkStart w:id="141"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0">
        <w:r>
          <w:rPr>
            <w:rStyle w:val="Hyperlink"/>
          </w:rPr>
          <w:t xml:space="preserve">https://doi.org/10.1037/rev0000015</w:t>
        </w:r>
      </w:hyperlink>
    </w:p>
    <w:bookmarkEnd w:id="141"/>
    <w:bookmarkStart w:id="143"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2">
        <w:r>
          <w:rPr>
            <w:rStyle w:val="Hyperlink"/>
          </w:rPr>
          <w:t xml:space="preserve">https://doi.org/10.1016/j.jbtep.2023.101858</w:t>
        </w:r>
      </w:hyperlink>
    </w:p>
    <w:bookmarkEnd w:id="143"/>
    <w:bookmarkStart w:id="145"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4">
        <w:r>
          <w:rPr>
            <w:rStyle w:val="Hyperlink"/>
          </w:rPr>
          <w:t xml:space="preserve">https://doi.org/10.1016/j.actpsy.2007.11.002</w:t>
        </w:r>
      </w:hyperlink>
    </w:p>
    <w:bookmarkEnd w:id="145"/>
    <w:bookmarkStart w:id="147"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6">
        <w:r>
          <w:rPr>
            <w:rStyle w:val="Hyperlink"/>
          </w:rPr>
          <w:t xml:space="preserve">https://doi.org/10.1037/0096-3445.133.1.3</w:t>
        </w:r>
      </w:hyperlink>
    </w:p>
    <w:bookmarkEnd w:id="147"/>
    <w:bookmarkStart w:id="149"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8">
        <w:r>
          <w:rPr>
            <w:rStyle w:val="Hyperlink"/>
          </w:rPr>
          <w:t xml:space="preserve">https://doi.org/10.1371/journal.pone.0004153</w:t>
        </w:r>
      </w:hyperlink>
    </w:p>
    <w:bookmarkEnd w:id="149"/>
    <w:bookmarkStart w:id="151"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0">
        <w:r>
          <w:rPr>
            <w:rStyle w:val="Hyperlink"/>
          </w:rPr>
          <w:t xml:space="preserve">https://doi.org/10.1371/journal.pone.0013706</w:t>
        </w:r>
      </w:hyperlink>
    </w:p>
    <w:bookmarkEnd w:id="151"/>
    <w:bookmarkStart w:id="153"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2">
        <w:r>
          <w:rPr>
            <w:rStyle w:val="Hyperlink"/>
          </w:rPr>
          <w:t xml:space="preserve">https://doi.org/10.1016/j.brat.2017.03.018</w:t>
        </w:r>
      </w:hyperlink>
    </w:p>
    <w:bookmarkEnd w:id="153"/>
    <w:bookmarkStart w:id="155"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4">
        <w:r>
          <w:rPr>
            <w:rStyle w:val="Hyperlink"/>
          </w:rPr>
          <w:t xml:space="preserve">https://doi.org/10.1006/jmps.2001.1388</w:t>
        </w:r>
      </w:hyperlink>
    </w:p>
    <w:bookmarkEnd w:id="155"/>
    <w:bookmarkStart w:id="156"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6"/>
    <w:bookmarkStart w:id="15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7">
        <w:r>
          <w:rPr>
            <w:rStyle w:val="Hyperlink"/>
          </w:rPr>
          <w:t xml:space="preserve">https://doi.org/10.1038/mp.2017.23</w:t>
        </w:r>
      </w:hyperlink>
    </w:p>
    <w:bookmarkEnd w:id="158"/>
    <w:bookmarkStart w:id="160"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59">
        <w:r>
          <w:rPr>
            <w:rStyle w:val="Hyperlink"/>
          </w:rPr>
          <w:t xml:space="preserve">https://doi.org/10.1038/s41398-023-02578-0</w:t>
        </w:r>
      </w:hyperlink>
    </w:p>
    <w:bookmarkEnd w:id="160"/>
    <w:bookmarkStart w:id="16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61">
        <w:r>
          <w:rPr>
            <w:rStyle w:val="Hyperlink"/>
          </w:rPr>
          <w:t xml:space="preserve">https://doi.org/10.1016/j.cpr.2018.08.005</w:t>
        </w:r>
      </w:hyperlink>
    </w:p>
    <w:bookmarkEnd w:id="162"/>
    <w:bookmarkStart w:id="16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3">
        <w:r>
          <w:rPr>
            <w:rStyle w:val="Hyperlink"/>
          </w:rPr>
          <w:t xml:space="preserve">https://doi.org/10.1177/0956797615583071</w:t>
        </w:r>
      </w:hyperlink>
    </w:p>
    <w:bookmarkEnd w:id="164"/>
    <w:bookmarkStart w:id="16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65">
        <w:r>
          <w:rPr>
            <w:rStyle w:val="Hyperlink"/>
          </w:rPr>
          <w:t xml:space="preserve">https://doi.org/10.1016/j.cpr.2016.04.010</w:t>
        </w:r>
      </w:hyperlink>
    </w:p>
    <w:bookmarkEnd w:id="166"/>
    <w:bookmarkStart w:id="167"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7"/>
    <w:bookmarkStart w:id="169"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8">
        <w:r>
          <w:rPr>
            <w:rStyle w:val="Hyperlink"/>
          </w:rPr>
          <w:t xml:space="preserve">https://doi.org/10.1146/annurev-psych-010418-103358</w:t>
        </w:r>
      </w:hyperlink>
    </w:p>
    <w:bookmarkEnd w:id="169"/>
    <w:bookmarkStart w:id="171"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70">
        <w:r>
          <w:rPr>
            <w:rStyle w:val="Hyperlink"/>
          </w:rPr>
          <w:t xml:space="preserve">https://doi.org/10.1002/cpp.2489</w:t>
        </w:r>
      </w:hyperlink>
    </w:p>
    <w:bookmarkEnd w:id="171"/>
    <w:bookmarkStart w:id="173"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72">
        <w:r>
          <w:rPr>
            <w:rStyle w:val="Hyperlink"/>
          </w:rPr>
          <w:t xml:space="preserve">https://doi.org/10.1186/s12916-024-03569-8</w:t>
        </w:r>
      </w:hyperlink>
    </w:p>
    <w:bookmarkEnd w:id="173"/>
    <w:bookmarkStart w:id="17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74">
        <w:r>
          <w:rPr>
            <w:rStyle w:val="Hyperlink"/>
          </w:rPr>
          <w:t xml:space="preserve">https://doi.org/10.1016/j.jbtep.2019.01.006</w:t>
        </w:r>
      </w:hyperlink>
    </w:p>
    <w:bookmarkEnd w:id="175"/>
    <w:bookmarkStart w:id="17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6">
        <w:r>
          <w:rPr>
            <w:rStyle w:val="Hyperlink"/>
          </w:rPr>
          <w:t xml:space="preserve">https://doi.org/10.1038/nn.2271</w:t>
        </w:r>
      </w:hyperlink>
    </w:p>
    <w:bookmarkEnd w:id="177"/>
    <w:bookmarkStart w:id="179"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8">
        <w:r>
          <w:rPr>
            <w:rStyle w:val="Hyperlink"/>
          </w:rPr>
          <w:t xml:space="preserve">https://doi.org/10.1523/JNEUROSCI.3378-14.2015</w:t>
        </w:r>
      </w:hyperlink>
    </w:p>
    <w:bookmarkEnd w:id="179"/>
    <w:bookmarkStart w:id="181"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80">
        <w:r>
          <w:rPr>
            <w:rStyle w:val="Hyperlink"/>
          </w:rPr>
          <w:t xml:space="preserve">https://doi.org/10.1002/acp.1611</w:t>
        </w:r>
      </w:hyperlink>
    </w:p>
    <w:bookmarkEnd w:id="181"/>
    <w:bookmarkStart w:id="183"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82">
        <w:r>
          <w:rPr>
            <w:rStyle w:val="Hyperlink"/>
          </w:rPr>
          <w:t xml:space="preserve">https://doi.org/10.1037/xge0000598</w:t>
        </w:r>
      </w:hyperlink>
    </w:p>
    <w:bookmarkEnd w:id="183"/>
    <w:bookmarkStart w:id="185"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84">
        <w:r>
          <w:rPr>
            <w:rStyle w:val="Hyperlink"/>
          </w:rPr>
          <w:t xml:space="preserve">https://doi.org/10.1177/2167702621998315</w:t>
        </w:r>
      </w:hyperlink>
    </w:p>
    <w:bookmarkEnd w:id="185"/>
    <w:bookmarkStart w:id="187"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6">
        <w:r>
          <w:rPr>
            <w:rStyle w:val="Hyperlink"/>
          </w:rPr>
          <w:t xml:space="preserve">https://doi.org/10.1037/a0039036</w:t>
        </w:r>
      </w:hyperlink>
    </w:p>
    <w:bookmarkEnd w:id="187"/>
    <w:bookmarkStart w:id="189"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8">
        <w:r>
          <w:rPr>
            <w:rStyle w:val="Hyperlink"/>
          </w:rPr>
          <w:t xml:space="preserve">https://osf.io/preprints/psyarxiv/m3pnz_v1/</w:t>
        </w:r>
      </w:hyperlink>
    </w:p>
    <w:bookmarkEnd w:id="189"/>
    <w:bookmarkStart w:id="191"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90">
        <w:r>
          <w:rPr>
            <w:rStyle w:val="Hyperlink"/>
          </w:rPr>
          <w:t xml:space="preserve">https://doi.org/10.1016/j.jml.2015.10.002</w:t>
        </w:r>
      </w:hyperlink>
    </w:p>
    <w:bookmarkEnd w:id="191"/>
    <w:bookmarkStart w:id="193"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92">
        <w:r>
          <w:rPr>
            <w:rStyle w:val="Hyperlink"/>
          </w:rPr>
          <w:t xml:space="preserve">https://doi.org/10.1037/a0014420</w:t>
        </w:r>
      </w:hyperlink>
    </w:p>
    <w:bookmarkEnd w:id="193"/>
    <w:bookmarkStart w:id="195"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94">
        <w:r>
          <w:rPr>
            <w:rStyle w:val="Hyperlink"/>
          </w:rPr>
          <w:t xml:space="preserve">https://doi.org/10.1016/j.neuropsychologia.2009.02.013</w:t>
        </w:r>
      </w:hyperlink>
    </w:p>
    <w:bookmarkEnd w:id="195"/>
    <w:bookmarkStart w:id="197"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196">
        <w:r>
          <w:rPr>
            <w:rStyle w:val="Hyperlink"/>
          </w:rPr>
          <w:t xml:space="preserve">https://doi.org/10.1038/s41380-023-02062-7</w:t>
        </w:r>
      </w:hyperlink>
    </w:p>
    <w:bookmarkEnd w:id="197"/>
    <w:bookmarkStart w:id="199"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98">
        <w:r>
          <w:rPr>
            <w:rStyle w:val="Hyperlink"/>
          </w:rPr>
          <w:t xml:space="preserve">https://doi.org/10.1111/j.1467-9280.2005.01634.x</w:t>
        </w:r>
      </w:hyperlink>
    </w:p>
    <w:bookmarkEnd w:id="199"/>
    <w:bookmarkStart w:id="201"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00">
        <w:r>
          <w:rPr>
            <w:rStyle w:val="Hyperlink"/>
          </w:rPr>
          <w:t xml:space="preserve">https://doi.org/10.3758/s13423-011-0086-9</w:t>
        </w:r>
      </w:hyperlink>
    </w:p>
    <w:bookmarkEnd w:id="201"/>
    <w:bookmarkStart w:id="20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02">
        <w:r>
          <w:rPr>
            <w:rStyle w:val="Hyperlink"/>
          </w:rPr>
          <w:t xml:space="preserve">https://doi.org/10.1037/a0013396</w:t>
        </w:r>
      </w:hyperlink>
    </w:p>
    <w:bookmarkEnd w:id="203"/>
    <w:bookmarkStart w:id="205" w:name="ref-singh2023daily"/>
    <w:p>
      <w:pPr>
        <w:pStyle w:val="Bibliography"/>
      </w:pPr>
      <w:r>
        <w:t xml:space="preserve">Singh, L., Ahmed Pihlgren, S., Holmes, E. A., &amp; Moulds, M. L. (2023). Using a daily diary for monitoring intrusive memories of trauma: A translational data synthesis study exploring convergent validity.</w:t>
      </w:r>
      <w:r>
        <w:t xml:space="preserve"> </w:t>
      </w:r>
      <w:r>
        <w:rPr>
          <w:i/>
          <w:iCs/>
        </w:rPr>
        <w:t xml:space="preserve">International Journal of Methods in Psychiatric Research</w:t>
      </w:r>
      <w:r>
        <w:t xml:space="preserve">,</w:t>
      </w:r>
      <w:r>
        <w:t xml:space="preserve"> </w:t>
      </w:r>
      <w:r>
        <w:rPr>
          <w:i/>
          <w:iCs/>
        </w:rPr>
        <w:t xml:space="preserve">32</w:t>
      </w:r>
      <w:r>
        <w:t xml:space="preserve">(1), e1936.</w:t>
      </w:r>
      <w:r>
        <w:t xml:space="preserve"> </w:t>
      </w:r>
      <w:hyperlink r:id="rId204">
        <w:r>
          <w:rPr>
            <w:rStyle w:val="Hyperlink"/>
          </w:rPr>
          <w:t xml:space="preserve">https://doi.org/10.1002/mpr.1936</w:t>
        </w:r>
      </w:hyperlink>
    </w:p>
    <w:bookmarkEnd w:id="205"/>
    <w:bookmarkStart w:id="207"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06">
        <w:r>
          <w:rPr>
            <w:rStyle w:val="Hyperlink"/>
          </w:rPr>
          <w:t xml:space="preserve">https://doi.org/10.1037/rev0000132</w:t>
        </w:r>
      </w:hyperlink>
    </w:p>
    <w:bookmarkEnd w:id="207"/>
    <w:bookmarkStart w:id="209"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08">
        <w:r>
          <w:rPr>
            <w:rStyle w:val="Hyperlink"/>
          </w:rPr>
          <w:t xml:space="preserve">https://doi.org/10.1038/s41562-024-01956-y</w:t>
        </w:r>
      </w:hyperlink>
    </w:p>
    <w:bookmarkEnd w:id="209"/>
    <w:bookmarkStart w:id="211"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10">
        <w:r>
          <w:rPr>
            <w:rStyle w:val="Hyperlink"/>
          </w:rPr>
          <w:t xml:space="preserve">https://doi.org/10.1525/collabra.130791</w:t>
        </w:r>
      </w:hyperlink>
    </w:p>
    <w:bookmarkEnd w:id="211"/>
    <w:bookmarkStart w:id="213"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12">
        <w:r>
          <w:rPr>
            <w:rStyle w:val="Hyperlink"/>
          </w:rPr>
          <w:t xml:space="preserve">https://doi.org/10.1037/0278-7393.32.4.792</w:t>
        </w:r>
      </w:hyperlink>
    </w:p>
    <w:bookmarkEnd w:id="213"/>
    <w:bookmarkStart w:id="215"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14">
        <w:r>
          <w:rPr>
            <w:rStyle w:val="Hyperlink"/>
          </w:rPr>
          <w:t xml:space="preserve">https://doi.org/10.1037/rev0000505</w:t>
        </w:r>
      </w:hyperlink>
    </w:p>
    <w:bookmarkEnd w:id="215"/>
    <w:bookmarkEnd w:id="216"/>
    <w:bookmarkEnd w:id="21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101" Target="media/rId101.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hyperlink" Id="rId180" Target="https://doi.org/10.1002/acp.1611" TargetMode="External" /><Relationship Type="http://schemas.openxmlformats.org/officeDocument/2006/relationships/hyperlink" Id="rId170" Target="https://doi.org/10.1002/cpp.2489" TargetMode="External" /><Relationship Type="http://schemas.openxmlformats.org/officeDocument/2006/relationships/hyperlink" Id="rId204" Target="https://doi.org/10.1002/mpr.1936" TargetMode="External" /><Relationship Type="http://schemas.openxmlformats.org/officeDocument/2006/relationships/hyperlink" Id="rId154"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44" Target="https://doi.org/10.1016/j.actpsy.2007.11.002" TargetMode="External" /><Relationship Type="http://schemas.openxmlformats.org/officeDocument/2006/relationships/hyperlink" Id="rId152" Target="https://doi.org/10.1016/j.brat.2017.03.018" TargetMode="External" /><Relationship Type="http://schemas.openxmlformats.org/officeDocument/2006/relationships/hyperlink" Id="rId165" Target="https://doi.org/10.1016/j.cpr.2016.04.010" TargetMode="External" /><Relationship Type="http://schemas.openxmlformats.org/officeDocument/2006/relationships/hyperlink" Id="rId16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74" Target="https://doi.org/10.1016/j.jbtep.2019.01.006" TargetMode="External" /><Relationship Type="http://schemas.openxmlformats.org/officeDocument/2006/relationships/hyperlink" Id="rId142" Target="https://doi.org/10.1016/j.jbtep.2023.101858" TargetMode="External" /><Relationship Type="http://schemas.openxmlformats.org/officeDocument/2006/relationships/hyperlink" Id="rId119" Target="https://doi.org/10.1016/j.jbtep.2023.101920" TargetMode="External" /><Relationship Type="http://schemas.openxmlformats.org/officeDocument/2006/relationships/hyperlink" Id="rId190" Target="https://doi.org/10.1016/j.jml.2015.10.002" TargetMode="External" /><Relationship Type="http://schemas.openxmlformats.org/officeDocument/2006/relationships/hyperlink" Id="rId121" Target="https://doi.org/10.1016/j.jpsychires.2023.01.028" TargetMode="External" /><Relationship Type="http://schemas.openxmlformats.org/officeDocument/2006/relationships/hyperlink" Id="rId194" Target="https://doi.org/10.1016/j.neuropsychologia.2009.02.013" TargetMode="External" /><Relationship Type="http://schemas.openxmlformats.org/officeDocument/2006/relationships/hyperlink" Id="rId125" Target="https://doi.org/10.1016/s2215-0366(25)00397-9" TargetMode="External" /><Relationship Type="http://schemas.openxmlformats.org/officeDocument/2006/relationships/hyperlink" Id="rId129" Target="https://doi.org/10.1037/0033-295X.103.4.670" TargetMode="External" /><Relationship Type="http://schemas.openxmlformats.org/officeDocument/2006/relationships/hyperlink" Id="rId123" Target="https://doi.org/10.1037/0096-3445.129.1.126" TargetMode="External" /><Relationship Type="http://schemas.openxmlformats.org/officeDocument/2006/relationships/hyperlink" Id="rId146" Target="https://doi.org/10.1037/0096-3445.133.1.3" TargetMode="External" /><Relationship Type="http://schemas.openxmlformats.org/officeDocument/2006/relationships/hyperlink" Id="rId212" Target="https://doi.org/10.1037/0278-7393.32.4.792" TargetMode="External" /><Relationship Type="http://schemas.openxmlformats.org/officeDocument/2006/relationships/hyperlink" Id="rId202" Target="https://doi.org/10.1037/a0013396" TargetMode="External" /><Relationship Type="http://schemas.openxmlformats.org/officeDocument/2006/relationships/hyperlink" Id="rId192" Target="https://doi.org/10.1037/a0014420" TargetMode="External" /><Relationship Type="http://schemas.openxmlformats.org/officeDocument/2006/relationships/hyperlink" Id="rId131" Target="https://doi.org/10.1037/a0018113" TargetMode="External" /><Relationship Type="http://schemas.openxmlformats.org/officeDocument/2006/relationships/hyperlink" Id="rId127" Target="https://doi.org/10.1037/a0033722" TargetMode="External" /><Relationship Type="http://schemas.openxmlformats.org/officeDocument/2006/relationships/hyperlink" Id="rId186" Target="https://doi.org/10.1037/a0039036" TargetMode="External" /><Relationship Type="http://schemas.openxmlformats.org/officeDocument/2006/relationships/hyperlink" Id="rId140" Target="https://doi.org/10.1037/rev0000015" TargetMode="External" /><Relationship Type="http://schemas.openxmlformats.org/officeDocument/2006/relationships/hyperlink" Id="rId206"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14" Target="https://doi.org/10.1037/rev0000505" TargetMode="External" /><Relationship Type="http://schemas.openxmlformats.org/officeDocument/2006/relationships/hyperlink" Id="rId182" Target="https://doi.org/10.1037/xge0000598" TargetMode="External" /><Relationship Type="http://schemas.openxmlformats.org/officeDocument/2006/relationships/hyperlink" Id="rId157" Target="https://doi.org/10.1038/mp.2017.23" TargetMode="External" /><Relationship Type="http://schemas.openxmlformats.org/officeDocument/2006/relationships/hyperlink" Id="rId176" Target="https://doi.org/10.1038/nn.2271" TargetMode="External" /><Relationship Type="http://schemas.openxmlformats.org/officeDocument/2006/relationships/hyperlink" Id="rId196" Target="https://doi.org/10.1038/s41380-023-02062-7" TargetMode="External" /><Relationship Type="http://schemas.openxmlformats.org/officeDocument/2006/relationships/hyperlink" Id="rId159" Target="https://doi.org/10.1038/s41398-023-02578-0" TargetMode="External" /><Relationship Type="http://schemas.openxmlformats.org/officeDocument/2006/relationships/hyperlink" Id="rId208" Target="https://doi.org/10.1038/s41562-024-01956-y" TargetMode="External" /><Relationship Type="http://schemas.openxmlformats.org/officeDocument/2006/relationships/hyperlink" Id="rId198" Target="https://doi.org/10.1111/j.1467-9280.2005.01634.x" TargetMode="External" /><Relationship Type="http://schemas.openxmlformats.org/officeDocument/2006/relationships/hyperlink" Id="rId168" Target="https://doi.org/10.1146/annurev-psych-010418-103358" TargetMode="External" /><Relationship Type="http://schemas.openxmlformats.org/officeDocument/2006/relationships/hyperlink" Id="rId163" Target="https://doi.org/10.1177/0956797615583071" TargetMode="External" /><Relationship Type="http://schemas.openxmlformats.org/officeDocument/2006/relationships/hyperlink" Id="rId184" Target="https://doi.org/10.1177/2167702621998315" TargetMode="External" /><Relationship Type="http://schemas.openxmlformats.org/officeDocument/2006/relationships/hyperlink" Id="rId172" Target="https://doi.org/10.1186/s12916-024-03569-8" TargetMode="External" /><Relationship Type="http://schemas.openxmlformats.org/officeDocument/2006/relationships/hyperlink" Id="rId148" Target="https://doi.org/10.1371/journal.pone.0004153" TargetMode="External" /><Relationship Type="http://schemas.openxmlformats.org/officeDocument/2006/relationships/hyperlink" Id="rId150" Target="https://doi.org/10.1371/journal.pone.0013706" TargetMode="External" /><Relationship Type="http://schemas.openxmlformats.org/officeDocument/2006/relationships/hyperlink" Id="rId178" Target="https://doi.org/10.1523/JNEUROSCI.3378-14.2015" TargetMode="External" /><Relationship Type="http://schemas.openxmlformats.org/officeDocument/2006/relationships/hyperlink" Id="rId210" Target="https://doi.org/10.1525/collabra.130791" TargetMode="External" /><Relationship Type="http://schemas.openxmlformats.org/officeDocument/2006/relationships/hyperlink" Id="rId200" Target="https://doi.org/10.3758/s13423-011-0086-9" TargetMode="External" /><Relationship Type="http://schemas.openxmlformats.org/officeDocument/2006/relationships/hyperlink" Id="rId188"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80" Target="https://doi.org/10.1002/acp.1611" TargetMode="External" /><Relationship Type="http://schemas.openxmlformats.org/officeDocument/2006/relationships/hyperlink" Id="rId170" Target="https://doi.org/10.1002/cpp.2489" TargetMode="External" /><Relationship Type="http://schemas.openxmlformats.org/officeDocument/2006/relationships/hyperlink" Id="rId204" Target="https://doi.org/10.1002/mpr.1936" TargetMode="External" /><Relationship Type="http://schemas.openxmlformats.org/officeDocument/2006/relationships/hyperlink" Id="rId154"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44" Target="https://doi.org/10.1016/j.actpsy.2007.11.002" TargetMode="External" /><Relationship Type="http://schemas.openxmlformats.org/officeDocument/2006/relationships/hyperlink" Id="rId152" Target="https://doi.org/10.1016/j.brat.2017.03.018" TargetMode="External" /><Relationship Type="http://schemas.openxmlformats.org/officeDocument/2006/relationships/hyperlink" Id="rId165" Target="https://doi.org/10.1016/j.cpr.2016.04.010" TargetMode="External" /><Relationship Type="http://schemas.openxmlformats.org/officeDocument/2006/relationships/hyperlink" Id="rId16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74" Target="https://doi.org/10.1016/j.jbtep.2019.01.006" TargetMode="External" /><Relationship Type="http://schemas.openxmlformats.org/officeDocument/2006/relationships/hyperlink" Id="rId142" Target="https://doi.org/10.1016/j.jbtep.2023.101858" TargetMode="External" /><Relationship Type="http://schemas.openxmlformats.org/officeDocument/2006/relationships/hyperlink" Id="rId119" Target="https://doi.org/10.1016/j.jbtep.2023.101920" TargetMode="External" /><Relationship Type="http://schemas.openxmlformats.org/officeDocument/2006/relationships/hyperlink" Id="rId190" Target="https://doi.org/10.1016/j.jml.2015.10.002" TargetMode="External" /><Relationship Type="http://schemas.openxmlformats.org/officeDocument/2006/relationships/hyperlink" Id="rId121" Target="https://doi.org/10.1016/j.jpsychires.2023.01.028" TargetMode="External" /><Relationship Type="http://schemas.openxmlformats.org/officeDocument/2006/relationships/hyperlink" Id="rId194" Target="https://doi.org/10.1016/j.neuropsychologia.2009.02.013" TargetMode="External" /><Relationship Type="http://schemas.openxmlformats.org/officeDocument/2006/relationships/hyperlink" Id="rId125" Target="https://doi.org/10.1016/s2215-0366(25)00397-9" TargetMode="External" /><Relationship Type="http://schemas.openxmlformats.org/officeDocument/2006/relationships/hyperlink" Id="rId129" Target="https://doi.org/10.1037/0033-295X.103.4.670" TargetMode="External" /><Relationship Type="http://schemas.openxmlformats.org/officeDocument/2006/relationships/hyperlink" Id="rId123" Target="https://doi.org/10.1037/0096-3445.129.1.126" TargetMode="External" /><Relationship Type="http://schemas.openxmlformats.org/officeDocument/2006/relationships/hyperlink" Id="rId146" Target="https://doi.org/10.1037/0096-3445.133.1.3" TargetMode="External" /><Relationship Type="http://schemas.openxmlformats.org/officeDocument/2006/relationships/hyperlink" Id="rId212" Target="https://doi.org/10.1037/0278-7393.32.4.792" TargetMode="External" /><Relationship Type="http://schemas.openxmlformats.org/officeDocument/2006/relationships/hyperlink" Id="rId202" Target="https://doi.org/10.1037/a0013396" TargetMode="External" /><Relationship Type="http://schemas.openxmlformats.org/officeDocument/2006/relationships/hyperlink" Id="rId192" Target="https://doi.org/10.1037/a0014420" TargetMode="External" /><Relationship Type="http://schemas.openxmlformats.org/officeDocument/2006/relationships/hyperlink" Id="rId131" Target="https://doi.org/10.1037/a0018113" TargetMode="External" /><Relationship Type="http://schemas.openxmlformats.org/officeDocument/2006/relationships/hyperlink" Id="rId127" Target="https://doi.org/10.1037/a0033722" TargetMode="External" /><Relationship Type="http://schemas.openxmlformats.org/officeDocument/2006/relationships/hyperlink" Id="rId186" Target="https://doi.org/10.1037/a0039036" TargetMode="External" /><Relationship Type="http://schemas.openxmlformats.org/officeDocument/2006/relationships/hyperlink" Id="rId140" Target="https://doi.org/10.1037/rev0000015" TargetMode="External" /><Relationship Type="http://schemas.openxmlformats.org/officeDocument/2006/relationships/hyperlink" Id="rId206"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14" Target="https://doi.org/10.1037/rev0000505" TargetMode="External" /><Relationship Type="http://schemas.openxmlformats.org/officeDocument/2006/relationships/hyperlink" Id="rId182" Target="https://doi.org/10.1037/xge0000598" TargetMode="External" /><Relationship Type="http://schemas.openxmlformats.org/officeDocument/2006/relationships/hyperlink" Id="rId157" Target="https://doi.org/10.1038/mp.2017.23" TargetMode="External" /><Relationship Type="http://schemas.openxmlformats.org/officeDocument/2006/relationships/hyperlink" Id="rId176" Target="https://doi.org/10.1038/nn.2271" TargetMode="External" /><Relationship Type="http://schemas.openxmlformats.org/officeDocument/2006/relationships/hyperlink" Id="rId196" Target="https://doi.org/10.1038/s41380-023-02062-7" TargetMode="External" /><Relationship Type="http://schemas.openxmlformats.org/officeDocument/2006/relationships/hyperlink" Id="rId159" Target="https://doi.org/10.1038/s41398-023-02578-0" TargetMode="External" /><Relationship Type="http://schemas.openxmlformats.org/officeDocument/2006/relationships/hyperlink" Id="rId208" Target="https://doi.org/10.1038/s41562-024-01956-y" TargetMode="External" /><Relationship Type="http://schemas.openxmlformats.org/officeDocument/2006/relationships/hyperlink" Id="rId198" Target="https://doi.org/10.1111/j.1467-9280.2005.01634.x" TargetMode="External" /><Relationship Type="http://schemas.openxmlformats.org/officeDocument/2006/relationships/hyperlink" Id="rId168" Target="https://doi.org/10.1146/annurev-psych-010418-103358" TargetMode="External" /><Relationship Type="http://schemas.openxmlformats.org/officeDocument/2006/relationships/hyperlink" Id="rId163" Target="https://doi.org/10.1177/0956797615583071" TargetMode="External" /><Relationship Type="http://schemas.openxmlformats.org/officeDocument/2006/relationships/hyperlink" Id="rId184" Target="https://doi.org/10.1177/2167702621998315" TargetMode="External" /><Relationship Type="http://schemas.openxmlformats.org/officeDocument/2006/relationships/hyperlink" Id="rId172" Target="https://doi.org/10.1186/s12916-024-03569-8" TargetMode="External" /><Relationship Type="http://schemas.openxmlformats.org/officeDocument/2006/relationships/hyperlink" Id="rId148" Target="https://doi.org/10.1371/journal.pone.0004153" TargetMode="External" /><Relationship Type="http://schemas.openxmlformats.org/officeDocument/2006/relationships/hyperlink" Id="rId150" Target="https://doi.org/10.1371/journal.pone.0013706" TargetMode="External" /><Relationship Type="http://schemas.openxmlformats.org/officeDocument/2006/relationships/hyperlink" Id="rId178" Target="https://doi.org/10.1523/JNEUROSCI.3378-14.2015" TargetMode="External" /><Relationship Type="http://schemas.openxmlformats.org/officeDocument/2006/relationships/hyperlink" Id="rId210" Target="https://doi.org/10.1525/collabra.130791" TargetMode="External" /><Relationship Type="http://schemas.openxmlformats.org/officeDocument/2006/relationships/hyperlink" Id="rId200" Target="https://doi.org/10.3758/s13423-011-0086-9" TargetMode="External" /><Relationship Type="http://schemas.openxmlformats.org/officeDocument/2006/relationships/hyperlink" Id="rId188"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2026-06-30T07:05:26Z</dcterms:created>
  <dcterms:modified xsi:type="dcterms:W3CDTF">2026-06-30T07:05:26Z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