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67.png" ContentType="image/png"/>
  <Override PartName="/word/media/rId63.png" ContentType="image/png"/>
  <Override PartName="/word/media/rId72.png" ContentType="image/png"/>
  <Override PartName="/word/media/rId7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film encoding or a later film reminder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task goals provide a film-directed start cue and selection emphasizes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Our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We formalize this proposal in an emotional variant of the Context Maintenance and Retrieval (CMR) framework</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Controlled retrieval can be represented in CMR by allowing recall to begin from a cued or reinstated context, by varying how sharply context-to-item support is converted into item selection, and by monitoring sampled candidates against a retrieval target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preserve these retrieved-context operations while adding an emotional-context pathway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p>
    <w:p>
      <w:pPr>
        <w:pStyle w:val="BodyText"/>
      </w:pPr>
      <w:r>
        <w:t xml:space="preserve">To map this framework onto the trauma-film paradigm, the model presents film, task, and delay-period items in sequence while context evolves.</w:t>
      </w:r>
      <w:r>
        <w:t xml:space="preserve"> </w:t>
      </w:r>
      <w:r>
        <w:t xml:space="preserve">Film reminders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can both receive support when they have been associated with similar context states.</w:t>
      </w:r>
      <w:r>
        <w:t xml:space="preserve"> </w:t>
      </w:r>
      <w:r>
        <w:t xml:space="preserve">Unguided and deliberate retrieval can draw on the same learned associations while differing in the context cues and monitoring applied during search.</w:t>
      </w:r>
      <w:r>
        <w:t xml:space="preserve"> </w:t>
      </w:r>
      <w:r>
        <w:t xml:space="preserve">Whereas unguided retrieval remains broadly cue-driven by the current context, control processes during deliberate recall can keep search oriented toward film targets.</w:t>
      </w:r>
      <w:r>
        <w:t xml:space="preserve"> </w:t>
      </w:r>
      <w:r>
        <w:t xml:space="preserve">The selective interference effect therefore reflects differential control over a shared associative memory, rather than selective vulnerability of separate memory representations.</w:t>
      </w:r>
    </w:p>
    <w:p>
      <w:pPr>
        <w:pStyle w:val="BodyText"/>
      </w:pPr>
      <w:r>
        <w:t xml:space="preserve">The simulations decompose the account at the level where CMR makes concrete commitments: how recall is distributed across film, task, and delay-period items, and how that distribution changes when cues act on different parts of the item-context loop.</w:t>
      </w:r>
      <w:r>
        <w:t xml:space="preserve"> </w:t>
      </w:r>
      <w:r>
        <w:t xml:space="preserve">Simulations 1 and 2 establish the core mechanism: reminder-driven task encoding creates position-structured overlap with the film context trajectory, and deliberate recall is protected when start-state control selects a diagnostic early-film context before retrieval.</w:t>
      </w:r>
      <w:r>
        <w:t xml:space="preserve"> </w:t>
      </w:r>
      <w:r>
        <w:t xml:space="preserve">Simulations 3 and 4 then examine test-phase consequences of bidirectional item-context associations, testing whether supplied film information helps sidestep context-binding interference instantiated by task items.</w:t>
      </w:r>
      <w:r>
        <w:t xml:space="preserve"> </w:t>
      </w:r>
      <w:r>
        <w:t xml:space="preserve">Simulation 5 examines possible accounts compatible with retrieved-context theory of how visuospatial interference tasks differ from comparison tasks in their effects on later memory, distinguishing encoding strength, context-drift, and source-context overlap accounts.</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Task items interfere when they are bound to film-associated context strongly enough to be cued with film items, and deliberate recall gains protection when film-directed control favors film items within the same association set.</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context when they are encoded soon after the film, after a reminder has reinstated film-associated context, or when they share a non-temporal source feature with film items.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source-context pathway can amplify competition when film and task items share the marked source feature.</w:t>
      </w:r>
    </w:p>
    <w:p>
      <w:pPr>
        <w:pStyle w:val="BodyText"/>
      </w:pPr>
      <w:r>
        <w:t xml:space="preserve">Context-to-item retrieval uses the current context state to cue candidate items.</w:t>
      </w:r>
      <w:r>
        <w:t xml:space="preserve"> </w:t>
      </w:r>
      <w:r>
        <w:t xml:space="preserve">Unguided retrieval is the model analogue of conditions in which film memories come to mind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selected for recall over competitor items.</w:t>
      </w:r>
      <w:r>
        <w:t xml:space="preserve"> </w:t>
      </w:r>
      <w:r>
        <w:t xml:space="preserve">The size of this effect depends on the number of competitors, their learned support, and the similarity between their associated temporal or source-context states and film context.</w:t>
      </w:r>
      <w:r>
        <w:t xml:space="preserve"> </w:t>
      </w:r>
      <w:r>
        <w:t xml:space="preserve">In these simulations, task modality is represented through those quantities: the learned support task items receive and the similarity between task-associated context and film-associated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Retrieval tests that supply a film item can be less vulnerable to interference, because the supplied item reinstates associated context and reduces reliance on selecting film items from a mixed competitor set</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film-directed retrieval over the same stored associations.</w:t>
      </w:r>
      <w:r>
        <w:t xml:space="preserve"> </w:t>
      </w:r>
      <w:r>
        <w:t xml:space="preserve">Its protection depends on how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can reinstate context from the beginning of the film sequence before recall and bias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retrieval-control mechanisms, and source-context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baseline parameters, then specifies the context-updating, learning, retrieval, and control operations used to configure the selective-interference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symbolic base parameters used by the model.</w:t>
      </w:r>
      <w:r>
        <w:t xml:space="preserve"> </w:t>
      </w:r>
      <w:r>
        <w:t xml:space="preserve">The table separates parameters that define the inherited CMR operations from parameters later scaled or manipulated in the simulations; numerical values and phase settings are specified in the simulation methodology.</w:t>
      </w:r>
    </w:p>
    <w:bookmarkStart w:id="30" w:name="tbl-base-parameters"/>
    <w:p>
      <w:pPr>
        <w:pStyle w:val="FigureTitle"/>
      </w:pPr>
      <w:r>
        <w:t xml:space="preserve">Table 1</w:t>
      </w:r>
    </w:p>
    <w:p>
      <w:pPr>
        <w:pStyle w:val="Caption"/>
      </w:pPr>
      <w:r>
        <w:t xml:space="preserve">Base parameters and roles in the model specification.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start-cue parameter</w:t>
            </w:r>
          </w:p>
        </w:tc>
        <w:tc>
          <w:tcPr/>
          <w:p>
            <w:pPr>
              <w:pStyle w:val="Compact"/>
            </w:pPr>
            <w:r>
              <w:t xml:space="preserve">Start-of-list context reinstatement or film-directed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selective-interference simulations vary the new associations formed across phases.</w:t>
      </w:r>
      <w:r>
        <w:t xml:space="preserve"> </w:t>
      </w:r>
      <w:r>
        <w:t xml:space="preserve">These baseline associations are fixed model architecture and are held constant across the selective-interference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provides a non-temporal context dimension inherited from emotional CMR.</w:t>
      </w:r>
      <w:r>
        <w:t xml:space="preserve"> </w:t>
      </w:r>
      <w:r>
        <w:t xml:space="preserve">It generalizes the role that emotional context plays in eCMR to contextual features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operation represents the test setting orienting retrieval toward the film episode at the level of source context.</w:t>
      </w:r>
      <w:r>
        <w:t xml:space="preserve"> </w:t>
      </w:r>
      <w:r>
        <w:t xml:space="preserve">It is distinct from the temporal start-of-list cue manipulated in Simulation 2: an unguided-retrieval condition lacks deliberate temporal start-of-list reinstatement, but it is not a condition with no film-relevant test orientation at all.</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film-item access by winning individual retrieval competitions before search terminates.</w:t>
      </w:r>
    </w:p>
    <w:bookmarkEnd w:id="53"/>
    <w:bookmarkEnd w:id="54"/>
    <w:bookmarkStart w:id="83" w:name="simulations"/>
    <w:p>
      <w:pPr>
        <w:pStyle w:val="Heading1"/>
      </w:pPr>
      <w:r>
        <w:t xml:space="preserve">Simulations</w:t>
      </w:r>
    </w:p>
    <w:p>
      <w:pPr>
        <w:pStyle w:val="FirstParagraph"/>
      </w:pPr>
      <w:r>
        <w:t xml:space="preserve">The simulations instantiate the retrieved-context account in a controlled trauma-film analogue.</w:t>
      </w:r>
      <w:r>
        <w:t xml:space="preserve"> </w:t>
      </w:r>
      <w:r>
        <w:t xml:space="preserve">They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post-reminder task reduces film recall when task items receive strong context-to-feature learning in context states that overlap with the film trajectory.</w:t>
      </w:r>
      <w:r>
        <w:t xml:space="preserve"> </w:t>
      </w:r>
      <w:r>
        <w:t xml:space="preserve">Simulation 2 adds the intentionality manipulation by comparing unguided retrieval with deliberate recall and then decomposing the film-directed control settings that reduce deliberate-recall vulnerability.</w:t>
      </w:r>
      <w:r>
        <w:t xml:space="preserve"> </w:t>
      </w:r>
      <w:r>
        <w:t xml:space="preserve">Simulation 3 varies test-phase film-item cues drawn from the film sequence to separate cue-driven film access from diagnostic retrieval control.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task-item learning strength, contextual similarity, and source-context overlap.</w:t>
      </w:r>
    </w:p>
    <w:bookmarkStart w:id="57" w:name="methodology"/>
    <w:p>
      <w:pPr>
        <w:pStyle w:val="Heading2"/>
      </w:pPr>
      <w:r>
        <w:t xml:space="preserve">Methodology</w:t>
      </w:r>
    </w:p>
    <w:p>
      <w:pPr>
        <w:pStyle w:val="FirstParagraph"/>
      </w:pPr>
      <w:r>
        <w:t xml:space="preserve">Base parameters were anchored to an existing immediate free-recall dataset in which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This dataset provides an externally estimated eCMR regime for deliberate context-guided recall of affective and neutral photographs.</w:t>
      </w:r>
      <w:r>
        <w:t xml:space="preserve"> </w:t>
      </w:r>
      <w:r>
        <w:t xml:space="preserve">The fitted parameters set baseline encoding, retrieval, and stopping dynamics before the selective-interference manipulations are applied as phase-specific encoding or retrieval-control settings.</w:t>
      </w:r>
      <w:r>
        <w:t xml:space="preserve"> </w:t>
      </w:r>
      <w:r>
        <w:t xml:space="preserve">Because the trauma-film simulations treat the film as an extended source episode rather than as an arbitrary list segment, the current simulations fix a modest source-context configuration across figures: film items carry the marked source feature, neutral/default events can weakly bind active source context, and retrieval begins with partial film-source reinstatement.</w:t>
      </w:r>
      <w:r>
        <w:t xml:space="preserve"> </w:t>
      </w:r>
      <w:r>
        <w:t xml:space="preserve">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 used in the current simulations.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Start-cue parameter</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sampling of the same item.</w:t>
      </w:r>
    </w:p>
    <w:p>
      <w:pPr>
        <w:pStyle w:val="BodyText"/>
      </w:pPr>
      <w:r>
        <w:t xml:space="preserve">Each simulated trial contains 16 film items, 16 break/buffer items, 16 task items, and 16 filler items.</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target monitoring count an off-target sample as a retrieval attempt, attenuate its context update, and still allow search to continue.</w:t>
      </w:r>
    </w:p>
    <w:p>
      <w:pPr>
        <w:pStyle w:val="BodyText"/>
      </w:pPr>
      <w:r>
        <w:t xml:space="preserve">Film, break/buffer, task, and filler items are encoded by the same CMR operations defined above.</w:t>
      </w:r>
      <w:r>
        <w:t xml:space="preserve"> </w:t>
      </w:r>
      <w:r>
        <w:t xml:space="preserve">Phase settings control temporal drift and context-to-feature learning strength.</w:t>
      </w:r>
      <w:r>
        <w:t xml:space="preserve"> </w:t>
      </w:r>
      <w:r>
        <w:t xml:space="preserve">In the no-reminder condition used for Simulation 1, the reminder-start and film-item reminder-cue drift scales are set to zero.</w:t>
      </w:r>
      <w:r>
        <w:t xml:space="preserve"> </w:t>
      </w:r>
      <w:r>
        <w:t xml:space="preserve">In the with-reminder condition, context first shifts toward the start state and then receives sequential film-item reminder cues before task encoding.</w:t>
      </w:r>
      <w:r>
        <w:t xml:space="preserve"> </w:t>
      </w:r>
      <w:r>
        <w:t xml:space="preserve">Reminder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hyperlink w:anchor="tbl-simulation-phase-settings">
        <w:r>
          <w:rPr>
            <w:rStyle w:val="Hyperlink"/>
          </w:rPr>
          <w:t xml:space="preserve">Table 3</w:t>
        </w:r>
      </w:hyperlink>
      <w:r>
        <w:t xml:space="preserve"> </w:t>
      </w:r>
      <w:r>
        <w:t xml:space="preserve">summarizes the phase structure and settings used for the current Figure 2 simulations.</w:t>
      </w:r>
    </w:p>
    <w:bookmarkStart w:id="56" w:name="tbl-simulation-phase-settings"/>
    <w:p>
      <w:pPr>
        <w:pStyle w:val="FigureTitle"/>
      </w:pPr>
      <w:r>
        <w:t xml:space="preserve">Table 3</w:t>
      </w:r>
    </w:p>
    <w:p>
      <w:pPr>
        <w:pStyle w:val="Caption"/>
      </w:pPr>
      <w:r>
        <w:t xml:space="preserve">Phase structure and settings for the current Figure 2 simulations.</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film-item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sweep cell</w:t>
            </w:r>
          </w:p>
        </w:tc>
        <w:tc>
          <w:tcPr/>
          <w:p>
            <w:pPr>
              <w:pStyle w:val="Compact"/>
              <w:jc w:val="right"/>
            </w:pPr>
            <w:r>
              <w:t xml:space="preserve">5000</w:t>
            </w:r>
          </w:p>
        </w:tc>
        <w:tc>
          <w:tcPr/>
          <w:p>
            <w:pPr>
              <w:pStyle w:val="Compact"/>
            </w:pPr>
            <w:r>
              <w:t xml:space="preserve">Replications used for Figure 2 estimates</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film-item cue reinstatement</w:t>
            </w:r>
          </w:p>
        </w:tc>
      </w:tr>
      <w:tr>
        <w:tc>
          <w:tcPr/>
          <w:p>
            <w:pPr>
              <w:pStyle w:val="Compact"/>
            </w:pPr>
            <w:r>
              <w:t xml:space="preserve">Task learning factor</w:t>
            </w:r>
          </w:p>
        </w:tc>
        <w:tc>
          <w:tcPr/>
          <w:p>
            <w:pPr>
              <w:pStyle w:val="Compact"/>
              <w:jc w:val="right"/>
            </w:pPr>
            <w:r>
              <w:t xml:space="preserve">0.0–3.0 by 0.5</w:t>
            </w:r>
          </w:p>
        </w:tc>
        <w:tc>
          <w:tcPr/>
          <w:p>
            <w:pPr>
              <w:pStyle w:val="Compact"/>
            </w:pPr>
            <w:r>
              <w:t xml:space="preserve">Multiplies task-phase context-to-feature learning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56"/>
    <w:p>
      <w:pPr>
        <w:pStyle w:val="AfterWithoutNote"/>
      </w:pPr>
      <w:r>
        <w:t xml:space="preserve">For each condition and sweep value, the model encodes the phase sequence, enters retrieval,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 and repeats this process across simulated trials.</w:t>
      </w:r>
      <w:r>
        <w:t xml:space="preserve"> </w:t>
      </w:r>
      <w:r>
        <w:t xml:space="preserve">Serial-position curves estimate the probability that each encoded position appears at least once in the sampled retrieval sequence.</w:t>
      </w:r>
      <w:r>
        <w:t xml:space="preserve"> </w:t>
      </w:r>
      <w:r>
        <w:t xml:space="preserve">The model-state analyses in Figure 2 quantify two quantities that explain the behavioral curves.</w:t>
      </w:r>
      <w:r>
        <w:t xml:space="preserve"> </w:t>
      </w:r>
      <w:r>
        <w:t xml:space="preserve">The context-similarity analysis computes cosine similarity between unit-normalized temporal context states associated with film-item encoding and temporal context states active during task-item encoding.</w:t>
      </w:r>
      <w:r>
        <w:t xml:space="preserve"> </w:t>
      </w:r>
      <w:r>
        <w:t xml:space="preserve">The support-allocation analysis forms a film-context cue from the centroid of film encoding context states, applies that cue to</w:t>
      </w:r>
      <w:r>
        <w:t xml:space="preserve"> </w:t>
      </w:r>
      <m:oMath>
        <m:sSup>
          <m:e>
            <m:r>
              <m:t>M</m:t>
            </m:r>
          </m:e>
          <m:sup>
            <m:r>
              <m:t>C</m:t>
            </m:r>
            <m:r>
              <m:t>F</m:t>
            </m:r>
          </m:sup>
        </m:sSup>
      </m:oMath>
      <w:r>
        <w:t xml:space="preserve"> </w:t>
      </w:r>
      <w:r>
        <w:t xml:space="preserve">after task encoding, and computes task support divided by the sum of film and task support.</w:t>
      </w:r>
    </w:p>
    <w:bookmarkEnd w:id="57"/>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sweeps the task learning factor under no-reminder and with-reminder conditions.</w:t>
      </w:r>
      <w:r>
        <w:t xml:space="preserve"> </w:t>
      </w:r>
      <w:r>
        <w:t xml:space="preserve">The plotted task learning factor multiplies task-phase context-to-feature learning in</w:t>
      </w:r>
      <w:r>
        <w:t xml:space="preserve"> </w:t>
      </w:r>
      <w:hyperlink w:anchor="eq-mcf-learning">
        <w:r>
          <w:rPr>
            <w:rStyle w:val="Hyperlink"/>
          </w:rPr>
          <w:t xml:space="preserve">Equation 8</w:t>
        </w:r>
      </w:hyperlink>
      <w:r>
        <w:t xml:space="preserve">.</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context evolves continuously, the reminder manipulation also predicts where along the film sequence recall is lost, not only how much film recall changes.</w:t>
      </w:r>
      <w:r>
        <w:t xml:space="preserve"> </w:t>
      </w:r>
      <w:r>
        <w:t xml:space="preserve">Simulation 2 then examines whether film-directed retrieval control can protect recall by cueing a more diagnostic part of the film trajectory.</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a sequential film-item reminder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The temporal-context trace remains position-resolved: reminder cues make the states active during task encoding more similar to positions along the film context trajectory.</w:t>
      </w:r>
      <w:r>
        <w:t xml:space="preserve"> </w:t>
      </w:r>
      <w:r>
        <w:rPr>
          <w:b/>
          <w:bCs/>
        </w:rPr>
        <w:t xml:space="preserve">(D)</w:t>
      </w:r>
      <w:r>
        <w:t xml:space="preserve"> </w:t>
      </w:r>
      <w:r>
        <w:t xml:space="preserve">When the model is probed with a broad film-context cue and the active source context, stronger task encoding assigns a larger share of item support to task items, especially after a film reminder.</w:t>
      </w:r>
    </w:p>
    <w:p>
      <w:pPr>
        <w:pStyle w:val="FigureWithoutNote"/>
      </w:pPr>
      <w:r>
        <w:drawing>
          <wp:inline>
            <wp:extent cx="5943600" cy="3562918"/>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562918"/>
                    </a:xfrm>
                    <a:prstGeom prst="rect">
                      <a:avLst/>
                    </a:prstGeom>
                    <a:noFill/>
                    <a:ln w="9525">
                      <a:noFill/>
                      <a:headEnd/>
                      <a:tailEnd/>
                    </a:ln>
                  </pic:spPr>
                </pic:pic>
              </a:graphicData>
            </a:graphic>
          </wp:inline>
        </w:drawing>
      </w:r>
    </w:p>
    <w:bookmarkEnd w:id="61"/>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with-reminder condition therefore shows that task strength matters most when task items are associated with nearby positions on the film context trajectory.</w:t>
      </w:r>
      <w:r>
        <w:t xml:space="preserve"> </w:t>
      </w:r>
      <w:r>
        <w:t xml:space="preserve">The serial-position curves also show that this temporal overlap is not uniform across film positions, even though the fixed source-context settings provide broader support for film items than temporal context alone.</w:t>
      </w:r>
      <w:r>
        <w:t xml:space="preserve"> </w:t>
      </w:r>
      <w:r>
        <w:t xml:space="preserve">Because the sequential reminder drives context through film-item cues before task encoding, the strongest task competition arises when task items are encoded with both recent film-temporal context and active film-source context.</w:t>
      </w:r>
      <w:r>
        <w:t xml:space="preserve"> </w:t>
      </w:r>
      <w:r>
        <w:t xml:space="preserve">At the endpoints of the task-learning sweep, mean film recall in the no-reminder condition changes from 0.318 at task learning factor 0.0 to 0.268 at factor 3.0, while mean task recall changes from 0.000 to 0.143.</w:t>
      </w:r>
      <w:r>
        <w:t xml:space="preserve"> </w:t>
      </w:r>
      <w:r>
        <w:t xml:space="preserve">In the with-reminder condition, mean film recall changes from 0.306 to 0.064, while mean task recall changes from 0.000 to 0.384.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sequential film-item reminder reinstates the film trajectory before task encoding, the model encodes task items in states more similar to film-associated positions.</w:t>
      </w:r>
      <w:r>
        <w:t xml:space="preserve"> </w:t>
      </w:r>
      <w:r>
        <w:t xml:space="preserve">Panel D quantifies how much support task items receive from a broad film-context centroid cue after task encoding, including the source-context support available at that point in the paradigm.</w:t>
      </w:r>
      <w:r>
        <w:t xml:space="preserve"> </w:t>
      </w:r>
      <w:r>
        <w:t xml:space="preserve">As task context-to-feature learning increases, task items receive a larger share of item support when this broad film-associated cue probes retrieval, especially after the film reminder.</w:t>
      </w:r>
      <w:r>
        <w:t xml:space="preserve"> </w:t>
      </w:r>
      <w:r>
        <w:t xml:space="preserve">Across the task-learning sweep, film encoding settings remain unchanged.</w:t>
      </w:r>
      <w:r>
        <w:t xml:space="preserve"> </w:t>
      </w:r>
      <w:r>
        <w:t xml:space="preserve">The loss of film recall comes from stronger support for task items that can be cued by film-associated context.</w:t>
      </w:r>
      <w:r>
        <w:t xml:space="preserve"> </w:t>
      </w:r>
      <w:r>
        <w:t xml:space="preserve">Task items remain distinct from film items but become increasingly likely to win retrieval from film-related cues.</w:t>
      </w:r>
      <w:r>
        <w:t xml:space="preserve"> </w:t>
      </w:r>
      <w:r>
        <w:t xml:space="preserve">Simulation 2 next examines whether film-directed retrieval control reduces the impact of these task-item associations by cueing a more diagnostic part of the film trajectory.</w:t>
      </w:r>
    </w:p>
    <w:bookmarkEnd w:id="62"/>
    <w:bookmarkStart w:id="71" w:name="X61cfa1f4b6f5f81a08acf6762affb886f5840ec"/>
    <w:p>
      <w:pPr>
        <w:pStyle w:val="Heading2"/>
      </w:pPr>
      <w:r>
        <w:t xml:space="preserve">Simulation 2: Retrieval Control and Film-Directed Recall</w:t>
      </w:r>
    </w:p>
    <w:p>
      <w:pPr>
        <w:pStyle w:val="FirstParagraph"/>
      </w:pPr>
      <w:r>
        <w:t xml:space="preserve">Simulation 2 turns from encoding conditions to retrieval control.</w:t>
      </w:r>
      <w:r>
        <w:t xml:space="preserve"> </w:t>
      </w:r>
      <w:r>
        <w:t xml:space="preserve">The broader Simulation 2 package decomposes deliberate recall into three film-directed control operations: start-of-list context reinstatement, selection sharpening, and target monitoring.</w:t>
      </w:r>
      <w:r>
        <w:t xml:space="preserve"> </w:t>
      </w:r>
      <w:r>
        <w:t xml:space="preserve">Figure 3 isolates the first operation.</w:t>
      </w:r>
      <w:r>
        <w:t xml:space="preserve"> </w:t>
      </w:r>
      <w:r>
        <w:t xml:space="preserve">In the model, deliberate recall can begin by drifting current context toward the start-of-list state before the first retrieval attempt.</w:t>
      </w:r>
      <w:r>
        <w:t xml:space="preserve"> </w:t>
      </w:r>
      <w:r>
        <w:t xml:space="preserve">Because film items are encoded first, the start-of-list state is film-relevant in the present paradigm: reinstating it changes the context used to cue the first retrieval competition while leaving the learned film and task associations otherwise unchanged.</w:t>
      </w:r>
      <w:r>
        <w:t xml:space="preserve"> </w:t>
      </w:r>
      <w:r>
        <w:t xml:space="preserve">This operation differs from test-phase film-item cueing: it targets the beginning of the film trajectory, where the retrieval context is more diagnostic of film items than of late non-film competitors.</w:t>
      </w:r>
      <w:r>
        <w:t xml:space="preserve"> </w:t>
      </w:r>
      <w:r>
        <w:t xml:space="preserve">All conditions in the current Simulation 2 figures also include the fixed film-source retrieval orientation described above.</w:t>
      </w:r>
      <w:r>
        <w:t xml:space="preserve"> </w:t>
      </w:r>
      <w:r>
        <w:t xml:space="preserve">Thus,</w:t>
      </w:r>
      <w:r>
        <w:t xml:space="preserve"> </w:t>
      </w:r>
      <w:r>
        <w:t xml:space="preserve">“no start-of-list reinstatement”</w:t>
      </w:r>
      <w:r>
        <w:t xml:space="preserve"> </w:t>
      </w:r>
      <w:r>
        <w:t xml:space="preserve">means no deliberate temporal start cue, not the absence of any film-relevant test context.</w:t>
      </w:r>
      <w:r>
        <w:t xml:space="preserve"> </w:t>
      </w:r>
      <w:r>
        <w:t xml:space="preserve">The simulation holds the post-reminder task condition fixed at task learning factor 2.0 and varies the degree of start-of-list context reinstatement.</w:t>
      </w:r>
      <w:r>
        <w:t xml:space="preserve"> </w:t>
      </w:r>
      <w:r>
        <w:t xml:space="preserve">The plotted reinstatement values are multiples of the fitted start-cue parameter, so 1.0 corresponds to</w:t>
      </w:r>
      <w:r>
        <w:t xml:space="preserve"> </w:t>
      </w:r>
      <m:oMath>
        <m:sSub>
          <m:e>
            <m:r>
              <m:t>β</m:t>
            </m:r>
          </m:e>
          <m:sub>
            <m:r>
              <m:t>s</m:t>
            </m:r>
            <m:r>
              <m:t>t</m:t>
            </m:r>
            <m:r>
              <m:t>a</m:t>
            </m:r>
            <m:r>
              <m:t>r</m:t>
            </m:r>
            <m:r>
              <m:t>t</m:t>
            </m:r>
          </m:sub>
        </m:sSub>
      </m:oMath>
      <w:r>
        <w:t xml:space="preserve"> </w:t>
      </w:r>
      <w:r>
        <w:t xml:space="preserve">in</w:t>
      </w:r>
      <w:r>
        <w:t xml:space="preserve"> </w:t>
      </w:r>
      <w:hyperlink w:anchor="eq-deliberate-start-cue">
        <w:r>
          <w:rPr>
            <w:rStyle w:val="Hyperlink"/>
          </w:rPr>
          <w:t xml:space="preserve">Equation 14</w:t>
        </w:r>
      </w:hyperlink>
      <w:r>
        <w:t xml:space="preserve">.</w:t>
      </w:r>
    </w:p>
    <w:bookmarkStart w:id="66" w:name="Xe96feb7454d6b23e449dfafb9c326dcfa9c3226"/>
    <w:p>
      <w:pPr>
        <w:pStyle w:val="FigureTitle"/>
      </w:pPr>
      <w:r>
        <w:t xml:space="preserve">Figure 3</w:t>
      </w:r>
    </w:p>
    <w:p>
      <w:pPr>
        <w:pStyle w:val="Caption"/>
      </w:pPr>
      <w:r>
        <w:rPr>
          <w:b/>
          <w:bCs/>
        </w:rPr>
        <w:t xml:space="preserve">Start-of-list context reinstatement protects film recall by changing the context that cues retrieval.</w:t>
      </w:r>
      <w:r>
        <w:t xml:space="preserve"> </w:t>
      </w:r>
      <w:r>
        <w:t xml:space="preserve">Simulation 2 demonstrates how a deliberate-recall start operation can protect film recall after post-reminder task encoding by drifting retrieval context toward the start-of-list state immediately before the first retrieval attempt.</w:t>
      </w:r>
      <w:r>
        <w:t xml:space="preserve"> </w:t>
      </w:r>
      <w:r>
        <w:rPr>
          <w:b/>
          <w:bCs/>
        </w:rPr>
        <w:t xml:space="preserve">(A)</w:t>
      </w:r>
      <w:r>
        <w:t xml:space="preserve"> </w:t>
      </w:r>
      <w:r>
        <w:t xml:space="preserve">Before any item is sampled, stronger start-of-list context reinstatement makes the retrieval context support early film items rather than late filler items.</w:t>
      </w:r>
      <w:r>
        <w:t xml:space="preserve"> </w:t>
      </w:r>
      <w:r>
        <w:rPr>
          <w:b/>
          <w:bCs/>
        </w:rPr>
        <w:t xml:space="preserve">(B)</w:t>
      </w:r>
      <w:r>
        <w:t xml:space="preserve"> </w:t>
      </w:r>
      <w:r>
        <w:t xml:space="preserve">This pre-recall support shift makes recall more likely to begin with film items, especially items from the beginning of the film sequence.</w:t>
      </w:r>
      <w:r>
        <w:t xml:space="preserve"> </w:t>
      </w:r>
      <w:r>
        <w:rPr>
          <w:b/>
          <w:bCs/>
        </w:rPr>
        <w:t xml:space="preserve">(C)</w:t>
      </w:r>
      <w:r>
        <w:t xml:space="preserve"> </w:t>
      </w:r>
      <w:r>
        <w:t xml:space="preserve">Across the sampled retrieval sequence, stronger start-of-list context reinstatement increases access to film items, with the largest gains concentrated near the beginning of the film sequence.</w:t>
      </w:r>
      <w:r>
        <w:t xml:space="preserve"> </w:t>
      </w:r>
      <w:r>
        <w:t xml:space="preserve">Because sampled early film items reinstate nearby early-film context, and because context drifts gradually during retrieval, a start-of-recall context shift can affect later samples as well as the first sampled item.</w:t>
      </w:r>
    </w:p>
    <w:p>
      <w:pPr>
        <w:pStyle w:val="FigureWithoutNote"/>
      </w:pPr>
      <w:r>
        <w:drawing>
          <wp:inline>
            <wp:extent cx="5943600" cy="4209375"/>
            <wp:effectExtent b="0" l="0" r="0" t="0"/>
            <wp:docPr descr="" title="" id="64" name="Picture"/>
            <a:graphic>
              <a:graphicData uri="http://schemas.openxmlformats.org/drawingml/2006/picture">
                <pic:pic>
                  <pic:nvPicPr>
                    <pic:cNvPr descr="figures/simulation2_start_context_reinstatement.png" id="65" name="Picture"/>
                    <pic:cNvPicPr>
                      <a:picLocks noChangeArrowheads="1" noChangeAspect="1"/>
                    </pic:cNvPicPr>
                  </pic:nvPicPr>
                  <pic:blipFill>
                    <a:blip r:embed="rId63"/>
                    <a:stretch>
                      <a:fillRect/>
                    </a:stretch>
                  </pic:blipFill>
                  <pic:spPr bwMode="auto">
                    <a:xfrm>
                      <a:off x="0" y="0"/>
                      <a:ext cx="5943600" cy="4209375"/>
                    </a:xfrm>
                    <a:prstGeom prst="rect">
                      <a:avLst/>
                    </a:prstGeom>
                    <a:noFill/>
                    <a:ln w="9525">
                      <a:noFill/>
                      <a:headEnd/>
                      <a:tailEnd/>
                    </a:ln>
                  </pic:spPr>
                </pic:pic>
              </a:graphicData>
            </a:graphic>
          </wp:inline>
        </w:drawing>
      </w:r>
    </w:p>
    <w:bookmarkEnd w:id="66"/>
    <w:p>
      <w:pPr>
        <w:pStyle w:val="AfterWithoutNote"/>
      </w:pPr>
      <w:r>
        <w:t xml:space="preserve">Panel A probes</w:t>
      </w:r>
      <w:r>
        <w:t xml:space="preserve"> </w:t>
      </w:r>
      <m:oMath>
        <m:sSup>
          <m:e>
            <m:r>
              <m:t>M</m:t>
            </m:r>
          </m:e>
          <m:sup>
            <m:r>
              <m:t>C</m:t>
            </m:r>
            <m:r>
              <m:t>F</m:t>
            </m:r>
          </m:sup>
        </m:sSup>
      </m:oMath>
      <w:r>
        <w:t xml:space="preserve"> </w:t>
      </w:r>
      <w:r>
        <w:t xml:space="preserve">with the pre-recall retrieval context before Luce choice, stopping, or sampled-item context updating.</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apply the same retrieval settings to sampled retrieval sequences.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has full-sequence consequences: sampled early film items reinstate nearby early-film context and raise film-item access across subsequent samples.</w:t>
      </w:r>
      <w:r>
        <w:t xml:space="preserve"> </w:t>
      </w:r>
      <w:r>
        <w:t xml:space="preserve">Under the strong task setting used here, task items remain available to be sampled later in the sequence, so the next step is to examine how selection operates once a retrieval cue has been set.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changing how sharply candidate support is converted into selection probability.</w:t>
      </w:r>
      <w:r>
        <w:t xml:space="preserve"> </w:t>
      </w:r>
      <w:r>
        <w:t xml:space="preserve">It does not supply a film cue by itself.</w:t>
      </w:r>
      <w:r>
        <w:t xml:space="preserve"> </w:t>
      </w:r>
      <w:r>
        <w:t xml:space="preserve">Instead, it makes the candidate structure supplied by the current context more consequential.</w:t>
      </w:r>
      <w:r>
        <w:t xml:space="preserve"> </w:t>
      </w:r>
      <w:r>
        <w:t xml:space="preserve">Figure 4 crosses retrieval selectivity with start-of-list context reinstatement while holding the same post-reminder task condition fixed.</w:t>
      </w:r>
      <w:r>
        <w:t xml:space="preserve"> </w:t>
      </w:r>
      <w:r>
        <w:t xml:space="preserve">The final panel introduces target monitoring as a post-off-target recovery operation.</w:t>
      </w:r>
      <w:r>
        <w:t xml:space="preserve"> </w:t>
      </w:r>
      <w:r>
        <w:t xml:space="preserve">Here, target monitoring refers to control engaged after a sampled candidate is recognized as off target: the operation can reduce how strongly that candidate pulls subsequent search away from film context that is already accessible.</w:t>
      </w:r>
      <w:r>
        <w:t xml:space="preserve"> </w:t>
      </w:r>
      <w:r>
        <w:t xml:space="preserve">The concrete CMR-style implementation used here is rejected-sample updating.</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0" w:name="fig-simulation2-retrieval-selectivity"/>
    <w:p>
      <w:pPr>
        <w:pStyle w:val="FigureTitle"/>
      </w:pPr>
      <w:r>
        <w:t xml:space="preserve">Figure 4</w:t>
      </w:r>
    </w:p>
    <w:p>
      <w:pPr>
        <w:pStyle w:val="Caption"/>
      </w:pPr>
      <w:r>
        <w:rPr>
          <w:b/>
          <w:bCs/>
        </w:rPr>
        <w:t xml:space="preserve">Retrieval selectivity sharpens the current search path, while target monitoring limits drift after off-target samples.</w:t>
      </w:r>
      <w:r>
        <w:t xml:space="preserve"> </w:t>
      </w:r>
      <w:r>
        <w:t xml:space="preserve">Simulation 2 demonstrates why deliberate recall requires more than globally sharper selection by first varying retrieval selectivity after post-reminder task encoding, with or without start-of-list context reinstatement, and then examining a rejected-sample implementation of off-target recovery.</w:t>
      </w:r>
      <w:r>
        <w:t xml:space="preserve"> </w:t>
      </w:r>
      <w:r>
        <w:rPr>
          <w:b/>
          <w:bCs/>
        </w:rPr>
        <w:t xml:space="preserve">(A)</w:t>
      </w:r>
      <w:r>
        <w:t xml:space="preserve"> </w:t>
      </w:r>
      <w:r>
        <w:t xml:space="preserve">With start-of-list reinstatement, higher retrieval selectivity increases short-lag transitions, indicating stronger local search around the currently active temporal neighborhood.</w:t>
      </w:r>
      <w:r>
        <w:t xml:space="preserve"> </w:t>
      </w:r>
      <w:r>
        <w:rPr>
          <w:b/>
          <w:bCs/>
        </w:rPr>
        <w:t xml:space="preserve">(B)</w:t>
      </w:r>
      <w:r>
        <w:t xml:space="preserve"> </w:t>
      </w:r>
      <w:r>
        <w:t xml:space="preserve">Without start-of-list reinstatement, sharper local search amplifies recall of late non-film items because the ongoing retrieval context most strongly supports those positions.</w:t>
      </w:r>
      <w:r>
        <w:t xml:space="preserve"> </w:t>
      </w:r>
      <w:r>
        <w:rPr>
          <w:b/>
          <w:bCs/>
        </w:rPr>
        <w:t xml:space="preserve">(C)</w:t>
      </w:r>
      <w:r>
        <w:t xml:space="preserve"> </w:t>
      </w:r>
      <w:r>
        <w:t xml:space="preserve">With start-of-list reinstatement, the same increase in retrieval selectivity amplifies recall of film items because retrieval begins from context that supports the start of the film sequence.</w:t>
      </w:r>
      <w:r>
        <w:t xml:space="preserve"> </w:t>
      </w:r>
      <w:r>
        <w:rPr>
          <w:b/>
          <w:bCs/>
        </w:rPr>
        <w:t xml:space="preserve">(D)</w:t>
      </w:r>
      <w:r>
        <w:t xml:space="preserve"> </w:t>
      </w:r>
      <w:r>
        <w:t xml:space="preserve">A concrete rejected-sample implementation shows the same constraint: reducing the context update after off-target samples helps retrieval return to film items only when start-of-list reinstatement has already made film items accessible.</w:t>
      </w:r>
      <w:r>
        <w:t xml:space="preserve"> </w:t>
      </w:r>
      <w:r>
        <w:t xml:space="preserve">Together, the panels show that selection sharpening is conditional on the current retrieval context, whereas target monitoring can limit the aftereffects of off-target samples without supplying a film cue by itself.</w:t>
      </w:r>
    </w:p>
    <w:p>
      <w:pPr>
        <w:pStyle w:val="FigureWithoutNote"/>
      </w:pPr>
      <w:r>
        <w:drawing>
          <wp:inline>
            <wp:extent cx="5943600" cy="4052068"/>
            <wp:effectExtent b="0" l="0" r="0" t="0"/>
            <wp:docPr descr="" title="" id="68" name="Picture"/>
            <a:graphic>
              <a:graphicData uri="http://schemas.openxmlformats.org/drawingml/2006/picture">
                <pic:pic>
                  <pic:nvPicPr>
                    <pic:cNvPr descr="figures/simulation2_retrieval_selectivity.png" id="69" name="Picture"/>
                    <pic:cNvPicPr>
                      <a:picLocks noChangeArrowheads="1" noChangeAspect="1"/>
                    </pic:cNvPicPr>
                  </pic:nvPicPr>
                  <pic:blipFill>
                    <a:blip r:embed="rId67"/>
                    <a:stretch>
                      <a:fillRect/>
                    </a:stretch>
                  </pic:blipFill>
                  <pic:spPr bwMode="auto">
                    <a:xfrm>
                      <a:off x="0" y="0"/>
                      <a:ext cx="5943600" cy="4052068"/>
                    </a:xfrm>
                    <a:prstGeom prst="rect">
                      <a:avLst/>
                    </a:prstGeom>
                    <a:noFill/>
                    <a:ln w="9525">
                      <a:noFill/>
                      <a:headEnd/>
                      <a:tailEnd/>
                    </a:ln>
                  </pic:spPr>
                </pic:pic>
              </a:graphicData>
            </a:graphic>
          </wp:inline>
        </w:drawing>
      </w:r>
    </w:p>
    <w:bookmarkEnd w:id="70"/>
    <w:p>
      <w:pPr>
        <w:pStyle w:val="AfterWithoutNote"/>
      </w:pPr>
      <w:r>
        <w:t xml:space="preserve">Panel A shows the local-search consequence of increasing retrieval selectivity in the start-of-list reinstatement condition.</w:t>
      </w:r>
      <w:r>
        <w:t xml:space="preserve"> </w:t>
      </w:r>
      <w:r>
        <w:t xml:space="preserve">Because the Luce choice rule exaggerates differences in candidate support, higher values make successive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supplies a diagnostic early-film retrieval cue, retrieval selectivity sharpens whatever the current context supports, and target monitoring limits the context-updating consequences of sampled off-target candidates.</w:t>
      </w:r>
      <w:r>
        <w:t xml:space="preserve"> </w:t>
      </w:r>
      <w:r>
        <w:t xml:space="preserve">This sequence motivates Simulation 3: externally supplied film-item cues also update context, but they sample positions from the film sequence rather than deliberately reinstating the start-of-list state.</w:t>
      </w:r>
      <w:r>
        <w:t xml:space="preserve"> </w:t>
      </w:r>
      <w:r>
        <w:t xml:space="preserve">Their protective value therefore depends on whether the reinstated context favors film items over task competitors.</w:t>
      </w:r>
    </w:p>
    <w:bookmarkEnd w:id="71"/>
    <w:bookmarkStart w:id="76" w:name="X7a91ecbf00d273371c5cbe062d581d5817d0f04"/>
    <w:p>
      <w:pPr>
        <w:pStyle w:val="Heading2"/>
      </w:pPr>
      <w:r>
        <w:t xml:space="preserve">Simulation 3: Film Cue Inclusion and Retrieval Intentionality</w:t>
      </w:r>
    </w:p>
    <w:p>
      <w:pPr>
        <w:pStyle w:val="FirstParagraph"/>
      </w:pPr>
      <w:r>
        <w:t xml:space="preserve">Simulation 3 asks whether externally supplied film cues have the same protective value as deliberate start-of-list reinstatement.</w:t>
      </w:r>
      <w:r>
        <w:t xml:space="preserve"> </w:t>
      </w:r>
      <w:r>
        <w:t xml:space="preserve">The model implements film cue inclusion as intermittent test-phase cues: after every fourth retrieval attempt, the test supplies a randomly selected film item.</w:t>
      </w:r>
      <w:r>
        <w:t xml:space="preserve"> </w:t>
      </w:r>
      <w:r>
        <w:t xml:space="preserve">The supplied cue does not occupy a response slot, does not make the cued item unavailable for later recall, and adds no new learning.</w:t>
      </w:r>
      <w:r>
        <w:t xml:space="preserve"> </w:t>
      </w:r>
      <w:r>
        <w:t xml:space="preserve">Instead, it updates temporal and source context through the supplied item’s feature-to-context associations, after which ordinary retrieval resumes.</w:t>
      </w:r>
      <w:r>
        <w:t xml:space="preserve"> </w:t>
      </w:r>
      <w:r>
        <w:t xml:space="preserve">Cue strength is plotted as a multiplier on the fitted recall context-update rate</w:t>
      </w:r>
      <w:r>
        <w:t xml:space="preserve"> </w:t>
      </w:r>
      <m:oMath>
        <m:sSub>
          <m:e>
            <m:r>
              <m:t>β</m:t>
            </m:r>
          </m:e>
          <m:sub>
            <m:r>
              <m:t>r</m:t>
            </m:r>
            <m:r>
              <m:t>e</m:t>
            </m:r>
            <m:r>
              <m:t>c</m:t>
            </m:r>
          </m:sub>
        </m:sSub>
      </m:oMath>
      <w:r>
        <w:t xml:space="preserve">.</w:t>
      </w:r>
      <w:r>
        <w:t xml:space="preserve"> </w:t>
      </w:r>
      <w:r>
        <w:t xml:space="preserve">The vertical reference line in Figure 5 marks the cue strength that would make the supplied-cue context update approximately equal to the fitted encoding drift rate</w:t>
      </w:r>
      <w:r>
        <w:t xml:space="preserve"> </w:t>
      </w:r>
      <m:oMath>
        <m:sSub>
          <m:e>
            <m:r>
              <m:t>β</m:t>
            </m:r>
          </m:e>
          <m:sub>
            <m:r>
              <m:t>e</m:t>
            </m:r>
            <m:r>
              <m:t>n</m:t>
            </m:r>
            <m:r>
              <m:t>c</m:t>
            </m:r>
          </m:sub>
        </m:sSub>
      </m:oMath>
      <w:r>
        <w:t xml:space="preserve">.</w:t>
      </w:r>
    </w:p>
    <w:bookmarkStart w:id="75" w:name="fig-simulation3-film-cue-inclusion"/>
    <w:p>
      <w:pPr>
        <w:pStyle w:val="FigureTitle"/>
      </w:pPr>
      <w:r>
        <w:t xml:space="preserve">Figure 5</w:t>
      </w:r>
    </w:p>
    <w:p>
      <w:pPr>
        <w:pStyle w:val="Caption"/>
      </w:pPr>
      <w:r>
        <w:rPr>
          <w:b/>
          <w:bCs/>
        </w:rPr>
        <w:t xml:space="preserve">Intermittent test-phase film cues increase film access without replacing the intentionality manipulation.</w:t>
      </w:r>
      <w:r>
        <w:t xml:space="preserve"> </w:t>
      </w:r>
      <w:r>
        <w:t xml:space="preserve">Simulation 3 compares unguided retrieval with deliberate recall while varying the strength of intermittent supplied film-item cues during retrieval.</w:t>
      </w:r>
      <w:r>
        <w:t xml:space="preserve"> </w:t>
      </w:r>
      <w:r>
        <w:rPr>
          <w:b/>
          <w:bCs/>
        </w:rPr>
        <w:t xml:space="preserve">(A)</w:t>
      </w:r>
      <w:r>
        <w:t xml:space="preserve"> </w:t>
      </w:r>
      <w:r>
        <w:t xml:space="preserve">Supplied film cues occur after scheduled retrieval attempts, update context, and then allow the next ordinary retrieval competition; they are not counted as responses and do not add learning.</w:t>
      </w:r>
      <w:r>
        <w:t xml:space="preserve"> </w:t>
      </w:r>
      <w:r>
        <w:rPr>
          <w:b/>
          <w:bCs/>
        </w:rPr>
        <w:t xml:space="preserve">(B)</w:t>
      </w:r>
      <w:r>
        <w:t xml:space="preserve"> </w:t>
      </w:r>
      <w:r>
        <w:t xml:space="preserve">Film-item recall increases with cue strength, but the deliberate-minus-unguided intentionality gap remains nearly stable across weak-to-moderate cue reinstatement.</w:t>
      </w:r>
      <w:r>
        <w:t xml:space="preserve"> </w:t>
      </w:r>
      <w:r>
        <w:t xml:space="preserve">Only stronger cue reinstatement begins to narrow the gap.</w:t>
      </w:r>
      <w:r>
        <w:t xml:space="preserve"> </w:t>
      </w:r>
      <w:r>
        <w:rPr>
          <w:b/>
          <w:bCs/>
        </w:rPr>
        <w:t xml:space="preserve">(C)</w:t>
      </w:r>
      <w:r>
        <w:t xml:space="preserve"> </w:t>
      </w:r>
      <w:r>
        <w:t xml:space="preserve">Under unguided retrieval, supplied film cues modestly raise film recall but task and filler competitors remain prominent.</w:t>
      </w:r>
      <w:r>
        <w:t xml:space="preserve"> </w:t>
      </w:r>
      <w:r>
        <w:rPr>
          <w:b/>
          <w:bCs/>
        </w:rPr>
        <w:t xml:space="preserve">(D)</w:t>
      </w:r>
      <w:r>
        <w:t xml:space="preserve"> </w:t>
      </w:r>
      <w:r>
        <w:t xml:space="preserve">Under deliberate recall, film recall is already supported by start-of-list control, and supplied cues produce additional film access without eliminating task competition.</w:t>
      </w:r>
    </w:p>
    <w:p>
      <w:pPr>
        <w:pStyle w:val="FigureWithoutNote"/>
      </w:pPr>
      <w:r>
        <w:drawing>
          <wp:inline>
            <wp:extent cx="5943600" cy="4067901"/>
            <wp:effectExtent b="0" l="0" r="0" t="0"/>
            <wp:docPr descr="" title="" id="73" name="Picture"/>
            <a:graphic>
              <a:graphicData uri="http://schemas.openxmlformats.org/drawingml/2006/picture">
                <pic:pic>
                  <pic:nvPicPr>
                    <pic:cNvPr descr="figures/simulation3_film_cue_inclusion.png" id="74" name="Picture"/>
                    <pic:cNvPicPr>
                      <a:picLocks noChangeArrowheads="1" noChangeAspect="1"/>
                    </pic:cNvPicPr>
                  </pic:nvPicPr>
                  <pic:blipFill>
                    <a:blip r:embed="rId72"/>
                    <a:stretch>
                      <a:fillRect/>
                    </a:stretch>
                  </pic:blipFill>
                  <pic:spPr bwMode="auto">
                    <a:xfrm>
                      <a:off x="0" y="0"/>
                      <a:ext cx="5943600" cy="4067901"/>
                    </a:xfrm>
                    <a:prstGeom prst="rect">
                      <a:avLst/>
                    </a:prstGeom>
                    <a:noFill/>
                    <a:ln w="9525">
                      <a:noFill/>
                      <a:headEnd/>
                      <a:tailEnd/>
                    </a:ln>
                  </pic:spPr>
                </pic:pic>
              </a:graphicData>
            </a:graphic>
          </wp:inline>
        </w:drawing>
      </w:r>
    </w:p>
    <w:bookmarkEnd w:id="75"/>
    <w:p>
      <w:pPr>
        <w:pStyle w:val="AfterWithoutNote"/>
      </w:pPr>
      <w:r>
        <w:t xml:space="preserve">Panel B gives the primary test of the Simulation 3 prediction.</w:t>
      </w:r>
      <w:r>
        <w:t xml:space="preserve"> </w:t>
      </w:r>
      <w:r>
        <w:t xml:space="preserve">Weak-to-moderate test-phase film cues increase film-item recall while leaving the intentionality gap largely intact.</w:t>
      </w:r>
      <w:r>
        <w:t xml:space="preserve"> </w:t>
      </w:r>
      <w:r>
        <w:t xml:space="preserve">For example, increasing film-cue reinstatement from 0.00 to 0.60 raises film recall mass from 0.008 to 0.170 under unguided retrieval and from 2.229 to 2.379 under deliberate recall, while the deliberate-minus-unguided gap changes only from 2.221 to 2.209.</w:t>
      </w:r>
      <w:r>
        <w:t xml:space="preserve"> </w:t>
      </w:r>
      <w:r>
        <w:t xml:space="preserve">This pattern shows that an externally supplied film cue can improve access to film material without acting like the diagnostic start-of-list control operation in Simulation 2.</w:t>
      </w:r>
      <w:r>
        <w:t xml:space="preserve"> </w:t>
      </w:r>
      <w:r>
        <w:t xml:space="preserve">At stronger cue values, the intentionality gap begins to narrow because cue-driven context reinstatement itself becomes strong enough to guide unguided retrieval toward film items.</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supplied film items can steer retrieval toward film context, but they reduce selective interference only to the extent that the reinstated context discriminates film targets from task and filler competitors.</w:t>
      </w:r>
    </w:p>
    <w:bookmarkEnd w:id="76"/>
    <w:bookmarkStart w:id="81" w:name="X4b971085a32b00b7d6d10c2980fa2959349f2f4"/>
    <w:p>
      <w:pPr>
        <w:pStyle w:val="Heading2"/>
      </w:pPr>
      <w:r>
        <w:t xml:space="preserve">Simulation 4: Context-to-Item and Item-to-Context Test Formats</w:t>
      </w:r>
    </w:p>
    <w:p>
      <w:pPr>
        <w:pStyle w:val="FirstParagraph"/>
      </w:pPr>
      <w:r>
        <w:t xml:space="preserve">Simulation 4 extends the cue logic to test format.</w:t>
      </w:r>
      <w:r>
        <w:t xml:space="preserve"> </w:t>
      </w:r>
      <w:r>
        <w:t xml:space="preserve">The relevant architectural distinction is between context-to-item recall, in which film items must win selection from a mixed competitor set, and supplied-item access, in which the test provides item information that can reinstate associated context directly.</w:t>
      </w:r>
      <w:r>
        <w:t xml:space="preserve"> </w:t>
      </w:r>
      <w:r>
        <w:t xml:space="preserve">This comparison does not require treating recognition as fully modeled by CMR.</w:t>
      </w:r>
      <w:r>
        <w:t xml:space="preserve"> </w:t>
      </w:r>
      <w:r>
        <w:t xml:space="preserve">Instead, it asks whether a supplied film item changes vulnerability to context-binding interference because the retrieval problem no longer begins with selecting a film item from context alone.</w:t>
      </w:r>
    </w:p>
    <w:p>
      <w:pPr>
        <w:pStyle w:val="BodyText"/>
      </w:pPr>
      <w:r>
        <w:t xml:space="preserve">The predicted contrast follows from the bidirectional item-context loop.</w:t>
      </w:r>
      <w:r>
        <w:t xml:space="preserve"> </w:t>
      </w:r>
      <w:r>
        <w:t xml:space="preserve">When the test begins from context, film and task items compete according to their context-to-feature support.</w:t>
      </w:r>
      <w:r>
        <w:t xml:space="preserve"> </w:t>
      </w:r>
      <w:r>
        <w:t xml:space="preserve">When the test supplies an item, the item-to-context pathway is engaged first, so performance can be less sensitive to whether a film item would have won an unguided context-to-item competition.</w:t>
      </w:r>
      <w:r>
        <w:t xml:space="preserve"> </w:t>
      </w:r>
      <w:r>
        <w:t xml:space="preserve">This provides a test-format consequence of the same mechanism examined in Simulation 3, without assuming a separate recognition decision model.</w:t>
      </w:r>
    </w:p>
    <w:bookmarkStart w:id="80" w:name="fig-simulation4-test-format-schematic"/>
    <w:p>
      <w:pPr>
        <w:pStyle w:val="FigureTitle"/>
      </w:pPr>
      <w:r>
        <w:t xml:space="preserve">Figure 6</w:t>
      </w:r>
    </w:p>
    <w:p>
      <w:pPr>
        <w:pStyle w:val="Caption"/>
      </w:pPr>
      <w:r>
        <w:rPr>
          <w:b/>
          <w:bCs/>
        </w:rPr>
        <w:t xml:space="preserve">Retrieval format changes where interference can enter.</w:t>
      </w:r>
      <w:r>
        <w:t xml:space="preserve"> </w:t>
      </w:r>
      <w:r>
        <w:t xml:space="preserve">Simulation 4 distinguishes context-guided retrieval from supplied-item retrieval.</w:t>
      </w:r>
      <w:r>
        <w:t xml:space="preserve"> </w:t>
      </w:r>
      <w:r>
        <w:rPr>
          <w:b/>
          <w:bCs/>
        </w:rPr>
        <w:t xml:space="preserve">(A)</w:t>
      </w:r>
      <w:r>
        <w:t xml:space="preserve"> </w:t>
      </w:r>
      <w:r>
        <w:t xml:space="preserve">When retrieval begins from context, the same context state can cue multiple candidates; task items therefore compete with film items when both have been encoded in overlapping contexts.</w:t>
      </w:r>
      <w:r>
        <w:t xml:space="preserve"> </w:t>
      </w:r>
      <w:r>
        <w:t xml:space="preserve">When retrieval begins from a supplied film item, the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ask why item-cued or recognition-like tests may show preserved access even when context-guided recall is sensitive to interference.</w:t>
      </w:r>
    </w:p>
    <w:p>
      <w:pPr>
        <w:pStyle w:val="FigureWithoutNote"/>
      </w:pPr>
      <w:r>
        <w:drawing>
          <wp:inline>
            <wp:extent cx="5943600" cy="2773680"/>
            <wp:effectExtent b="0" l="0" r="0" t="0"/>
            <wp:docPr descr="" title="" id="78" name="Picture"/>
            <a:graphic>
              <a:graphicData uri="http://schemas.openxmlformats.org/drawingml/2006/picture">
                <pic:pic>
                  <pic:nvPicPr>
                    <pic:cNvPr descr="figures/simulation4_test_format_schematic.png" id="79" name="Picture"/>
                    <pic:cNvPicPr>
                      <a:picLocks noChangeArrowheads="1" noChangeAspect="1"/>
                    </pic:cNvPicPr>
                  </pic:nvPicPr>
                  <pic:blipFill>
                    <a:blip r:embed="rId77"/>
                    <a:stretch>
                      <a:fillRect/>
                    </a:stretch>
                  </pic:blipFill>
                  <pic:spPr bwMode="auto">
                    <a:xfrm>
                      <a:off x="0" y="0"/>
                      <a:ext cx="5943600" cy="2773680"/>
                    </a:xfrm>
                    <a:prstGeom prst="rect">
                      <a:avLst/>
                    </a:prstGeom>
                    <a:noFill/>
                    <a:ln w="9525">
                      <a:noFill/>
                      <a:headEnd/>
                      <a:tailEnd/>
                    </a:ln>
                  </pic:spPr>
                </pic:pic>
              </a:graphicData>
            </a:graphic>
          </wp:inline>
        </w:drawing>
      </w:r>
    </w:p>
    <w:bookmarkEnd w:id="80"/>
    <w:bookmarkEnd w:id="81"/>
    <w:bookmarkStart w:id="82" w:name="X3bccd27e2ac34ffe83600109912b9a30086b735"/>
    <w:p>
      <w:pPr>
        <w:pStyle w:val="Heading2"/>
      </w:pPr>
      <w:r>
        <w:t xml:space="preserve">Simulation 5: Task Specificity and Source-Context Overlap</w:t>
      </w:r>
    </w:p>
    <w:p>
      <w:pPr>
        <w:pStyle w:val="FirstParagraph"/>
      </w:pPr>
      <w:r>
        <w:t xml:space="preserve">Simulation 5 turns to task specificity.</w:t>
      </w:r>
      <w:r>
        <w:t xml:space="preserve"> </w:t>
      </w:r>
      <w:r>
        <w:t xml:space="preserve">In the model,</w:t>
      </w:r>
      <w:r>
        <w:t xml:space="preserve"> </w:t>
      </w:r>
      <w:r>
        <w:t xml:space="preserve">“visuospatial”</w:t>
      </w:r>
      <w:r>
        <w:t xml:space="preserve"> </w:t>
      </w:r>
      <w:r>
        <w:t xml:space="preserve">and</w:t>
      </w:r>
      <w:r>
        <w:t xml:space="preserve"> </w:t>
      </w:r>
      <w:r>
        <w:t xml:space="preserve">“comparison”</w:t>
      </w:r>
      <w:r>
        <w:t xml:space="preserve"> </w:t>
      </w:r>
      <w:r>
        <w:t xml:space="preserve">are not primitive task labels.</w:t>
      </w:r>
      <w:r>
        <w:t xml:space="preserve"> </w:t>
      </w:r>
      <w:r>
        <w:t xml:space="preserve">A post-film task becomes effective when its items are strong competitors, when they are encoded in temporal-context states that overlap with the film trajectory, or when they share a source-context state with film items.</w:t>
      </w:r>
      <w:r>
        <w:t xml:space="preserve"> </w:t>
      </w:r>
      <w:r>
        <w:t xml:space="preserve">These factors can vary independently, so a task label is interpretable only through its consequences for competitor strength and contextual overlap.</w:t>
      </w:r>
    </w:p>
    <w:p>
      <w:pPr>
        <w:pStyle w:val="BodyText"/>
      </w:pPr>
      <w:r>
        <w:t xml:space="preserve">The task-specificity simulations therefore decompose three candidate routes to interference.</w:t>
      </w:r>
      <w:r>
        <w:t xml:space="preserve"> </w:t>
      </w:r>
      <w:r>
        <w:t xml:space="preserve">Increasing task learning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behavioral readouts are film-item access, task-competitor retrieval, and the phase-resolved distribution of recall across the encoded stream.</w:t>
      </w:r>
    </w:p>
    <w:bookmarkEnd w:id="82"/>
    <w:bookmarkEnd w:id="83"/>
    <w:bookmarkStart w:id="84" w:name="general-discussion"/>
    <w:p>
      <w:pPr>
        <w:pStyle w:val="Heading1"/>
      </w:pPr>
      <w:r>
        <w:t xml:space="preserve">General Discussion</w:t>
      </w:r>
    </w:p>
    <w:bookmarkEnd w:id="84"/>
    <w:bookmarkStart w:id="153" w:name="references"/>
    <w:p>
      <w:pPr>
        <w:pStyle w:val="Heading1"/>
      </w:pPr>
      <w:r>
        <w:t xml:space="preserve">References</w:t>
      </w:r>
    </w:p>
    <w:bookmarkStart w:id="152" w:name="refs"/>
    <w:bookmarkStart w:id="8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85">
        <w:r>
          <w:rPr>
            <w:rStyle w:val="Hyperlink"/>
          </w:rPr>
          <w:t xml:space="preserve">https://doi.org/10.1016/j.jpsychires.2023.01.028</w:t>
        </w:r>
      </w:hyperlink>
    </w:p>
    <w:bookmarkEnd w:id="86"/>
    <w:bookmarkStart w:id="88"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87">
        <w:r>
          <w:rPr>
            <w:rStyle w:val="Hyperlink"/>
          </w:rPr>
          <w:t xml:space="preserve">https://doi.org/10.1037/a0033722</w:t>
        </w:r>
      </w:hyperlink>
    </w:p>
    <w:bookmarkEnd w:id="88"/>
    <w:bookmarkStart w:id="90"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89">
        <w:r>
          <w:rPr>
            <w:rStyle w:val="Hyperlink"/>
          </w:rPr>
          <w:t xml:space="preserve">https://doi.org/10.1037/0033-295X.103.4.670</w:t>
        </w:r>
      </w:hyperlink>
    </w:p>
    <w:bookmarkEnd w:id="90"/>
    <w:bookmarkStart w:id="92"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91">
        <w:r>
          <w:rPr>
            <w:rStyle w:val="Hyperlink"/>
          </w:rPr>
          <w:t xml:space="preserve">https://doi.org/10.1037/a0018113</w:t>
        </w:r>
      </w:hyperlink>
    </w:p>
    <w:bookmarkEnd w:id="92"/>
    <w:bookmarkStart w:id="9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93">
        <w:r>
          <w:rPr>
            <w:rStyle w:val="Hyperlink"/>
          </w:rPr>
          <w:t xml:space="preserve">https://doi.org/10.1037/rev0000334</w:t>
        </w:r>
      </w:hyperlink>
    </w:p>
    <w:bookmarkEnd w:id="94"/>
    <w:bookmarkStart w:id="9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95">
        <w:r>
          <w:rPr>
            <w:rStyle w:val="Hyperlink"/>
          </w:rPr>
          <w:t xml:space="preserve">https://doi.org/10.1016/j.jbtep.2011.10.008</w:t>
        </w:r>
      </w:hyperlink>
    </w:p>
    <w:bookmarkEnd w:id="96"/>
    <w:bookmarkStart w:id="9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97"/>
    <w:bookmarkStart w:id="9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98">
        <w:r>
          <w:rPr>
            <w:rStyle w:val="Hyperlink"/>
          </w:rPr>
          <w:t xml:space="preserve">https://doi.org/10.1016/S0005-7967(99)00123-0</w:t>
        </w:r>
      </w:hyperlink>
    </w:p>
    <w:bookmarkEnd w:id="99"/>
    <w:bookmarkStart w:id="10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00">
        <w:r>
          <w:rPr>
            <w:rStyle w:val="Hyperlink"/>
          </w:rPr>
          <w:t xml:space="preserve">https://doi.org/10.1016/j.actpsy.2007.11.002</w:t>
        </w:r>
      </w:hyperlink>
    </w:p>
    <w:bookmarkEnd w:id="101"/>
    <w:bookmarkStart w:id="10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02">
        <w:r>
          <w:rPr>
            <w:rStyle w:val="Hyperlink"/>
          </w:rPr>
          <w:t xml:space="preserve">https://doi.org/10.1037/0096-3445.133.1.3</w:t>
        </w:r>
      </w:hyperlink>
    </w:p>
    <w:bookmarkEnd w:id="103"/>
    <w:bookmarkStart w:id="10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04">
        <w:r>
          <w:rPr>
            <w:rStyle w:val="Hyperlink"/>
          </w:rPr>
          <w:t xml:space="preserve">https://doi.org/10.1371/journal.pone.0004153</w:t>
        </w:r>
      </w:hyperlink>
    </w:p>
    <w:bookmarkEnd w:id="105"/>
    <w:bookmarkStart w:id="10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06">
        <w:r>
          <w:rPr>
            <w:rStyle w:val="Hyperlink"/>
          </w:rPr>
          <w:t xml:space="preserve">https://doi.org/10.1371/journal.pone.0013706</w:t>
        </w:r>
      </w:hyperlink>
    </w:p>
    <w:bookmarkEnd w:id="107"/>
    <w:bookmarkStart w:id="10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08">
        <w:r>
          <w:rPr>
            <w:rStyle w:val="Hyperlink"/>
          </w:rPr>
          <w:t xml:space="preserve">https://doi.org/10.1016/j.brat.2017.03.018</w:t>
        </w:r>
      </w:hyperlink>
    </w:p>
    <w:bookmarkEnd w:id="109"/>
    <w:bookmarkStart w:id="11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10">
        <w:r>
          <w:rPr>
            <w:rStyle w:val="Hyperlink"/>
          </w:rPr>
          <w:t xml:space="preserve">https://doi.org/10.1006/jmps.2001.1388</w:t>
        </w:r>
      </w:hyperlink>
    </w:p>
    <w:bookmarkEnd w:id="111"/>
    <w:bookmarkStart w:id="112"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12"/>
    <w:bookmarkStart w:id="11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13">
        <w:r>
          <w:rPr>
            <w:rStyle w:val="Hyperlink"/>
          </w:rPr>
          <w:t xml:space="preserve">https://doi.org/10.1038/mp.2017.23</w:t>
        </w:r>
      </w:hyperlink>
    </w:p>
    <w:bookmarkEnd w:id="114"/>
    <w:bookmarkStart w:id="11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15">
        <w:r>
          <w:rPr>
            <w:rStyle w:val="Hyperlink"/>
          </w:rPr>
          <w:t xml:space="preserve">https://doi.org/10.1016/j.cpr.2018.08.005</w:t>
        </w:r>
      </w:hyperlink>
    </w:p>
    <w:bookmarkEnd w:id="116"/>
    <w:bookmarkStart w:id="11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17">
        <w:r>
          <w:rPr>
            <w:rStyle w:val="Hyperlink"/>
          </w:rPr>
          <w:t xml:space="preserve">https://doi.org/10.1177/0956797615583071</w:t>
        </w:r>
      </w:hyperlink>
    </w:p>
    <w:bookmarkEnd w:id="118"/>
    <w:bookmarkStart w:id="12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19">
        <w:r>
          <w:rPr>
            <w:rStyle w:val="Hyperlink"/>
          </w:rPr>
          <w:t xml:space="preserve">https://doi.org/10.1016/j.cpr.2016.04.010</w:t>
        </w:r>
      </w:hyperlink>
    </w:p>
    <w:bookmarkEnd w:id="120"/>
    <w:bookmarkStart w:id="12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21"/>
    <w:bookmarkStart w:id="12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22">
        <w:r>
          <w:rPr>
            <w:rStyle w:val="Hyperlink"/>
          </w:rPr>
          <w:t xml:space="preserve">https://doi.org/10.1002/cpp.2489</w:t>
        </w:r>
      </w:hyperlink>
    </w:p>
    <w:bookmarkEnd w:id="123"/>
    <w:bookmarkStart w:id="12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24">
        <w:r>
          <w:rPr>
            <w:rStyle w:val="Hyperlink"/>
          </w:rPr>
          <w:t xml:space="preserve">https://doi.org/10.1016/j.jbtep.2019.01.006</w:t>
        </w:r>
      </w:hyperlink>
    </w:p>
    <w:bookmarkEnd w:id="125"/>
    <w:bookmarkStart w:id="12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26">
        <w:r>
          <w:rPr>
            <w:rStyle w:val="Hyperlink"/>
          </w:rPr>
          <w:t xml:space="preserve">https://doi.org/10.1038/nn.2271</w:t>
        </w:r>
      </w:hyperlink>
    </w:p>
    <w:bookmarkEnd w:id="127"/>
    <w:bookmarkStart w:id="12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28">
        <w:r>
          <w:rPr>
            <w:rStyle w:val="Hyperlink"/>
          </w:rPr>
          <w:t xml:space="preserve">https://doi.org/10.1002/acp.1611</w:t>
        </w:r>
      </w:hyperlink>
    </w:p>
    <w:bookmarkEnd w:id="129"/>
    <w:bookmarkStart w:id="13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30">
        <w:r>
          <w:rPr>
            <w:rStyle w:val="Hyperlink"/>
          </w:rPr>
          <w:t xml:space="preserve">https://doi.org/10.1037/xge0000598</w:t>
        </w:r>
      </w:hyperlink>
    </w:p>
    <w:bookmarkEnd w:id="131"/>
    <w:bookmarkStart w:id="13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32">
        <w:r>
          <w:rPr>
            <w:rStyle w:val="Hyperlink"/>
          </w:rPr>
          <w:t xml:space="preserve">https://doi.org/10.1177/2167702621998315</w:t>
        </w:r>
      </w:hyperlink>
    </w:p>
    <w:bookmarkEnd w:id="133"/>
    <w:bookmarkStart w:id="13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34">
        <w:r>
          <w:rPr>
            <w:rStyle w:val="Hyperlink"/>
          </w:rPr>
          <w:t xml:space="preserve">https://doi.org/10.1037/a0039036</w:t>
        </w:r>
      </w:hyperlink>
    </w:p>
    <w:bookmarkEnd w:id="135"/>
    <w:bookmarkStart w:id="13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36">
        <w:r>
          <w:rPr>
            <w:rStyle w:val="Hyperlink"/>
          </w:rPr>
          <w:t xml:space="preserve">https://doi.org/10.1037/a0014420</w:t>
        </w:r>
      </w:hyperlink>
    </w:p>
    <w:bookmarkEnd w:id="137"/>
    <w:bookmarkStart w:id="13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38">
        <w:r>
          <w:rPr>
            <w:rStyle w:val="Hyperlink"/>
          </w:rPr>
          <w:t xml:space="preserve">https://doi.org/10.1016/j.neuropsychologia.2009.02.013</w:t>
        </w:r>
      </w:hyperlink>
    </w:p>
    <w:bookmarkEnd w:id="139"/>
    <w:bookmarkStart w:id="14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40">
        <w:r>
          <w:rPr>
            <w:rStyle w:val="Hyperlink"/>
          </w:rPr>
          <w:t xml:space="preserve">https://doi.org/10.3758/s13423-011-0086-9</w:t>
        </w:r>
      </w:hyperlink>
    </w:p>
    <w:bookmarkEnd w:id="141"/>
    <w:bookmarkStart w:id="14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42">
        <w:r>
          <w:rPr>
            <w:rStyle w:val="Hyperlink"/>
          </w:rPr>
          <w:t xml:space="preserve">https://doi.org/10.1037/a0013396</w:t>
        </w:r>
      </w:hyperlink>
    </w:p>
    <w:bookmarkEnd w:id="143"/>
    <w:bookmarkStart w:id="145"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44">
        <w:r>
          <w:rPr>
            <w:rStyle w:val="Hyperlink"/>
          </w:rPr>
          <w:t xml:space="preserve">https://doi.org/10.1037/rev0000132</w:t>
        </w:r>
      </w:hyperlink>
    </w:p>
    <w:bookmarkEnd w:id="145"/>
    <w:bookmarkStart w:id="14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46">
        <w:r>
          <w:rPr>
            <w:rStyle w:val="Hyperlink"/>
          </w:rPr>
          <w:t xml:space="preserve">https://doi.org/10.1038/s41562-024-01956-y</w:t>
        </w:r>
      </w:hyperlink>
    </w:p>
    <w:bookmarkEnd w:id="147"/>
    <w:bookmarkStart w:id="14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48">
        <w:r>
          <w:rPr>
            <w:rStyle w:val="Hyperlink"/>
          </w:rPr>
          <w:t xml:space="preserve">https://doi.org/10.1525/collabra.130791</w:t>
        </w:r>
      </w:hyperlink>
    </w:p>
    <w:bookmarkEnd w:id="149"/>
    <w:bookmarkStart w:id="15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50">
        <w:r>
          <w:rPr>
            <w:rStyle w:val="Hyperlink"/>
          </w:rPr>
          <w:t xml:space="preserve">https://doi.org/10.1037/0278-7393.32.4.792</w:t>
        </w:r>
      </w:hyperlink>
    </w:p>
    <w:bookmarkEnd w:id="151"/>
    <w:bookmarkEnd w:id="152"/>
    <w:bookmarkEnd w:id="15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2026-05-25T05:02:47Z</dcterms:created>
  <dcterms:modified xsi:type="dcterms:W3CDTF">2026-05-25T05:02:47Z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