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We use simulations of emotional CMR to explore what the formalized account predicts about when and how the dissociation should appear.</w:t>
      </w:r>
      <w:r>
        <w:t xml:space="preserve"> </w:t>
      </w:r>
      <w:r>
        <w:t xml:space="preserve">The simulations first show how a film reminder can make task material compete with film recall by linking task encoding to film-associated context.</w:t>
      </w:r>
      <w:r>
        <w:t xml:space="preserve"> </w:t>
      </w:r>
      <w:r>
        <w:t xml:space="preserve">They then decompose why this competition has different effects across retrieval conditions: deliberate recall can give film material a more selective basis for recall, and recognition-like tests can present the candidate item for judgment rather than requiring it to be brought to mind.</w:t>
      </w:r>
      <w:r>
        <w:t xml:space="preserve"> </w:t>
      </w:r>
      <w:r>
        <w:t xml:space="preserve">The result is a mechanistic alternative to selective-vulnerability accounts of the selective-interference effect that clarifies boundary conditions for the dissociation and motivates better-matched tests of intrusive and voluntary remembering.</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a reduction in intrusion-like access with relatively preserved voluntary memory for the same film material.</w:t>
      </w:r>
      <w:r>
        <w:t xml:space="preserve"> </w:t>
      </w:r>
      <w:r>
        <w:t xml:space="preserve">Much of the evidence for that pattern comes from studies that measure intrusions alongside predominantly recognition-based voluntary-memory tests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21selectively">
        <w:r>
          <w:rPr>
            <w:rStyle w:val="Hyperlink"/>
          </w:rPr>
          <w:t xml:space="preserve">Lau-Zhu et al., 2021</w:t>
        </w:r>
      </w:hyperlink>
      <w:r>
        <w:t xml:space="preserve">)</w:t>
      </w:r>
      <w:r>
        <w:t xml:space="preserve">.</w:t>
      </w:r>
      <w:r>
        <w:t xml:space="preserve"> </w:t>
      </w:r>
      <w:r>
        <w:t xml:space="preserve">Diary measures attempt to count film memories that inadvertently arise during daily life</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singh2023daily">
        <w:r>
          <w:rPr>
            <w:rStyle w:val="Hyperlink"/>
          </w:rPr>
          <w:t xml:space="preserve">Singh et al., 2023</w:t>
        </w:r>
      </w:hyperlink>
      <w:r>
        <w:t xml:space="preserve">)</w:t>
      </w:r>
      <w:r>
        <w:t xml:space="preserve">.</w:t>
      </w:r>
      <w:r>
        <w:t xml:space="preserve"> </w:t>
      </w:r>
      <w:r>
        <w:t xml:space="preserve">Laboratory intrusion tasks bring intrusion measurement into a more controlled setting, often by adding monitoring instructions alongside film cues during a defined reporting period</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Voluntary-memory tests vary as well: many present film statements or still images for recognition, whereas some ask participants to produce or elaborate film details through free recall or specific probing</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selective interference effect must therefore be interpreted in light of the retrieval conditions used to measure it.</w:t>
      </w:r>
    </w:p>
    <w:p>
      <w:pPr>
        <w:pStyle w:val="BodyText"/>
      </w:pPr>
      <w:r>
        <w:t xml:space="preserve">The recognition-heavy pattern appears across both immediate post-film and delayed-reminder procedures.</w:t>
      </w:r>
      <w:r>
        <w:t xml:space="preserve"> </w:t>
      </w:r>
      <w:r>
        <w:t xml:space="preserve">In immediate post-film studies, Tetris reduced intrusions during the intervention period and over the following week, while later verbal recognition did not differ reliably from control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Delayed-reminder studies found a similar pattern when diary or laboratory intrusion measures were paired with verbal or visual recognition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followed the same basic design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These studies establish a recurring pairing of reduced intrusion reports and preserved recognition.</w:t>
      </w:r>
      <w:r>
        <w:t xml:space="preserve"> </w:t>
      </w:r>
      <w:r>
        <w:t xml:space="preserve">Across the broader evidence base, recent reviews, replication attempts, and new tests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Several studies have addressed this measurement problem by asking whether selective interference survives more closely matched intrusion and voluntary-memory measures.</w:t>
      </w:r>
      <w:r>
        <w:t xml:space="preserve"> </w:t>
      </w:r>
      <w:r>
        <w:t xml:space="preserve">Lau-Zhu et al. (</w:t>
      </w:r>
      <w:hyperlink w:anchor="ref-lau2019intrusive">
        <w:r>
          <w:rPr>
            <w:rStyle w:val="Hyperlink"/>
          </w:rPr>
          <w:t xml:space="preserve">2019</w:t>
        </w:r>
      </w:hyperlink>
      <w:r>
        <w:t xml:space="preserve">)</w:t>
      </w:r>
      <w:r>
        <w:t xml:space="preserve"> </w:t>
      </w:r>
      <w:r>
        <w:t xml:space="preserve">tested whether the diary-recognition dissociation survived changes in retrieval intention, cue overlap, attentional capture, and retrieval load.</w:t>
      </w:r>
      <w:r>
        <w:t xml:space="preserve"> </w:t>
      </w:r>
      <w:r>
        <w:t xml:space="preserve">One experiment added free recall, specific probing, priming, and visual recognition; another added a vigilance-intrusion task that measured intrusions while participants performed an attention task in the laboratory.</w:t>
      </w:r>
      <w:r>
        <w:t xml:space="preserve"> </w:t>
      </w:r>
      <w:r>
        <w:t xml:space="preserve">Lau-Zhu et al. (</w:t>
      </w:r>
      <w:hyperlink w:anchor="ref-lau2021selectively">
        <w:r>
          <w:rPr>
            <w:rStyle w:val="Hyperlink"/>
          </w:rPr>
          <w:t xml:space="preserve">2021</w:t>
        </w:r>
      </w:hyperlink>
      <w:r>
        <w:t xml:space="preserve">)</w:t>
      </w:r>
      <w:r>
        <w:t xml:space="preserve"> </w:t>
      </w:r>
      <w:r>
        <w:t xml:space="preserve">then paired a vigilance-intrusion task with a modified recognition task and varied whether trauma-film or foil cues were present.</w:t>
      </w:r>
      <w:r>
        <w:t xml:space="preserve"> </w:t>
      </w:r>
      <w:r>
        <w:t xml:space="preserve">McConnell et al. (</w:t>
      </w:r>
      <w:hyperlink w:anchor="ref-mcconnell2026testing">
        <w:r>
          <w:rPr>
            <w:rStyle w:val="Hyperlink"/>
          </w:rPr>
          <w:t xml:space="preserve">2026</w:t>
        </w:r>
      </w:hyperlink>
      <w:r>
        <w:t xml:space="preserve">)</w:t>
      </w:r>
      <w:r>
        <w:t xml:space="preserve">, from an overlapping author group, pushed the same logic further by testing DRA predictions while matching voluntary and involuntary retrieval conditions more closely.</w:t>
      </w:r>
      <w:r>
        <w:t xml:space="preserve"> </w:t>
      </w:r>
      <w:r>
        <w:t xml:space="preserve">This line of work shifts the empirical target from whether recognition is spared to how cueing, monitoring, item availability, and retrieval instructions shape the dissociation.</w:t>
      </w:r>
    </w:p>
    <w:p>
      <w:pPr>
        <w:pStyle w:val="BodyText"/>
      </w:pPr>
      <w:r>
        <w:t xml:space="preserve">For the present account, these designs pose different retrieval problems.</w:t>
      </w:r>
      <w:r>
        <w:t xml:space="preserve"> </w:t>
      </w:r>
      <w:r>
        <w:t xml:space="preserve">A diary intrusion reflects film material coming to mind in the course of ongoing activity.</w:t>
      </w:r>
      <w:r>
        <w:t xml:space="preserve"> </w:t>
      </w:r>
      <w:r>
        <w:t xml:space="preserve">A vigilance-intrusion task can make film cues available while participants monitor for intrusions.</w:t>
      </w:r>
      <w:r>
        <w:t xml:space="preserve"> </w:t>
      </w:r>
      <w:r>
        <w:t xml:space="preserve">Recognition begins with candidate film material already present at test.</w:t>
      </w:r>
      <w:r>
        <w:t xml:space="preserve"> </w:t>
      </w:r>
      <w:r>
        <w:t xml:space="preserve">Free recall and probing provide less candidate information and require more film material to be produced.</w:t>
      </w:r>
      <w:r>
        <w:t xml:space="preserve"> </w:t>
      </w:r>
      <w:hyperlink w:anchor="fig-empirical-examples">
        <w:r>
          <w:rPr>
            <w:rStyle w:val="Hyperlink"/>
          </w:rPr>
          <w:t xml:space="preserve">Figure 2</w:t>
        </w:r>
      </w:hyperlink>
      <w:r>
        <w:t xml:space="preserve"> </w:t>
      </w:r>
      <w:r>
        <w:t xml:space="preserve">illustrates this range with three exemplar designs: delayed-reminder diary-plus-recognition, delayed-reminder diary-plus-free-recall, and trauma-film-cued vigilance-intrusion-plus-recognition.</w:t>
      </w:r>
      <w:r>
        <w:t xml:space="preserve"> </w:t>
      </w:r>
      <w:r>
        <w:t xml:space="preserve">Reading the evidence this way gives the model a more specific target.</w:t>
      </w:r>
      <w:r>
        <w:t xml:space="preserve"> </w:t>
      </w:r>
      <w:r>
        <w:t xml:space="preserve">It has to explain when reminder-linked task material competes with film retrieval, and when the test conditions make film memory appear relatively preserved.</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In the present simulations, this control component changes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the present model uses the same architectural role for a simplified film/source feature.</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current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For the present simulations, film items match the goal and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11" w:name="references"/>
    <w:p>
      <w:pPr>
        <w:pStyle w:val="Heading1"/>
      </w:pPr>
      <w:r>
        <w:t xml:space="preserve">References</w:t>
      </w:r>
    </w:p>
    <w:bookmarkStart w:id="210"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7">
        <w:r>
          <w:rPr>
            <w:rStyle w:val="Hyperlink"/>
          </w:rPr>
          <w:t xml:space="preserve">https://doi.org/10.1037/rev0000334</w:t>
        </w:r>
      </w:hyperlink>
    </w:p>
    <w:bookmarkEnd w:id="128"/>
    <w:bookmarkStart w:id="13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29">
        <w:r>
          <w:rPr>
            <w:rStyle w:val="Hyperlink"/>
          </w:rPr>
          <w:t xml:space="preserve">https://doi.org/10.1016/j.jbtep.2011.10.008</w:t>
        </w:r>
      </w:hyperlink>
    </w:p>
    <w:bookmarkEnd w:id="130"/>
    <w:bookmarkStart w:id="13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1"/>
    <w:bookmarkStart w:id="13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2">
        <w:r>
          <w:rPr>
            <w:rStyle w:val="Hyperlink"/>
          </w:rPr>
          <w:t xml:space="preserve">https://doi.org/10.1016/S0005-7967(99)00123-0</w:t>
        </w:r>
      </w:hyperlink>
    </w:p>
    <w:bookmarkEnd w:id="133"/>
    <w:bookmarkStart w:id="135"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4">
        <w:r>
          <w:rPr>
            <w:rStyle w:val="Hyperlink"/>
          </w:rPr>
          <w:t xml:space="preserve">https://doi.org/10.1037/rev0000015</w:t>
        </w:r>
      </w:hyperlink>
    </w:p>
    <w:bookmarkEnd w:id="135"/>
    <w:bookmarkStart w:id="13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6">
        <w:r>
          <w:rPr>
            <w:rStyle w:val="Hyperlink"/>
          </w:rPr>
          <w:t xml:space="preserve">https://doi.org/10.1016/j.jbtep.2023.101858</w:t>
        </w:r>
      </w:hyperlink>
    </w:p>
    <w:bookmarkEnd w:id="137"/>
    <w:bookmarkStart w:id="139"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8">
        <w:r>
          <w:rPr>
            <w:rStyle w:val="Hyperlink"/>
          </w:rPr>
          <w:t xml:space="preserve">https://doi.org/10.1016/j.actpsy.2007.11.002</w:t>
        </w:r>
      </w:hyperlink>
    </w:p>
    <w:bookmarkEnd w:id="139"/>
    <w:bookmarkStart w:id="141"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0">
        <w:r>
          <w:rPr>
            <w:rStyle w:val="Hyperlink"/>
          </w:rPr>
          <w:t xml:space="preserve">https://doi.org/10.1037/0096-3445.133.1.3</w:t>
        </w:r>
      </w:hyperlink>
    </w:p>
    <w:bookmarkEnd w:id="141"/>
    <w:bookmarkStart w:id="143"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2">
        <w:r>
          <w:rPr>
            <w:rStyle w:val="Hyperlink"/>
          </w:rPr>
          <w:t xml:space="preserve">https://doi.org/10.1371/journal.pone.0004153</w:t>
        </w:r>
      </w:hyperlink>
    </w:p>
    <w:bookmarkEnd w:id="143"/>
    <w:bookmarkStart w:id="145"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4">
        <w:r>
          <w:rPr>
            <w:rStyle w:val="Hyperlink"/>
          </w:rPr>
          <w:t xml:space="preserve">https://doi.org/10.1371/journal.pone.0013706</w:t>
        </w:r>
      </w:hyperlink>
    </w:p>
    <w:bookmarkEnd w:id="145"/>
    <w:bookmarkStart w:id="147"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6">
        <w:r>
          <w:rPr>
            <w:rStyle w:val="Hyperlink"/>
          </w:rPr>
          <w:t xml:space="preserve">https://doi.org/10.1016/j.brat.2017.03.018</w:t>
        </w:r>
      </w:hyperlink>
    </w:p>
    <w:bookmarkEnd w:id="147"/>
    <w:bookmarkStart w:id="14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8">
        <w:r>
          <w:rPr>
            <w:rStyle w:val="Hyperlink"/>
          </w:rPr>
          <w:t xml:space="preserve">https://doi.org/10.1006/jmps.2001.1388</w:t>
        </w:r>
      </w:hyperlink>
    </w:p>
    <w:bookmarkEnd w:id="149"/>
    <w:bookmarkStart w:id="15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0"/>
    <w:bookmarkStart w:id="15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1">
        <w:r>
          <w:rPr>
            <w:rStyle w:val="Hyperlink"/>
          </w:rPr>
          <w:t xml:space="preserve">https://doi.org/10.1038/mp.2017.23</w:t>
        </w:r>
      </w:hyperlink>
    </w:p>
    <w:bookmarkEnd w:id="152"/>
    <w:bookmarkStart w:id="154"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3">
        <w:r>
          <w:rPr>
            <w:rStyle w:val="Hyperlink"/>
          </w:rPr>
          <w:t xml:space="preserve">https://doi.org/10.1038/s41398-023-02578-0</w:t>
        </w:r>
      </w:hyperlink>
    </w:p>
    <w:bookmarkEnd w:id="154"/>
    <w:bookmarkStart w:id="15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5">
        <w:r>
          <w:rPr>
            <w:rStyle w:val="Hyperlink"/>
          </w:rPr>
          <w:t xml:space="preserve">https://doi.org/10.1016/j.cpr.2018.08.005</w:t>
        </w:r>
      </w:hyperlink>
    </w:p>
    <w:bookmarkEnd w:id="156"/>
    <w:bookmarkStart w:id="15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7">
        <w:r>
          <w:rPr>
            <w:rStyle w:val="Hyperlink"/>
          </w:rPr>
          <w:t xml:space="preserve">https://doi.org/10.1177/0956797615583071</w:t>
        </w:r>
      </w:hyperlink>
    </w:p>
    <w:bookmarkEnd w:id="158"/>
    <w:bookmarkStart w:id="16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9">
        <w:r>
          <w:rPr>
            <w:rStyle w:val="Hyperlink"/>
          </w:rPr>
          <w:t xml:space="preserve">https://doi.org/10.1016/j.cpr.2016.04.010</w:t>
        </w:r>
      </w:hyperlink>
    </w:p>
    <w:bookmarkEnd w:id="160"/>
    <w:bookmarkStart w:id="16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1"/>
    <w:bookmarkStart w:id="163"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2">
        <w:r>
          <w:rPr>
            <w:rStyle w:val="Hyperlink"/>
          </w:rPr>
          <w:t xml:space="preserve">https://doi.org/10.1146/annurev-psych-010418-103358</w:t>
        </w:r>
      </w:hyperlink>
    </w:p>
    <w:bookmarkEnd w:id="163"/>
    <w:bookmarkStart w:id="165"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4">
        <w:r>
          <w:rPr>
            <w:rStyle w:val="Hyperlink"/>
          </w:rPr>
          <w:t xml:space="preserve">https://doi.org/10.1002/cpp.2489</w:t>
        </w:r>
      </w:hyperlink>
    </w:p>
    <w:bookmarkEnd w:id="165"/>
    <w:bookmarkStart w:id="167"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6">
        <w:r>
          <w:rPr>
            <w:rStyle w:val="Hyperlink"/>
          </w:rPr>
          <w:t xml:space="preserve">https://doi.org/10.1186/s12916-024-03569-8</w:t>
        </w:r>
      </w:hyperlink>
    </w:p>
    <w:bookmarkEnd w:id="167"/>
    <w:bookmarkStart w:id="16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8">
        <w:r>
          <w:rPr>
            <w:rStyle w:val="Hyperlink"/>
          </w:rPr>
          <w:t xml:space="preserve">https://doi.org/10.1016/j.jbtep.2019.01.006</w:t>
        </w:r>
      </w:hyperlink>
    </w:p>
    <w:bookmarkEnd w:id="169"/>
    <w:bookmarkStart w:id="17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0">
        <w:r>
          <w:rPr>
            <w:rStyle w:val="Hyperlink"/>
          </w:rPr>
          <w:t xml:space="preserve">https://doi.org/10.1038/nn.2271</w:t>
        </w:r>
      </w:hyperlink>
    </w:p>
    <w:bookmarkEnd w:id="171"/>
    <w:bookmarkStart w:id="173"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2">
        <w:r>
          <w:rPr>
            <w:rStyle w:val="Hyperlink"/>
          </w:rPr>
          <w:t xml:space="preserve">https://doi.org/10.1523/JNEUROSCI.3378-14.2015</w:t>
        </w:r>
      </w:hyperlink>
    </w:p>
    <w:bookmarkEnd w:id="173"/>
    <w:bookmarkStart w:id="17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4">
        <w:r>
          <w:rPr>
            <w:rStyle w:val="Hyperlink"/>
          </w:rPr>
          <w:t xml:space="preserve">https://doi.org/10.1002/acp.1611</w:t>
        </w:r>
      </w:hyperlink>
    </w:p>
    <w:bookmarkEnd w:id="175"/>
    <w:bookmarkStart w:id="17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6">
        <w:r>
          <w:rPr>
            <w:rStyle w:val="Hyperlink"/>
          </w:rPr>
          <w:t xml:space="preserve">https://doi.org/10.1037/xge0000598</w:t>
        </w:r>
      </w:hyperlink>
    </w:p>
    <w:bookmarkEnd w:id="177"/>
    <w:bookmarkStart w:id="17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8">
        <w:r>
          <w:rPr>
            <w:rStyle w:val="Hyperlink"/>
          </w:rPr>
          <w:t xml:space="preserve">https://doi.org/10.1177/2167702621998315</w:t>
        </w:r>
      </w:hyperlink>
    </w:p>
    <w:bookmarkEnd w:id="179"/>
    <w:bookmarkStart w:id="1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bookmarkEnd w:id="181"/>
    <w:bookmarkStart w:id="18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2">
        <w:r>
          <w:rPr>
            <w:rStyle w:val="Hyperlink"/>
          </w:rPr>
          <w:t xml:space="preserve">https://osf.io/preprints/psyarxiv/m3pnz_v1/</w:t>
        </w:r>
      </w:hyperlink>
    </w:p>
    <w:bookmarkEnd w:id="183"/>
    <w:bookmarkStart w:id="18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4">
        <w:r>
          <w:rPr>
            <w:rStyle w:val="Hyperlink"/>
          </w:rPr>
          <w:t xml:space="preserve">https://doi.org/10.1016/j.jml.2015.10.002</w:t>
        </w:r>
      </w:hyperlink>
    </w:p>
    <w:bookmarkEnd w:id="185"/>
    <w:bookmarkStart w:id="18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6">
        <w:r>
          <w:rPr>
            <w:rStyle w:val="Hyperlink"/>
          </w:rPr>
          <w:t xml:space="preserve">https://doi.org/10.1037/a0014420</w:t>
        </w:r>
      </w:hyperlink>
    </w:p>
    <w:bookmarkEnd w:id="187"/>
    <w:bookmarkStart w:id="18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8">
        <w:r>
          <w:rPr>
            <w:rStyle w:val="Hyperlink"/>
          </w:rPr>
          <w:t xml:space="preserve">https://doi.org/10.1016/j.neuropsychologia.2009.02.013</w:t>
        </w:r>
      </w:hyperlink>
    </w:p>
    <w:bookmarkEnd w:id="189"/>
    <w:bookmarkStart w:id="19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0">
        <w:r>
          <w:rPr>
            <w:rStyle w:val="Hyperlink"/>
          </w:rPr>
          <w:t xml:space="preserve">https://doi.org/10.1038/s41380-023-02062-7</w:t>
        </w:r>
      </w:hyperlink>
    </w:p>
    <w:bookmarkEnd w:id="191"/>
    <w:bookmarkStart w:id="19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2">
        <w:r>
          <w:rPr>
            <w:rStyle w:val="Hyperlink"/>
          </w:rPr>
          <w:t xml:space="preserve">https://doi.org/10.1111/j.1467-9280.2005.01634.x</w:t>
        </w:r>
      </w:hyperlink>
    </w:p>
    <w:bookmarkEnd w:id="193"/>
    <w:bookmarkStart w:id="19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4">
        <w:r>
          <w:rPr>
            <w:rStyle w:val="Hyperlink"/>
          </w:rPr>
          <w:t xml:space="preserve">https://doi.org/10.3758/s13423-011-0086-9</w:t>
        </w:r>
      </w:hyperlink>
    </w:p>
    <w:bookmarkEnd w:id="195"/>
    <w:bookmarkStart w:id="19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6">
        <w:r>
          <w:rPr>
            <w:rStyle w:val="Hyperlink"/>
          </w:rPr>
          <w:t xml:space="preserve">https://doi.org/10.1037/a0013396</w:t>
        </w:r>
      </w:hyperlink>
    </w:p>
    <w:bookmarkEnd w:id="197"/>
    <w:bookmarkStart w:id="199" w:name="ref-singh2023daily"/>
    <w:p>
      <w:pPr>
        <w:pStyle w:val="Bibliography"/>
      </w:pPr>
      <w:r>
        <w:t xml:space="preserve">Singh, L., Ahmed Pihlgren, S., Holmes, E. A., &amp; Moulds, M. L. (2023). Using a daily diary for monitoring intrusive memories of trauma: A translational data synthesis study exploring convergent validity.</w:t>
      </w:r>
      <w:r>
        <w:t xml:space="preserve"> </w:t>
      </w:r>
      <w:r>
        <w:rPr>
          <w:i/>
          <w:iCs/>
        </w:rPr>
        <w:t xml:space="preserve">International Journal of Methods in Psychiatric Research</w:t>
      </w:r>
      <w:r>
        <w:t xml:space="preserve">,</w:t>
      </w:r>
      <w:r>
        <w:t xml:space="preserve"> </w:t>
      </w:r>
      <w:r>
        <w:rPr>
          <w:i/>
          <w:iCs/>
        </w:rPr>
        <w:t xml:space="preserve">32</w:t>
      </w:r>
      <w:r>
        <w:t xml:space="preserve">(1), e1936.</w:t>
      </w:r>
      <w:r>
        <w:t xml:space="preserve"> </w:t>
      </w:r>
      <w:hyperlink r:id="rId198">
        <w:r>
          <w:rPr>
            <w:rStyle w:val="Hyperlink"/>
          </w:rPr>
          <w:t xml:space="preserve">https://doi.org/10.1002/mpr.1936</w:t>
        </w:r>
      </w:hyperlink>
    </w:p>
    <w:bookmarkEnd w:id="199"/>
    <w:bookmarkStart w:id="20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00">
        <w:r>
          <w:rPr>
            <w:rStyle w:val="Hyperlink"/>
          </w:rPr>
          <w:t xml:space="preserve">https://doi.org/10.1037/rev0000132</w:t>
        </w:r>
      </w:hyperlink>
    </w:p>
    <w:bookmarkEnd w:id="201"/>
    <w:bookmarkStart w:id="203"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2">
        <w:r>
          <w:rPr>
            <w:rStyle w:val="Hyperlink"/>
          </w:rPr>
          <w:t xml:space="preserve">https://doi.org/10.1038/s41562-024-01956-y</w:t>
        </w:r>
      </w:hyperlink>
    </w:p>
    <w:bookmarkEnd w:id="203"/>
    <w:bookmarkStart w:id="205"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4">
        <w:r>
          <w:rPr>
            <w:rStyle w:val="Hyperlink"/>
          </w:rPr>
          <w:t xml:space="preserve">https://doi.org/10.1525/collabra.130791</w:t>
        </w:r>
      </w:hyperlink>
    </w:p>
    <w:bookmarkEnd w:id="205"/>
    <w:bookmarkStart w:id="207"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6">
        <w:r>
          <w:rPr>
            <w:rStyle w:val="Hyperlink"/>
          </w:rPr>
          <w:t xml:space="preserve">https://doi.org/10.1037/0278-7393.32.4.792</w:t>
        </w:r>
      </w:hyperlink>
    </w:p>
    <w:bookmarkEnd w:id="207"/>
    <w:bookmarkStart w:id="209"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8">
        <w:r>
          <w:rPr>
            <w:rStyle w:val="Hyperlink"/>
          </w:rPr>
          <w:t xml:space="preserve">https://doi.org/10.1037/rev0000505</w:t>
        </w:r>
      </w:hyperlink>
    </w:p>
    <w:bookmarkEnd w:id="209"/>
    <w:bookmarkEnd w:id="210"/>
    <w:bookmarkEnd w:id="21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98" Target="https://doi.org/10.1002/mpr.1936"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6"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200"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8"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2"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4"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98" Target="https://doi.org/10.1002/mpr.1936"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6"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200"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8"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2"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4"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2026-06-30T13:38:57Z</dcterms:created>
  <dcterms:modified xsi:type="dcterms:W3CDTF">2026-06-30T13:38:57Z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