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using an emotional Context Maintenance and Retrieval (eCMR) model, asking whether context reinstatement, competitor learning, and retrieval control can generate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binds task representations to overlapping context.</w:t>
      </w:r>
      <w:r>
        <w:t xml:space="preserve"> </w:t>
      </w:r>
      <w:r>
        <w:t xml:space="preserve">When later retrieval contexts cue both film representations and task competitors, uncontrolled retrieval from context cues is less likely to sample trauma-film items in intrusion-like retrieval, even though film-item strength is not reduced.</w:t>
      </w:r>
      <w:r>
        <w:t xml:space="preserve"> </w:t>
      </w:r>
      <w:r>
        <w:t xml:space="preserve">Deliberate recall is less vulnerable when task goals and control processes reinstate film context and prioritize film items over competitors for retrieval; film-specific cues can also steer retrieval toward film context across test formats.</w:t>
      </w:r>
      <w:r>
        <w:t xml:space="preserve"> </w:t>
      </w:r>
      <w:r>
        <w:t xml:space="preserve">Together, the simulations reproduce selective impairment of intrusion-like retrieval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uncontrolled and controlled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or after a later film reminder, subsequent intrusions can be reduced while voluntary memory for the same material shows little measurable impairment</w:t>
      </w:r>
      <w:r>
        <w:t xml:space="preserve"> </w:t>
      </w:r>
      <w:r>
        <w:t xml:space="preserve">(</w:t>
      </w:r>
      <w:hyperlink w:anchor="ref-asselbergs2023systematic">
        <w:r>
          <w:rPr>
            <w:rStyle w:val="Hyperlink"/>
          </w:rPr>
          <w:t xml:space="preserve">Asselbergs et al., 2023</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Even for memories of real-life traumatic events, including motor vehicle accidents, emergency caesarean section, and war-related trauma, the same post-reminder intervention can reduce intrusions while leaving deliberate recall relatively intact</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interpretation treats the selective interference effect as evidence for separable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Under this dual-representation account, traumatic experience produces distinct sensory and contextual memory traces — the first supporting involuntary re-experiencing,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A visuospatial interference task competes for the perceptual processing resources needed to consolidate the sensory trace, reducing later intrusions while leaving the contextual trace and the voluntary memory it supports relatively intact</w:t>
      </w:r>
      <w:r>
        <w:t xml:space="preserve"> </w:t>
      </w:r>
      <w:r>
        <w:t xml:space="preserve">(</w:t>
      </w:r>
      <w:hyperlink w:anchor="ref-holmes2009can">
        <w:r>
          <w:rPr>
            <w:rStyle w:val="Hyperlink"/>
          </w:rPr>
          <w:t xml:space="preserve">Holmes et al., 2009</w:t>
        </w:r>
      </w:hyperlink>
      <w:r>
        <w:t xml:space="preserve">;</w:t>
      </w:r>
      <w:r>
        <w:t xml:space="preserve"> </w:t>
      </w:r>
      <w:hyperlink w:anchor="ref-james2015computer">
        <w:r>
          <w:rPr>
            <w:rStyle w:val="Hyperlink"/>
          </w:rPr>
          <w:t xml:space="preserve">James et al., 2015</w:t>
        </w:r>
      </w:hyperlink>
      <w:r>
        <w:t xml:space="preserve">)</w:t>
      </w:r>
      <w:r>
        <w:t xml:space="preserve">.</w:t>
      </w:r>
      <w:r>
        <w:t xml:space="preserve"> </w:t>
      </w:r>
      <w:r>
        <w:t xml:space="preserve">When the intervention follows a reminder at longer delays, the account invokes reconsolidation: the reminder reactivates the sensory trace, and the interfering task disrupts its restabilization during a time-limited window</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The account thus ties selective interference to separate memory representations, modality-specific disruption of one trace, and a discrete reconsolidation window.</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within a retrieved-context framework drawing on the emotional Context Maintenance and Retrieval model family, including eCMR and CMR3</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w:t>
      </w:r>
      <w:r>
        <w:t xml:space="preserve"> </w:t>
      </w:r>
      <w:r>
        <w:t xml:space="preserve">Emotional extensions adds source-like emotional context and emotion-dependent binding strength, allowing the same architecture to capture how emotional content changes the organization and success of recall</w:t>
      </w:r>
      <w:r>
        <w:t xml:space="preserve"> </w:t>
      </w:r>
      <w:r>
        <w:t xml:space="preserve">Cohen &amp; Kahana (</w:t>
      </w:r>
      <w:hyperlink w:anchor="ref-cohen2022memory">
        <w:r>
          <w:rPr>
            <w:rStyle w:val="Hyperlink"/>
          </w:rPr>
          <w:t xml:space="preserve">2022</w:t>
        </w:r>
      </w:hyperlink>
      <w:r>
        <w:t xml:space="preserve">)</w:t>
      </w:r>
      <w:r>
        <w:t xml:space="preserve">.</w:t>
      </w:r>
      <w:r>
        <w:t xml:space="preserve"> </w:t>
      </w:r>
      <w:r>
        <w:t xml:space="preserve">Variants also model strategic control over memory search, allowing the model to capture how retrieval goals and task demands to shape recall</w:t>
      </w:r>
      <w:r>
        <w:t xml:space="preserve"> </w:t>
      </w:r>
      <w:r>
        <w:t xml:space="preserve">(</w:t>
      </w:r>
      <w:hyperlink w:anchor="ref-cohen2022memory">
        <w:r>
          <w:rPr>
            <w:rStyle w:val="Hyperlink"/>
          </w:rPr>
          <w:t xml:space="preserve">Cohen &amp; Kahana, 2022</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Together, these commitments make the framework a principled setting for testing whether selective interference can arise within a single emotional episodic-memory system.</w:t>
      </w:r>
    </w:p>
    <w:p>
      <w:pPr>
        <w:pStyle w:val="BodyText"/>
      </w:pPr>
      <w:r>
        <w:t xml:space="preserve">Consolidation and reconsolidation accounts locate selective interference in a change to the availability of the film representation after encoding or reminder reactivation.</w:t>
      </w:r>
      <w:r>
        <w:t xml:space="preserve"> </w:t>
      </w:r>
      <w:r>
        <w:t xml:space="preserve">A context-binding account shifts the explanatory focus to the retrieval consequences of encoding later experiences in contexts that overlap with the original event</w:t>
      </w:r>
      <w:r>
        <w:t xml:space="preserve"> </w:t>
      </w:r>
      <w:r>
        <w:t xml:space="preserve">(</w:t>
      </w:r>
      <w:hyperlink w:anchor="ref-yonelinas2019contextual">
        <w:r>
          <w:rPr>
            <w:rStyle w:val="Hyperlink"/>
          </w:rPr>
          <w:t xml:space="preserve">Yonelinas et al., 2019</w:t>
        </w:r>
      </w:hyperlink>
      <w:r>
        <w:t xml:space="preserve">)</w:t>
      </w:r>
      <w:r>
        <w:t xml:space="preserve">.</w:t>
      </w:r>
      <w:r>
        <w:t xml:space="preserve"> </w:t>
      </w:r>
      <w:r>
        <w:t xml:space="preserve">For selective interference, our model treats the original event,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Later retrieval is driven by the current context state as a cue, so competition depends on how strongly different episodes are associated with overlapping regions of context.</w:t>
      </w:r>
      <w:r>
        <w:t xml:space="preserve"> </w:t>
      </w:r>
      <w:r>
        <w:t xml:space="preserve">Deliberate recall is more resistant because it combines a more target-oriented initial cue with a sharper decision rule, both of which favor film items over competitors.</w:t>
      </w:r>
      <w:r>
        <w:t xml:space="preserve"> </w:t>
      </w:r>
      <w:r>
        <w:t xml:space="preserve">The dissociation between involuntary and voluntary recall is thus attributed to differences in retrieval state applied to the same stored episodes.</w:t>
      </w:r>
    </w:p>
    <w:bookmarkEnd w:id="24"/>
    <w:bookmarkStart w:id="25" w:name="empirical-and-theoretical-target"/>
    <w:p>
      <w:pPr>
        <w:pStyle w:val="Heading1"/>
      </w:pPr>
      <w:r>
        <w:t xml:space="preserve">Empirical and Theoretical Target</w:t>
      </w:r>
    </w:p>
    <w:bookmarkEnd w:id="25"/>
    <w:bookmarkStart w:id="26" w:name="Xc30ecb24643046c4752102619295de1bc2871c8"/>
    <w:p>
      <w:pPr>
        <w:pStyle w:val="Heading1"/>
      </w:pPr>
      <w:r>
        <w:t xml:space="preserve">A Retrieved-Context Account of Selective Interference</w:t>
      </w:r>
    </w:p>
    <w:bookmarkEnd w:id="26"/>
    <w:bookmarkStart w:id="27" w:name="model-and-paradigm"/>
    <w:p>
      <w:pPr>
        <w:pStyle w:val="Heading1"/>
      </w:pPr>
      <w:r>
        <w:t xml:space="preserve">Model and Paradigm</w:t>
      </w:r>
    </w:p>
    <w:bookmarkEnd w:id="27"/>
    <w:bookmarkStart w:id="28" w:name="simulation-overview"/>
    <w:p>
      <w:pPr>
        <w:pStyle w:val="Heading1"/>
      </w:pPr>
      <w:r>
        <w:t xml:space="preserve">Simulation Overview</w:t>
      </w:r>
    </w:p>
    <w:bookmarkEnd w:id="28"/>
    <w:bookmarkStart w:id="34" w:name="results"/>
    <w:p>
      <w:pPr>
        <w:pStyle w:val="Heading1"/>
      </w:pPr>
      <w:r>
        <w:t xml:space="preserve">Results</w:t>
      </w:r>
    </w:p>
    <w:bookmarkStart w:id="29" w:name="Xb1e336b17d273462eba8ab1d0a00c4af4651637"/>
    <w:p>
      <w:pPr>
        <w:pStyle w:val="Heading2"/>
      </w:pPr>
      <w:r>
        <w:t xml:space="preserve">Simulation 1: Selective Interference Across Retrieval Configurations</w:t>
      </w:r>
    </w:p>
    <w:bookmarkEnd w:id="29"/>
    <w:bookmarkStart w:id="30" w:name="X8e9de123db9ab8eabe50264b6aea07aefa73154"/>
    <w:p>
      <w:pPr>
        <w:pStyle w:val="Heading2"/>
      </w:pPr>
      <w:r>
        <w:t xml:space="preserve">Simulation 2: Competitor Encoding in Reinstated Context</w:t>
      </w:r>
    </w:p>
    <w:bookmarkEnd w:id="30"/>
    <w:bookmarkStart w:id="31" w:name="Xbba1805d3fef72a2a69471023cd30942b96eaab"/>
    <w:p>
      <w:pPr>
        <w:pStyle w:val="Heading2"/>
      </w:pPr>
      <w:r>
        <w:t xml:space="preserve">Simulation 3: Contextual Overlap Versus Generic Task Load</w:t>
      </w:r>
    </w:p>
    <w:bookmarkEnd w:id="31"/>
    <w:bookmarkStart w:id="32" w:name="simulation-4-test-format-heterogeneity"/>
    <w:p>
      <w:pPr>
        <w:pStyle w:val="Heading2"/>
      </w:pPr>
      <w:r>
        <w:t xml:space="preserve">Simulation 4: Test-Format Heterogeneity</w:t>
      </w:r>
    </w:p>
    <w:bookmarkEnd w:id="32"/>
    <w:bookmarkStart w:id="33" w:name="robustness-and-diagnostic-checks"/>
    <w:p>
      <w:pPr>
        <w:pStyle w:val="Heading2"/>
      </w:pPr>
      <w:r>
        <w:t xml:space="preserve">Robustness and Diagnostic Checks</w:t>
      </w:r>
    </w:p>
    <w:bookmarkEnd w:id="33"/>
    <w:bookmarkEnd w:id="34"/>
    <w:bookmarkStart w:id="35" w:name="general-discussion"/>
    <w:p>
      <w:pPr>
        <w:pStyle w:val="Heading1"/>
      </w:pPr>
      <w:r>
        <w:t xml:space="preserve">General Discussion</w:t>
      </w:r>
    </w:p>
    <w:bookmarkEnd w:id="35"/>
    <w:bookmarkStart w:id="95" w:name="references"/>
    <w:p>
      <w:pPr>
        <w:pStyle w:val="Heading1"/>
      </w:pPr>
      <w:r>
        <w:t xml:space="preserve">References</w:t>
      </w:r>
    </w:p>
    <w:bookmarkStart w:id="94" w:name="refs"/>
    <w:bookmarkStart w:id="37"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36">
        <w:r>
          <w:rPr>
            <w:rStyle w:val="Hyperlink"/>
          </w:rPr>
          <w:t xml:space="preserve">https://doi.org/10.1016/j.jpsychires.2023.01.028</w:t>
        </w:r>
      </w:hyperlink>
    </w:p>
    <w:bookmarkEnd w:id="37"/>
    <w:bookmarkStart w:id="39"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38">
        <w:r>
          <w:rPr>
            <w:rStyle w:val="Hyperlink"/>
          </w:rPr>
          <w:t xml:space="preserve">https://doi.org/10.1037/a0033722</w:t>
        </w:r>
      </w:hyperlink>
    </w:p>
    <w:bookmarkEnd w:id="39"/>
    <w:bookmarkStart w:id="41"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40">
        <w:r>
          <w:rPr>
            <w:rStyle w:val="Hyperlink"/>
          </w:rPr>
          <w:t xml:space="preserve">https://doi.org/10.1037/0033-295X.103.4.670</w:t>
        </w:r>
      </w:hyperlink>
    </w:p>
    <w:bookmarkEnd w:id="41"/>
    <w:bookmarkStart w:id="43"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42">
        <w:r>
          <w:rPr>
            <w:rStyle w:val="Hyperlink"/>
          </w:rPr>
          <w:t xml:space="preserve">https://doi.org/10.1037/a0018113</w:t>
        </w:r>
      </w:hyperlink>
    </w:p>
    <w:bookmarkEnd w:id="43"/>
    <w:bookmarkStart w:id="45"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44">
        <w:r>
          <w:rPr>
            <w:rStyle w:val="Hyperlink"/>
          </w:rPr>
          <w:t xml:space="preserve">https://doi.org/10.1037/rev0000334</w:t>
        </w:r>
      </w:hyperlink>
    </w:p>
    <w:bookmarkEnd w:id="45"/>
    <w:bookmarkStart w:id="47"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46">
        <w:r>
          <w:rPr>
            <w:rStyle w:val="Hyperlink"/>
          </w:rPr>
          <w:t xml:space="preserve">https://doi.org/10.1016/j.jbtep.2011.10.008</w:t>
        </w:r>
      </w:hyperlink>
    </w:p>
    <w:bookmarkEnd w:id="47"/>
    <w:bookmarkStart w:id="4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48">
        <w:r>
          <w:rPr>
            <w:rStyle w:val="Hyperlink"/>
          </w:rPr>
          <w:t xml:space="preserve">https://doi.org/10.1016/S0005-7967(99)00123-0</w:t>
        </w:r>
      </w:hyperlink>
    </w:p>
    <w:bookmarkEnd w:id="49"/>
    <w:bookmarkStart w:id="5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50">
        <w:r>
          <w:rPr>
            <w:rStyle w:val="Hyperlink"/>
          </w:rPr>
          <w:t xml:space="preserve">https://doi.org/10.1016/j.actpsy.2007.11.002</w:t>
        </w:r>
      </w:hyperlink>
    </w:p>
    <w:bookmarkEnd w:id="51"/>
    <w:bookmarkStart w:id="5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52">
        <w:r>
          <w:rPr>
            <w:rStyle w:val="Hyperlink"/>
          </w:rPr>
          <w:t xml:space="preserve">https://doi.org/10.1037/0096-3445.133.1.3</w:t>
        </w:r>
      </w:hyperlink>
    </w:p>
    <w:bookmarkEnd w:id="53"/>
    <w:bookmarkStart w:id="5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54">
        <w:r>
          <w:rPr>
            <w:rStyle w:val="Hyperlink"/>
          </w:rPr>
          <w:t xml:space="preserve">https://doi.org/10.1371/journal.pone.0004153</w:t>
        </w:r>
      </w:hyperlink>
    </w:p>
    <w:bookmarkEnd w:id="55"/>
    <w:bookmarkStart w:id="5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56">
        <w:r>
          <w:rPr>
            <w:rStyle w:val="Hyperlink"/>
          </w:rPr>
          <w:t xml:space="preserve">https://doi.org/10.1371/journal.pone.0013706</w:t>
        </w:r>
      </w:hyperlink>
    </w:p>
    <w:bookmarkEnd w:id="57"/>
    <w:bookmarkStart w:id="5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58">
        <w:r>
          <w:rPr>
            <w:rStyle w:val="Hyperlink"/>
          </w:rPr>
          <w:t xml:space="preserve">https://doi.org/10.1016/j.brat.2017.03.018</w:t>
        </w:r>
      </w:hyperlink>
    </w:p>
    <w:bookmarkEnd w:id="59"/>
    <w:bookmarkStart w:id="61"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60">
        <w:r>
          <w:rPr>
            <w:rStyle w:val="Hyperlink"/>
          </w:rPr>
          <w:t xml:space="preserve">https://doi.org/10.1006/jmps.2001.1388</w:t>
        </w:r>
      </w:hyperlink>
    </w:p>
    <w:bookmarkEnd w:id="61"/>
    <w:bookmarkStart w:id="6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62">
        <w:r>
          <w:rPr>
            <w:rStyle w:val="Hyperlink"/>
          </w:rPr>
          <w:t xml:space="preserve">https://doi.org/10.1038/mp.2017.23</w:t>
        </w:r>
      </w:hyperlink>
    </w:p>
    <w:bookmarkEnd w:id="63"/>
    <w:bookmarkStart w:id="65"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64">
        <w:r>
          <w:rPr>
            <w:rStyle w:val="Hyperlink"/>
          </w:rPr>
          <w:t xml:space="preserve">https://doi.org/10.1016/j.cpr.2018.08.005</w:t>
        </w:r>
      </w:hyperlink>
    </w:p>
    <w:bookmarkEnd w:id="65"/>
    <w:bookmarkStart w:id="67"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66">
        <w:r>
          <w:rPr>
            <w:rStyle w:val="Hyperlink"/>
          </w:rPr>
          <w:t xml:space="preserve">https://doi.org/10.1177/0956797615583071</w:t>
        </w:r>
      </w:hyperlink>
    </w:p>
    <w:bookmarkEnd w:id="67"/>
    <w:bookmarkStart w:id="69"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68">
        <w:r>
          <w:rPr>
            <w:rStyle w:val="Hyperlink"/>
          </w:rPr>
          <w:t xml:space="preserve">https://doi.org/10.1016/j.cpr.2016.04.010</w:t>
        </w:r>
      </w:hyperlink>
    </w:p>
    <w:bookmarkEnd w:id="69"/>
    <w:bookmarkStart w:id="71"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70">
        <w:r>
          <w:rPr>
            <w:rStyle w:val="Hyperlink"/>
          </w:rPr>
          <w:t xml:space="preserve">https://doi.org/10.1002/cpp.2489</w:t>
        </w:r>
      </w:hyperlink>
    </w:p>
    <w:bookmarkEnd w:id="71"/>
    <w:bookmarkStart w:id="73"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72">
        <w:r>
          <w:rPr>
            <w:rStyle w:val="Hyperlink"/>
          </w:rPr>
          <w:t xml:space="preserve">https://doi.org/10.1016/j.jbtep.2019.01.006</w:t>
        </w:r>
      </w:hyperlink>
    </w:p>
    <w:bookmarkEnd w:id="73"/>
    <w:bookmarkStart w:id="75"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74">
        <w:r>
          <w:rPr>
            <w:rStyle w:val="Hyperlink"/>
          </w:rPr>
          <w:t xml:space="preserve">https://doi.org/10.1038/nn.2271</w:t>
        </w:r>
      </w:hyperlink>
    </w:p>
    <w:bookmarkEnd w:id="75"/>
    <w:bookmarkStart w:id="77"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76">
        <w:r>
          <w:rPr>
            <w:rStyle w:val="Hyperlink"/>
          </w:rPr>
          <w:t xml:space="preserve">https://doi.org/10.1002/acp.1611</w:t>
        </w:r>
      </w:hyperlink>
    </w:p>
    <w:bookmarkEnd w:id="77"/>
    <w:bookmarkStart w:id="79"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78">
        <w:r>
          <w:rPr>
            <w:rStyle w:val="Hyperlink"/>
          </w:rPr>
          <w:t xml:space="preserve">https://doi.org/10.1037/xge0000598</w:t>
        </w:r>
      </w:hyperlink>
    </w:p>
    <w:bookmarkEnd w:id="79"/>
    <w:bookmarkStart w:id="8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80">
        <w:r>
          <w:rPr>
            <w:rStyle w:val="Hyperlink"/>
          </w:rPr>
          <w:t xml:space="preserve">https://doi.org/10.1037/a0039036</w:t>
        </w:r>
      </w:hyperlink>
    </w:p>
    <w:bookmarkEnd w:id="81"/>
    <w:bookmarkStart w:id="83" w:name="ref-polyn2009context"/>
    <w:p>
      <w:pPr>
        <w:pStyle w:val="Bibliography"/>
      </w:pPr>
      <w:r>
        <w:t xml:space="preserve">Polyn, S. M., Norman, K. A., &amp; Kahana, M. J. (2009).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82">
        <w:r>
          <w:rPr>
            <w:rStyle w:val="Hyperlink"/>
          </w:rPr>
          <w:t xml:space="preserve">https://doi.org/10.1037/a0014420</w:t>
        </w:r>
      </w:hyperlink>
    </w:p>
    <w:bookmarkEnd w:id="83"/>
    <w:bookmarkStart w:id="85"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84">
        <w:r>
          <w:rPr>
            <w:rStyle w:val="Hyperlink"/>
          </w:rPr>
          <w:t xml:space="preserve">https://doi.org/10.1037/a0013396</w:t>
        </w:r>
      </w:hyperlink>
    </w:p>
    <w:bookmarkEnd w:id="85"/>
    <w:bookmarkStart w:id="87"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86">
        <w:r>
          <w:rPr>
            <w:rStyle w:val="Hyperlink"/>
          </w:rPr>
          <w:t xml:space="preserve">https://doi.org/10.1037/rev0000132</w:t>
        </w:r>
      </w:hyperlink>
    </w:p>
    <w:bookmarkEnd w:id="87"/>
    <w:bookmarkStart w:id="89"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88">
        <w:r>
          <w:rPr>
            <w:rStyle w:val="Hyperlink"/>
          </w:rPr>
          <w:t xml:space="preserve">https://doi.org/10.1038/s41562-024-01956-y</w:t>
        </w:r>
      </w:hyperlink>
    </w:p>
    <w:bookmarkEnd w:id="89"/>
    <w:bookmarkStart w:id="91"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90">
        <w:r>
          <w:rPr>
            <w:rStyle w:val="Hyperlink"/>
          </w:rPr>
          <w:t xml:space="preserve">https://doi.org/10.1525/collabra.130791</w:t>
        </w:r>
      </w:hyperlink>
    </w:p>
    <w:bookmarkEnd w:id="91"/>
    <w:bookmarkStart w:id="93"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92">
        <w:r>
          <w:rPr>
            <w:rStyle w:val="Hyperlink"/>
          </w:rPr>
          <w:t xml:space="preserve">https://doi.org/10.1038/s41583-019-0150-4</w:t>
        </w:r>
      </w:hyperlink>
    </w:p>
    <w:bookmarkEnd w:id="93"/>
    <w:bookmarkEnd w:id="94"/>
    <w:bookmarkEnd w:id="9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76" Target="https://doi.org/10.1002/acp.1611" TargetMode="External" /><Relationship Type="http://schemas.openxmlformats.org/officeDocument/2006/relationships/hyperlink" Id="rId70" Target="https://doi.org/10.1002/cpp.2489" TargetMode="External" /><Relationship Type="http://schemas.openxmlformats.org/officeDocument/2006/relationships/hyperlink" Id="rId60" Target="https://doi.org/10.1006/jmps.2001.1388" TargetMode="External" /><Relationship Type="http://schemas.openxmlformats.org/officeDocument/2006/relationships/hyperlink" Id="rId48" Target="https://doi.org/10.1016/S0005-7967(99)00123-0" TargetMode="External" /><Relationship Type="http://schemas.openxmlformats.org/officeDocument/2006/relationships/hyperlink" Id="rId50" Target="https://doi.org/10.1016/j.actpsy.2007.11.002" TargetMode="External" /><Relationship Type="http://schemas.openxmlformats.org/officeDocument/2006/relationships/hyperlink" Id="rId58" Target="https://doi.org/10.1016/j.brat.2017.03.018" TargetMode="External" /><Relationship Type="http://schemas.openxmlformats.org/officeDocument/2006/relationships/hyperlink" Id="rId68" Target="https://doi.org/10.1016/j.cpr.2016.04.010" TargetMode="External" /><Relationship Type="http://schemas.openxmlformats.org/officeDocument/2006/relationships/hyperlink" Id="rId64" Target="https://doi.org/10.1016/j.cpr.2018.08.005" TargetMode="External" /><Relationship Type="http://schemas.openxmlformats.org/officeDocument/2006/relationships/hyperlink" Id="rId46" Target="https://doi.org/10.1016/j.jbtep.2011.10.008" TargetMode="External" /><Relationship Type="http://schemas.openxmlformats.org/officeDocument/2006/relationships/hyperlink" Id="rId72" Target="https://doi.org/10.1016/j.jbtep.2019.01.006" TargetMode="External" /><Relationship Type="http://schemas.openxmlformats.org/officeDocument/2006/relationships/hyperlink" Id="rId36" Target="https://doi.org/10.1016/j.jpsychires.2023.01.028" TargetMode="External" /><Relationship Type="http://schemas.openxmlformats.org/officeDocument/2006/relationships/hyperlink" Id="rId40" Target="https://doi.org/10.1037/0033-295X.103.4.670" TargetMode="External" /><Relationship Type="http://schemas.openxmlformats.org/officeDocument/2006/relationships/hyperlink" Id="rId52" Target="https://doi.org/10.1037/0096-3445.133.1.3" TargetMode="External" /><Relationship Type="http://schemas.openxmlformats.org/officeDocument/2006/relationships/hyperlink" Id="rId84" Target="https://doi.org/10.1037/a0013396" TargetMode="External" /><Relationship Type="http://schemas.openxmlformats.org/officeDocument/2006/relationships/hyperlink" Id="rId82" Target="https://doi.org/10.1037/a0014420" TargetMode="External" /><Relationship Type="http://schemas.openxmlformats.org/officeDocument/2006/relationships/hyperlink" Id="rId42" Target="https://doi.org/10.1037/a0018113" TargetMode="External" /><Relationship Type="http://schemas.openxmlformats.org/officeDocument/2006/relationships/hyperlink" Id="rId38" Target="https://doi.org/10.1037/a0033722" TargetMode="External" /><Relationship Type="http://schemas.openxmlformats.org/officeDocument/2006/relationships/hyperlink" Id="rId80" Target="https://doi.org/10.1037/a0039036" TargetMode="External" /><Relationship Type="http://schemas.openxmlformats.org/officeDocument/2006/relationships/hyperlink" Id="rId86" Target="https://doi.org/10.1037/rev0000132" TargetMode="External" /><Relationship Type="http://schemas.openxmlformats.org/officeDocument/2006/relationships/hyperlink" Id="rId44" Target="https://doi.org/10.1037/rev0000334" TargetMode="External" /><Relationship Type="http://schemas.openxmlformats.org/officeDocument/2006/relationships/hyperlink" Id="rId78" Target="https://doi.org/10.1037/xge0000598" TargetMode="External" /><Relationship Type="http://schemas.openxmlformats.org/officeDocument/2006/relationships/hyperlink" Id="rId62" Target="https://doi.org/10.1038/mp.2017.23" TargetMode="External" /><Relationship Type="http://schemas.openxmlformats.org/officeDocument/2006/relationships/hyperlink" Id="rId74" Target="https://doi.org/10.1038/nn.2271" TargetMode="External" /><Relationship Type="http://schemas.openxmlformats.org/officeDocument/2006/relationships/hyperlink" Id="rId88" Target="https://doi.org/10.1038/s41562-024-01956-y" TargetMode="External" /><Relationship Type="http://schemas.openxmlformats.org/officeDocument/2006/relationships/hyperlink" Id="rId92" Target="https://doi.org/10.1038/s41583-019-0150-4" TargetMode="External" /><Relationship Type="http://schemas.openxmlformats.org/officeDocument/2006/relationships/hyperlink" Id="rId66" Target="https://doi.org/10.1177/0956797615583071" TargetMode="External" /><Relationship Type="http://schemas.openxmlformats.org/officeDocument/2006/relationships/hyperlink" Id="rId54" Target="https://doi.org/10.1371/journal.pone.0004153" TargetMode="External" /><Relationship Type="http://schemas.openxmlformats.org/officeDocument/2006/relationships/hyperlink" Id="rId56" Target="https://doi.org/10.1371/journal.pone.0013706" TargetMode="External" /><Relationship Type="http://schemas.openxmlformats.org/officeDocument/2006/relationships/hyperlink" Id="rId90" Target="https://doi.org/10.1525/collabra.130791"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acp.1611" TargetMode="External" /><Relationship Type="http://schemas.openxmlformats.org/officeDocument/2006/relationships/hyperlink" Id="rId70" Target="https://doi.org/10.1002/cpp.2489" TargetMode="External" /><Relationship Type="http://schemas.openxmlformats.org/officeDocument/2006/relationships/hyperlink" Id="rId60" Target="https://doi.org/10.1006/jmps.2001.1388" TargetMode="External" /><Relationship Type="http://schemas.openxmlformats.org/officeDocument/2006/relationships/hyperlink" Id="rId48" Target="https://doi.org/10.1016/S0005-7967(99)00123-0" TargetMode="External" /><Relationship Type="http://schemas.openxmlformats.org/officeDocument/2006/relationships/hyperlink" Id="rId50" Target="https://doi.org/10.1016/j.actpsy.2007.11.002" TargetMode="External" /><Relationship Type="http://schemas.openxmlformats.org/officeDocument/2006/relationships/hyperlink" Id="rId58" Target="https://doi.org/10.1016/j.brat.2017.03.018" TargetMode="External" /><Relationship Type="http://schemas.openxmlformats.org/officeDocument/2006/relationships/hyperlink" Id="rId68" Target="https://doi.org/10.1016/j.cpr.2016.04.010" TargetMode="External" /><Relationship Type="http://schemas.openxmlformats.org/officeDocument/2006/relationships/hyperlink" Id="rId64" Target="https://doi.org/10.1016/j.cpr.2018.08.005" TargetMode="External" /><Relationship Type="http://schemas.openxmlformats.org/officeDocument/2006/relationships/hyperlink" Id="rId46" Target="https://doi.org/10.1016/j.jbtep.2011.10.008" TargetMode="External" /><Relationship Type="http://schemas.openxmlformats.org/officeDocument/2006/relationships/hyperlink" Id="rId72" Target="https://doi.org/10.1016/j.jbtep.2019.01.006" TargetMode="External" /><Relationship Type="http://schemas.openxmlformats.org/officeDocument/2006/relationships/hyperlink" Id="rId36" Target="https://doi.org/10.1016/j.jpsychires.2023.01.028" TargetMode="External" /><Relationship Type="http://schemas.openxmlformats.org/officeDocument/2006/relationships/hyperlink" Id="rId40" Target="https://doi.org/10.1037/0033-295X.103.4.670" TargetMode="External" /><Relationship Type="http://schemas.openxmlformats.org/officeDocument/2006/relationships/hyperlink" Id="rId52" Target="https://doi.org/10.1037/0096-3445.133.1.3" TargetMode="External" /><Relationship Type="http://schemas.openxmlformats.org/officeDocument/2006/relationships/hyperlink" Id="rId84" Target="https://doi.org/10.1037/a0013396" TargetMode="External" /><Relationship Type="http://schemas.openxmlformats.org/officeDocument/2006/relationships/hyperlink" Id="rId82" Target="https://doi.org/10.1037/a0014420" TargetMode="External" /><Relationship Type="http://schemas.openxmlformats.org/officeDocument/2006/relationships/hyperlink" Id="rId42" Target="https://doi.org/10.1037/a0018113" TargetMode="External" /><Relationship Type="http://schemas.openxmlformats.org/officeDocument/2006/relationships/hyperlink" Id="rId38" Target="https://doi.org/10.1037/a0033722" TargetMode="External" /><Relationship Type="http://schemas.openxmlformats.org/officeDocument/2006/relationships/hyperlink" Id="rId80" Target="https://doi.org/10.1037/a0039036" TargetMode="External" /><Relationship Type="http://schemas.openxmlformats.org/officeDocument/2006/relationships/hyperlink" Id="rId86" Target="https://doi.org/10.1037/rev0000132" TargetMode="External" /><Relationship Type="http://schemas.openxmlformats.org/officeDocument/2006/relationships/hyperlink" Id="rId44" Target="https://doi.org/10.1037/rev0000334" TargetMode="External" /><Relationship Type="http://schemas.openxmlformats.org/officeDocument/2006/relationships/hyperlink" Id="rId78" Target="https://doi.org/10.1037/xge0000598" TargetMode="External" /><Relationship Type="http://schemas.openxmlformats.org/officeDocument/2006/relationships/hyperlink" Id="rId62" Target="https://doi.org/10.1038/mp.2017.23" TargetMode="External" /><Relationship Type="http://schemas.openxmlformats.org/officeDocument/2006/relationships/hyperlink" Id="rId74" Target="https://doi.org/10.1038/nn.2271" TargetMode="External" /><Relationship Type="http://schemas.openxmlformats.org/officeDocument/2006/relationships/hyperlink" Id="rId88" Target="https://doi.org/10.1038/s41562-024-01956-y" TargetMode="External" /><Relationship Type="http://schemas.openxmlformats.org/officeDocument/2006/relationships/hyperlink" Id="rId92" Target="https://doi.org/10.1038/s41583-019-0150-4" TargetMode="External" /><Relationship Type="http://schemas.openxmlformats.org/officeDocument/2006/relationships/hyperlink" Id="rId66" Target="https://doi.org/10.1177/0956797615583071" TargetMode="External" /><Relationship Type="http://schemas.openxmlformats.org/officeDocument/2006/relationships/hyperlink" Id="rId54" Target="https://doi.org/10.1371/journal.pone.0004153" TargetMode="External" /><Relationship Type="http://schemas.openxmlformats.org/officeDocument/2006/relationships/hyperlink" Id="rId56" Target="https://doi.org/10.1371/journal.pone.0013706" TargetMode="External" /><Relationship Type="http://schemas.openxmlformats.org/officeDocument/2006/relationships/hyperlink" Id="rId90" Target="https://doi.org/10.1525/collabra.1307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2026-05-19T02:56:06Z</dcterms:created>
  <dcterms:modified xsi:type="dcterms:W3CDTF">2026-05-19T02:56:06Z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