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67.png" ContentType="image/png"/>
  <Override PartName="/word/media/rId63.png" ContentType="image/png"/>
  <Override PartName="/word/media/rId72.png" ContentType="image/png"/>
  <Override PartName="/word/media/rId7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visuospatial tasks performed after film encoding or a later film reminder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unguided retrieval and deliberate recall draw on the same film and task associations but differ in how strongly retrieval is constrained toward film items.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At retrieval, overlapping context can cue both film items and task competitors, reducing the probability that film items win retrieval even though stored film-item associations remain unchanged.</w:t>
      </w:r>
      <w:r>
        <w:t xml:space="preserve"> </w:t>
      </w:r>
      <w:r>
        <w:t xml:space="preserve">Deliberate recall is less vulnerable when control settings reinstate film-associated context, sharpen selection among candidates cued by context, and limit how much off-target samples redirect later search.</w:t>
      </w:r>
      <w:r>
        <w:t xml:space="preserve"> </w:t>
      </w:r>
      <w:r>
        <w:t xml:space="preserve">Test-provided film cues can likewise update context and reduce reliance on context-guided selection.</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Our results show that selective interference can arise from retrieval dynamics in a single retrieved-context system.</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A rational analysis of episodic memory suggests that highly consequential events should be retained well enough for action-relevant details to inform later evaluation, planning, and choice</w:t>
      </w:r>
      <w:r>
        <w:t xml:space="preserve"> </w:t>
      </w:r>
      <w:r>
        <w:t xml:space="preserve">(</w:t>
      </w:r>
      <w:hyperlink w:anchor="ref-boyle2025why">
        <w:r>
          <w:rPr>
            <w:rStyle w:val="Hyperlink"/>
          </w:rPr>
          <w:t xml:space="preserve">Boyle &amp; Brown, 2025</w:t>
        </w:r>
      </w:hyperlink>
      <w:r>
        <w:t xml:space="preserve">;</w:t>
      </w:r>
      <w:r>
        <w:t xml:space="preserve"> </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concerns.</w:t>
      </w:r>
      <w:r>
        <w:t xml:space="preserve"> </w:t>
      </w:r>
      <w:r>
        <w:t xml:space="preserve">Intrusive memories after trauma suggest that durable encoding can outpace regulatory control.</w:t>
      </w:r>
      <w:r>
        <w:t xml:space="preserve"> </w:t>
      </w:r>
      <w:r>
        <w:t xml:space="preserve">In PTSD, the trauma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 </w:t>
      </w:r>
      <w:r>
        <w:t xml:space="preserve">In delayed variants, participants return after about 24 hours to 3 days, receive visual reminder cues for the film, and then complete Tetris; these reminder-plus-Tetris procedures can similarly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Two recent meta-analyses support effects of cognitive interventions on intrusive memories, although the evidence base is heterogeneous and recent null findings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r>
        <w:t xml:space="preserve"> </w:t>
      </w:r>
    </w:p>
    <w:p>
      <w:pPr>
        <w:pStyle w:val="BodyText"/>
      </w:pPr>
      <w:r>
        <w:t xml:space="preserve">One prominent family of interpretations treats the selective interference effect as evidence that intrusion-supporting memory representations are more vulnerable to interference than representations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draw on working-memory resources needed to maintain and consolidate sensory-perceptual imagery, reducing intrusion frequency while voluntary-memory measures remain relatively preserved</w:t>
      </w:r>
      <w:r>
        <w:t xml:space="preserve"> </w:t>
      </w:r>
      <w:r>
        <w:t xml:space="preserve">(</w:t>
      </w:r>
      <w:hyperlink w:anchor="ref-baddeley2000working">
        <w:r>
          <w:rPr>
            <w:rStyle w:val="Hyperlink"/>
          </w:rPr>
          <w:t xml:space="preserve">Baddeley &amp; Andrade, 2000</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Formal modeling is useful here because the verbal dissociation leaves several commitments underspecified.</w:t>
      </w:r>
      <w:r>
        <w:t xml:space="preserve"> </w:t>
      </w:r>
      <w:r>
        <w:t xml:space="preserve">Computational accounts of emotional memory have begun to formalize how emotional-context retrieval dynamics can produce intrusions and how reminder cues and intervention strength alter the persistence of intrusive memories</w:t>
      </w:r>
      <w:r>
        <w:t xml:space="preserve"> </w:t>
      </w:r>
      <w:r>
        <w:t xml:space="preserve">(</w:t>
      </w:r>
      <w:hyperlink w:anchor="ref-bonsall2023temporal">
        <w:r>
          <w:rPr>
            <w:rStyle w:val="Hyperlink"/>
          </w:rPr>
          <w:t xml:space="preserve">Bonsall &amp; Holmes, 2023</w:t>
        </w:r>
      </w:hyperlink>
      <w:r>
        <w:t xml:space="preserve">;</w:t>
      </w:r>
      <w:r>
        <w:t xml:space="preserve"> </w:t>
      </w:r>
      <w:hyperlink w:anchor="ref-cohen2022memory">
        <w:r>
          <w:rPr>
            <w:rStyle w:val="Hyperlink"/>
          </w:rPr>
          <w:t xml:space="preserve">Cohen &amp; Kahana, 2022</w:t>
        </w:r>
      </w:hyperlink>
      <w:r>
        <w:t xml:space="preserve">)</w:t>
      </w:r>
      <w:r>
        <w:t xml:space="preserve">.</w:t>
      </w:r>
      <w:r>
        <w:t xml:space="preserve"> </w:t>
      </w:r>
      <w:r>
        <w:t xml:space="preserve">The present account centers on the selective interference effect: why the same film and interference manipulation can produce different effects across unguided and deliberate retrieval measures.</w:t>
      </w:r>
      <w:r>
        <w:t xml:space="preserve"> </w:t>
      </w:r>
      <w:r>
        <w:t xml:space="preserve">Explaining that dissociation requires specifying whether the task weakens film memory or adds competitors at retrieval, when those competitors are cued alongside film items, and how retrieval instructions or supplied cues change the outcome.</w:t>
      </w:r>
      <w:r>
        <w:t xml:space="preserve"> </w:t>
      </w:r>
      <w:r>
        <w:t xml:space="preserve">A model can therefore turn the retrieval-process interpretation into predictions about when selective interference should appear, rather than only redescribing the dissociation after the fact.</w:t>
      </w:r>
    </w:p>
    <w:p>
      <w:pPr>
        <w:pStyle w:val="BodyText"/>
      </w:pPr>
      <w:r>
        <w:t xml:space="preserve">We formalize this proposal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p>
    <w:p>
      <w:pPr>
        <w:pStyle w:val="BodyText"/>
      </w:pPr>
      <w:r>
        <w:t xml:space="preserve">Controlled retrieval can be represented in CMR in several ways.</w:t>
      </w:r>
      <w:r>
        <w:t xml:space="preserve"> </w:t>
      </w:r>
      <w:r>
        <w:t xml:space="preserve">A retrieval goal can set the starting context for search by reinstating context associated with the target episode, rather than beginning from whatever context happens to be active at test.</w:t>
      </w:r>
      <w:r>
        <w:t xml:space="preserve"> </w:t>
      </w:r>
      <w:r>
        <w:t xml:space="preserve">Control can also make the current context cue more decisive, so that candidates strongly supported by that context are more likely to win retrieval than weaker competitors.</w:t>
      </w:r>
      <w:r>
        <w:t xml:space="preserve"> </w:t>
      </w:r>
      <w:r>
        <w:t xml:space="preserve">Finally, monitoring can evaluate sampled candidates against the retrieval goal, limiting how much off-target items shape subsequent search.</w:t>
      </w:r>
      <w:r>
        <w:t xml:space="preserve"> </w:t>
      </w:r>
      <w:r>
        <w:t xml:space="preserve">Prior retrieved-context models introduced related mechanisms to explain recall from goal-relevant context, differences in how selectively items are sampled, and the ability to keep retrieval focused on a target list</w:t>
      </w:r>
      <w:r>
        <w:t xml:space="preserve"> </w:t>
      </w:r>
      <w:r>
        <w:t xml:space="preserve">(</w:t>
      </w:r>
      <w:hyperlink w:anchor="ref-lohnas2015expanding">
        <w:r>
          <w:rPr>
            <w:rStyle w:val="Hyperlink"/>
          </w:rPr>
          <w:t xml:space="preserve">Lohnas et al., 2015</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can preserve these retrieved-context mechanisms while adding an emotional-context pathway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r>
        <w:t xml:space="preserve"> </w:t>
      </w:r>
    </w:p>
    <w:p>
      <w:pPr>
        <w:pStyle w:val="BodyText"/>
      </w:pPr>
      <w:r>
        <w:t xml:space="preserve">To map this framework onto the trauma-film paradigm, the model presents a film sequence, an intervening delay, film reminder cues, an interference task, and a post-task delay while context evolves.</w:t>
      </w:r>
      <w:r>
        <w:t xml:space="preserve"> </w:t>
      </w:r>
      <w:r>
        <w:t xml:space="preserve">In the simulations, the intervening and post-task delays are implemented as non-film filler items, so context continues to drift between film encoding, reminder, task encoding, and retrieval.</w:t>
      </w:r>
      <w:r>
        <w:t xml:space="preserve"> </w:t>
      </w:r>
      <w:r>
        <w:t xml:space="preserve">During the reminder phase, film reminder cues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receive retrieval support to the extent that they have been associated with similar context states.</w:t>
      </w:r>
      <w:r>
        <w:t xml:space="preserve"> </w:t>
      </w:r>
      <w:r>
        <w:t xml:space="preserve">Unguided and deliberate retrieval can draw on the same learned associations.</w:t>
      </w:r>
      <w:r>
        <w:t xml:space="preserve"> </w:t>
      </w:r>
      <w:r>
        <w:t xml:space="preserve">Unguided retrieval begins from the current context, which can support film and task candidates together, whereas deliberate recall can use control settings to orient search toward film targets.</w:t>
      </w:r>
      <w:r>
        <w:t xml:space="preserve"> </w:t>
      </w:r>
      <w:r>
        <w:t xml:space="preserve">A selective interference effect in this model would therefore reflect differential control over a shared associative memory, rather than selective vulnerability of separate memory representations.</w:t>
      </w:r>
    </w:p>
    <w:p>
      <w:pPr>
        <w:pStyle w:val="BodyText"/>
      </w:pPr>
      <w:r>
        <w:t xml:space="preserve">The simulations develop the retrieved-context account through five linked demonstrations.</w:t>
      </w:r>
      <w:r>
        <w:t xml:space="preserve"> </w:t>
      </w:r>
      <w:r>
        <w:t xml:space="preserve">Simulation 1 shows how a task performed after a film reminder can become a retrieval competitor and reduce later film recall.</w:t>
      </w:r>
      <w:r>
        <w:t xml:space="preserve"> </w:t>
      </w:r>
      <w:r>
        <w:t xml:space="preserve">Simulation 2 decomposes deliberate recall into control settings that can reduce this competition by changing where retrieval begins, how selectively candidates are sampled, and how much off-target samples shape ongoing search.</w:t>
      </w:r>
      <w:r>
        <w:t xml:space="preserve"> </w:t>
      </w:r>
      <w:r>
        <w:t xml:space="preserve">The next simulations examine a consequence of this retrieval interpretation: the effect should depend on how the memory test supplies film information.</w:t>
      </w:r>
      <w:r>
        <w:t xml:space="preserve"> </w:t>
      </w:r>
      <w:r>
        <w:t xml:space="preserve">Simulation 3 adds test-phase film cues during retrieval, testing whether such cues improve film recall without necessarily removing task competition.</w:t>
      </w:r>
      <w:r>
        <w:t xml:space="preserve"> </w:t>
      </w:r>
      <w:r>
        <w:t xml:space="preserve">Simulation 4 considers recognition-like tests in which the film item is supplied, reducing the need for that item to win a search guided by context.</w:t>
      </w:r>
      <w:r>
        <w:t xml:space="preserve"> </w:t>
      </w:r>
      <w:r>
        <w:t xml:space="preserve">Simulation 5 explores which task properties make interference stronger or weaker.</w:t>
      </w:r>
      <w:r>
        <w:t xml:space="preserve"> </w:t>
      </w:r>
      <w:r>
        <w:t xml:space="preserve">Together, the simulations specify a retrieval mechanism for the selective interference effect and derive predictions about when the dissociation between intrusive and deliberate memory should appear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retrieved, reminded, or supplied items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This control component changes three settings on the shared retrieval process: the context state from which search begins, how strongly the best-supported candidates are favored during selection, and how much off-target samples update later context.</w:t>
      </w:r>
      <w:r>
        <w:t xml:space="preserve"> </w:t>
      </w:r>
      <w:r>
        <w:t xml:space="preserve">These settings correspond to start-of-list context reinstatement, retrieval selectivity, and target monitoring in later CMR applications</w:t>
      </w:r>
      <w:r>
        <w:t xml:space="preserve"> </w:t>
      </w:r>
      <w:r>
        <w:t xml:space="preserve">(</w:t>
      </w:r>
      <w:hyperlink w:anchor="ref-lohnas2015expanding">
        <w:r>
          <w:rPr>
            <w:rStyle w:val="Hyperlink"/>
          </w:rPr>
          <w:t xml:space="preserve">Lohnas et al., 2015</w:t>
        </w:r>
      </w:hyperlink>
      <w:r>
        <w:t xml:space="preserve">)</w:t>
      </w:r>
      <w:r>
        <w:t xml:space="preserve">.</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rPr>
          <w:b/>
          <w:bCs/>
        </w:rPr>
        <w:t xml:space="preserve">(A)</w:t>
      </w:r>
      <w:r>
        <w:t xml:space="preserve"> </w:t>
      </w:r>
      <w:r>
        <w:t xml:space="preserve">The model represents the paradigm as film encoding, an intervening delay, film reminder cues, an interference or comparison task, a post-task delay, and retrieval tests.</w:t>
      </w:r>
      <w:r>
        <w:t xml:space="preserve"> </w:t>
      </w:r>
      <w:r>
        <w:rPr>
          <w:b/>
          <w:bCs/>
        </w:rPr>
        <w:t xml:space="preserve">(B)</w:t>
      </w:r>
      <w:r>
        <w:t xml:space="preserve"> </w:t>
      </w:r>
      <w:r>
        <w:t xml:space="preserve">Film items (F1-F3) and task items (T1-T3) are associated with the context states active when they are encoded, shown as gray squares.</w:t>
      </w:r>
      <w:r>
        <w:t xml:space="preserve"> </w:t>
      </w:r>
      <w:r>
        <w:t xml:space="preserve">Reminder cues increase overlap between the film context trajectory and the context states active during task encoding.</w:t>
      </w:r>
      <w:r>
        <w:t xml:space="preserve"> </w:t>
      </w:r>
      <w:r>
        <w:t xml:space="preserve">Strong task encoding strengthens the binding between task items and those overlapping states.</w:t>
      </w:r>
      <w:r>
        <w:t xml:space="preserve"> </w:t>
      </w:r>
      <w:r>
        <w:t xml:space="preserve">Together, overlap and binding make task items more likely to compete with film items at retrieval.</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In unguided retrieval, ongoing context can cue film items and task competitors together.</w:t>
      </w:r>
      <w:r>
        <w:t xml:space="preserve"> </w:t>
      </w:r>
      <w:r>
        <w:t xml:space="preserve">In deliberate recall, start-of-list context reinstatement increases film support, and retrieval selectivity makes that support advantage more consequential while task competitors remain available.</w:t>
      </w:r>
      <w:r>
        <w:t xml:space="preserve"> </w:t>
      </w:r>
      <w:r>
        <w:t xml:space="preserve">Blue marks film items or film support, green marks reminder cues, and gray marks neutral, delay, comparison, or context-state information.</w:t>
      </w:r>
      <w:r>
        <w:t xml:space="preserve"> </w:t>
      </w:r>
      <w:r>
        <w:t xml:space="preserve">Orange marks task items, task-associated context states, and task support.</w:t>
      </w:r>
      <w:r>
        <w:t xml:space="preserve"> </w:t>
      </w:r>
      <w:r>
        <w:t xml:space="preserve">Dashed orange arrows and outlines mark task competitors that are still available but less favored.</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We use item in the CMR sense to mean a discrete encoded unit, not the whole film: 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Task items can also share film-associated source context when they share a non-temporal source feature with film items.</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so shared affective or source features can be represented as shared source context.</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In the present model, shared source context can amplify competition when film and task items share the same source feature.</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without an explicit goal to recall the film and without film cues supplied by the test.</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 </w:t>
      </w:r>
      <w:r>
        <w:t xml:space="preserve">On the present account, the reminder uses item-to-context associations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During recall or monitoring, retrieved or test-presented items update context as retrieval unfolds.</w:t>
      </w:r>
      <w:r>
        <w:t xml:space="preserve"> </w:t>
      </w:r>
      <w:r>
        <w:t xml:space="preserve">Retrieving a film item pulls context toward film-associated states and can support retrieval of additional film items.</w:t>
      </w:r>
      <w:r>
        <w:t xml:space="preserve"> </w:t>
      </w:r>
      <w:r>
        <w:t xml:space="preserve">When a task competitor is sampled, it pulls context toward task-associated states and can prolong competition.</w:t>
      </w:r>
      <w:r>
        <w:t xml:space="preserve"> </w:t>
      </w:r>
      <w:r>
        <w:t xml:space="preserve">Film-related cues provided by the test can likewise update context, making subsequent retrieval less dependent on maintaining film context internally.</w:t>
      </w:r>
      <w:r>
        <w:t xml:space="preserve"> </w:t>
      </w:r>
      <w:r>
        <w:t xml:space="preserve">More generally, episodic-updating studies show that returning to the original learning context can itself function as a reminder, reactivating a prior episode and influencing whether later material is linked to it</w:t>
      </w:r>
      <w:r>
        <w:t xml:space="preserve"> </w:t>
      </w:r>
      <w:r>
        <w:t xml:space="preserve">(</w:t>
      </w:r>
      <w:hyperlink w:anchor="ref-hupbach2008dynamics">
        <w:r>
          <w:rPr>
            <w:rStyle w:val="Hyperlink"/>
          </w:rPr>
          <w:t xml:space="preserve">Hupbach et al., 2008</w:t>
        </w:r>
      </w:hyperlink>
      <w:r>
        <w:t xml:space="preserve">)</w:t>
      </w:r>
      <w:r>
        <w:t xml:space="preserve">.</w:t>
      </w:r>
      <w:r>
        <w:t xml:space="preserve"> </w:t>
      </w:r>
      <w:r>
        <w:t xml:space="preserve">Retrieval tests that supply a film item can be less vulnerable to interference, because the supplied item reinstates associated context and reduces reliance on selecting film items from a mixed competitor set</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first control setting is start-of-list context reinstatement, which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second is retrieval selectivity, which makes differences in current context-to-item support have stronger consequences for selection.</w:t>
      </w:r>
      <w:r>
        <w:t xml:space="preserve"> </w:t>
      </w:r>
      <w:r>
        <w:t xml:space="preserve">This setting favors film items only when the current retrieval context already supports them over competitors.</w:t>
      </w:r>
      <w:r>
        <w:t xml:space="preserve"> </w:t>
      </w:r>
      <w:r>
        <w:t xml:space="preserve">The third is target monitoring, which limits how much sampled off-target items update later context.</w:t>
      </w:r>
      <w:r>
        <w:t xml:space="preserve"> </w:t>
      </w:r>
      <w:r>
        <w:t xml:space="preserve">Together, these settings provide graded protection: strong competition can still reduce deliberate film recall, but less than unguided retrieval from a context that supports both film and task candidates.</w:t>
      </w:r>
    </w:p>
    <w:p>
      <w:pPr>
        <w:pStyle w:val="BodyText"/>
      </w:pPr>
      <w:r>
        <w:t xml:space="preserve">The simulations instantiate these commitments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continuous stream through which context evolves.</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rather than as weakening of film-item associations.</w:t>
      </w:r>
    </w:p>
    <w:bookmarkEnd w:id="29"/>
    <w:bookmarkStart w:id="54"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30"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start-of-list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start-of-list context reinstatement:</w:t>
      </w:r>
    </w:p>
    <w:p>
      <w:pPr>
        <w:pStyle w:val="BodyText"/>
      </w:pPr>
      <w:bookmarkStart w:id="46"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retrieval selectivity,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makes selection more sensitive to differences in candidate support.</w:t>
      </w:r>
      <w:r>
        <w:t xml:space="preserve"> </w:t>
      </w:r>
      <w:r>
        <w:t xml:space="preserve">This setting protects film recall only when the retrieval context already gives film items stronger support than task competitors.</w:t>
      </w:r>
      <w:r>
        <w:t xml:space="preserve"> </w:t>
      </w:r>
      <w:r>
        <w:t xml:space="preserve">The third control setting is target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Supplied film items therefore use the same feature-to-context operation as sampled and reminded items.</w:t>
      </w:r>
    </w:p>
    <w:bookmarkEnd w:id="49"/>
    <w:bookmarkStart w:id="53"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Source-context-to-feature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start-of-list context reinstatement manipulated in Simulation 2.</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53"/>
    <w:bookmarkEnd w:id="54"/>
    <w:bookmarkStart w:id="83"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post-reminder task attenuates film recall when task encoding is strong and occurs in context states that overlap with the film trajectory.</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Simulation 3 asks how recall changes when the test periodically supplies film cues during retrieval, measuring both overall film recall and the film-recall gap between unguided and deliberate retrieval.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 encoding strength, contextual similarity, and source-context overlap.</w:t>
      </w:r>
    </w:p>
    <w:bookmarkStart w:id="56"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current simulations.</w:t>
      </w:r>
    </w:p>
    <w:bookmarkStart w:id="55"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55"/>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supplied film items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supply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target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56"/>
    <w:bookmarkStart w:id="62"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hyperlink w:anchor="tbl-simulation1-phase-settings">
        <w:r>
          <w:rPr>
            <w:rStyle w:val="Hyperlink"/>
          </w:rPr>
          <w:t xml:space="preserve">Table 3</w:t>
        </w:r>
      </w:hyperlink>
      <w:r>
        <w:t xml:space="preserve"> </w:t>
      </w:r>
      <w:r>
        <w:t xml:space="preserve">summarizes the phase structure and settings used for Simulation 1.</w:t>
      </w:r>
      <w:r>
        <w:t xml:space="preserve"> </w:t>
      </w:r>
      <w:r>
        <w:t xml:space="preserve">For each reminder condition and task encoding multiplier, serial-position curves estimate the probability that each encoded position appears at least once in the later sampled retrieval sequence.</w:t>
      </w:r>
      <w:r>
        <w:t xml:space="preserve"> </w:t>
      </w:r>
      <w:r>
        <w:t xml:space="preserve">As described above, these serial-position curves sort retrieval outcomes by encoded position.</w:t>
      </w:r>
      <w:r>
        <w:t xml:space="preserve"> </w:t>
      </w:r>
      <w:r>
        <w:t xml:space="preserve">Figure 2 also inspects two internal model quantities that help explain those recall curves.</w:t>
      </w:r>
      <w:r>
        <w:t xml:space="preserve"> </w:t>
      </w:r>
      <w:r>
        <w:t xml:space="preserve">The context-similarity analysis asks how similar each film-encoding context is to the contexts active while task items are encoded, using cosine similarity over unit-normalized temporal context states.</w:t>
      </w:r>
      <w:r>
        <w:t xml:space="preserve"> </w:t>
      </w:r>
      <w:r>
        <w:t xml:space="preserve">The support-allocation analysis asks how much retrieval support would go to task items when the model is probed with an average film context after task encoding.</w:t>
      </w:r>
      <w:r>
        <w:t xml:space="preserve"> </w:t>
      </w:r>
      <w:r>
        <w:t xml:space="preserve">It forms that probe from the centroid of film encoding context states, applies it to</w:t>
      </w:r>
      <w:r>
        <w:t xml:space="preserve"> </w:t>
      </w:r>
      <m:oMath>
        <m:sSup>
          <m:e>
            <m:r>
              <m:t>M</m:t>
            </m:r>
          </m:e>
          <m:sup>
            <m:r>
              <m:t>C</m:t>
            </m:r>
            <m:r>
              <m:t>F</m:t>
            </m:r>
          </m:sup>
        </m:sSup>
      </m:oMath>
      <w:r>
        <w:t xml:space="preserve">, and computes task support divided by total film-plus-task support.</w:t>
      </w:r>
    </w:p>
    <w:bookmarkStart w:id="57" w:name="tbl-simulation1-phase-settings"/>
    <w:p>
      <w:pPr>
        <w:pStyle w:val="FigureTitle"/>
      </w:pPr>
      <w:r>
        <w:t xml:space="preserve">Table 3</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0.0–3.0 by 0.5</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57"/>
    <w:p>
      <w:pPr>
        <w:pStyle w:val="AfterWithoutNote"/>
      </w:pPr>
      <w:r>
        <w:t xml:space="preserve"> </w:t>
      </w:r>
    </w:p>
    <w:bookmarkStart w:id="61"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the task encoding multiplier with or without a sequential film reminder before task encoding.</w:t>
      </w:r>
      <w:r>
        <w:t xml:space="preserve"> </w:t>
      </w:r>
      <w:r>
        <w:rPr>
          <w:b/>
          <w:bCs/>
        </w:rPr>
        <w:t xml:space="preserve">(A-B)</w:t>
      </w:r>
      <w:r>
        <w:t xml:space="preserve"> </w:t>
      </w:r>
      <w:r>
        <w:t xml:space="preserve">Recall is relatively stable without a reminder but shifts from film to task positions when a reminder precedes task encoding.</w:t>
      </w:r>
      <w:r>
        <w:t xml:space="preserve"> </w:t>
      </w:r>
      <w:r>
        <w:rPr>
          <w:b/>
          <w:bCs/>
        </w:rPr>
        <w:t xml:space="preserve">(C)</w:t>
      </w:r>
      <w:r>
        <w:t xml:space="preserve"> </w:t>
      </w:r>
      <w:r>
        <w:t xml:space="preserve">The reminder makes task-encoding states more similar to a position-resolved portion of the film context trajectory.</w:t>
      </w:r>
      <w:r>
        <w:t xml:space="preserve"> </w:t>
      </w:r>
      <w:r>
        <w:rPr>
          <w:b/>
          <w:bCs/>
        </w:rPr>
        <w:t xml:space="preserve">(D)</w:t>
      </w:r>
      <w:r>
        <w:t xml:space="preserve"> </w:t>
      </w:r>
      <w:r>
        <w:t xml:space="preserve">The same reminder increases task support from a film-context probe as task encoding strengthens.</w:t>
      </w:r>
    </w:p>
    <w:p>
      <w:pPr>
        <w:pStyle w:val="FigureWithoutNote"/>
      </w:pPr>
      <w:r>
        <w:drawing>
          <wp:inline>
            <wp:extent cx="5943600" cy="3478005"/>
            <wp:effectExtent b="0" l="0" r="0" t="0"/>
            <wp:docPr descr="" title="" id="59" name="Picture"/>
            <a:graphic>
              <a:graphicData uri="http://schemas.openxmlformats.org/drawingml/2006/picture">
                <pic:pic>
                  <pic:nvPicPr>
                    <pic:cNvPr descr="figures/simulation1_context_binding.png" id="60" name="Picture"/>
                    <pic:cNvPicPr>
                      <a:picLocks noChangeArrowheads="1" noChangeAspect="1"/>
                    </pic:cNvPicPr>
                  </pic:nvPicPr>
                  <pic:blipFill>
                    <a:blip r:embed="rId58"/>
                    <a:stretch>
                      <a:fillRect/>
                    </a:stretch>
                  </pic:blipFill>
                  <pic:spPr bwMode="auto">
                    <a:xfrm>
                      <a:off x="0" y="0"/>
                      <a:ext cx="5943600" cy="3478005"/>
                    </a:xfrm>
                    <a:prstGeom prst="rect">
                      <a:avLst/>
                    </a:prstGeom>
                    <a:noFill/>
                    <a:ln w="9525">
                      <a:noFill/>
                      <a:headEnd/>
                      <a:tailEnd/>
                    </a:ln>
                  </pic:spPr>
                </pic:pic>
              </a:graphicData>
            </a:graphic>
          </wp:inline>
        </w:drawing>
      </w:r>
    </w:p>
    <w:bookmarkEnd w:id="61"/>
    <w:p>
      <w:pPr>
        <w:pStyle w:val="AfterWithoutNote"/>
      </w:pPr>
      <w:r>
        <w:t xml:space="preserve">Without a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film reminder, the same task-encoding manipulation produces a larger drop in film-position recall and a larger rise in task-position recall.</w:t>
      </w:r>
      <w:r>
        <w:t xml:space="preserve"> </w:t>
      </w:r>
      <w:r>
        <w:t xml:space="preserve">The with-reminder condition therefore shows that task encoding strength matters most when task items are encoded in a film-related context state.</w:t>
      </w:r>
      <w:r>
        <w:t xml:space="preserve"> </w:t>
      </w:r>
      <w:r>
        <w:t xml:space="preserve">At the lowest and highest multiplier values, mean film recall in the no-reminder condition changes from 0.318 at task encoding multiplier 0.0 to 0.268 at multiplier 3.0, while mean task recall changes from 0.000 to 0.143.</w:t>
      </w:r>
      <w:r>
        <w:t xml:space="preserve"> </w:t>
      </w:r>
      <w:r>
        <w:t xml:space="preserve">In the with-reminder condition, mean film recall changes from 0.306 to 0.064, while mean task recall changes from 0.000 to 0.384.</w:t>
      </w:r>
    </w:p>
    <w:p>
      <w:pPr>
        <w:pStyle w:val="BodyText"/>
      </w:pPr>
      <w:r>
        <w:t xml:space="preserve">Panels C and D explain why the no-reminder and with-reminder curves diverge.</w:t>
      </w:r>
      <w:r>
        <w:t xml:space="preserve"> </w:t>
      </w:r>
      <w:r>
        <w:t xml:space="preserve">Panel C quantifies temporal-context similarity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D quantifies how much support task items receive from the average film-context probe after task encoding, including the source-context support available at that point in the paradigm.</w:t>
      </w:r>
      <w:r>
        <w:t xml:space="preserve"> </w:t>
      </w:r>
      <w:r>
        <w:t xml:space="preserve">As the task encoding multiplier increases, task items receive a larger share of item support when this temporal/source probe is applied, especially after the film reminder.</w:t>
      </w:r>
      <w:r>
        <w:t xml:space="preserve"> </w:t>
      </w:r>
      <w:r>
        <w:t xml:space="preserve">Across multiplier values,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by reinstating an early-film context state that favors film items over task competitors.</w:t>
      </w:r>
    </w:p>
    <w:bookmarkEnd w:id="62"/>
    <w:bookmarkStart w:id="71"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The broader Simulation 2 package decomposes deliberate recall into three control settings: start-of-list context reinstatement, retrieval selectivity, and target monitoring.</w:t>
      </w:r>
      <w:r>
        <w:t xml:space="preserve"> </w:t>
      </w:r>
      <w:r>
        <w:t xml:space="preserve">Figure 3 isolates the first setting.</w:t>
      </w:r>
      <w:r>
        <w:t xml:space="preserve"> </w:t>
      </w:r>
      <w:r>
        <w:t xml:space="preserve">In the model, deliberate recall can begin by drifting current context toward the context state from the start of the encoded sequence before the first retrieval attempt.</w:t>
      </w:r>
      <w:r>
        <w:t xml:space="preserve"> </w:t>
      </w:r>
      <w:r>
        <w:t xml:space="preserve">Because the film is encoded first in this paradigm, that start state supports early film items while providing relatively little support for later task or filler items.</w:t>
      </w:r>
      <w:r>
        <w:t xml:space="preserve"> </w:t>
      </w:r>
      <w:r>
        <w:t xml:space="preserve">This manipulation changes the starting point of memory search while holding the learned film and task associations fixed.</w:t>
      </w:r>
    </w:p>
    <w:p>
      <w:pPr>
        <w:pStyle w:val="BodyText"/>
      </w:pPr>
      <w:r>
        <w:t xml:space="preserve">All Simulation 2 figures presented here use the with-reminder task-encoding condition from Simulation 1, with the task encoding multiplier fixed at 2.0.</w:t>
      </w:r>
      <w:r>
        <w:t xml:space="preserve"> </w:t>
      </w:r>
      <w:r>
        <w:t xml:space="preserve">All conditions also include the fixed partial source-context orientation toward the marked film source described above.</w:t>
      </w:r>
      <w:r>
        <w:t xml:space="preserve"> </w:t>
      </w:r>
      <w:r>
        <w:t xml:space="preserve">Thus,</w:t>
      </w:r>
      <w:r>
        <w:t xml:space="preserve"> </w:t>
      </w:r>
      <w:r>
        <w:t xml:space="preserve">“no start-of-list reinstatement”</w:t>
      </w:r>
      <w:r>
        <w:t xml:space="preserve"> </w:t>
      </w:r>
      <w:r>
        <w:t xml:space="preserve">means no deliberate reinstatement of the temporal start state, not the absence of any film-relevant test context.</w:t>
      </w:r>
      <w:r>
        <w:t xml:space="preserve"> </w:t>
      </w:r>
      <w:r>
        <w:t xml:space="preserve">Figure 3 varies the degree of start-of-list context reinstatement.</w:t>
      </w:r>
      <w:r>
        <w:t xml:space="preserve"> </w:t>
      </w:r>
      <w:r>
        <w:t xml:space="preserve">Reinstatement strength controls how strongly retrieval context is pulled toward the start state before the first retrieval attempt.</w:t>
      </w:r>
      <w:r>
        <w:t xml:space="preserve"> </w:t>
      </w:r>
      <w:r>
        <w:t xml:space="preserve">Values are expressed relative to the fitted start drift rate, so 1.0 corresponds to</w:t>
      </w:r>
      <w:r>
        <w:t xml:space="preserve"> </w:t>
      </w:r>
      <m:oMath>
        <m:sSub>
          <m:e>
            <m:r>
              <m:t>β</m:t>
            </m:r>
          </m:e>
          <m:sub>
            <m:r>
              <m:t>s</m:t>
            </m:r>
            <m:r>
              <m:t>t</m:t>
            </m:r>
            <m:r>
              <m:t>a</m:t>
            </m:r>
            <m:r>
              <m:t>r</m:t>
            </m:r>
            <m:r>
              <m:t>t</m:t>
            </m:r>
          </m:sub>
        </m:sSub>
      </m:oMath>
      <w:r>
        <w:t xml:space="preserve"> </w:t>
      </w:r>
      <w:r>
        <w:t xml:space="preserve">in</w:t>
      </w:r>
      <w:r>
        <w:t xml:space="preserve"> </w:t>
      </w:r>
      <w:hyperlink w:anchor="eq-start-context-reinstatement">
        <w:r>
          <w:rPr>
            <w:rStyle w:val="Hyperlink"/>
          </w:rPr>
          <w:t xml:space="preserve">Equation 14</w:t>
        </w:r>
      </w:hyperlink>
      <w:r>
        <w:t xml:space="preserve">.</w:t>
      </w:r>
    </w:p>
    <w:bookmarkStart w:id="66" w:name="Xe96feb7454d6b23e449dfafb9c326dcfa9c3226"/>
    <w:p>
      <w:pPr>
        <w:pStyle w:val="FigureTitle"/>
      </w:pPr>
      <w:r>
        <w:t xml:space="preserve">Figure 3</w:t>
      </w:r>
    </w:p>
    <w:p>
      <w:pPr>
        <w:pStyle w:val="Caption"/>
      </w:pPr>
      <w:r>
        <w:rPr>
          <w:b/>
          <w:bCs/>
        </w:rPr>
        <w:t xml:space="preserve">Start-of-list context reinstatement protects deliberate film recall by shifting the starting retrieval context.</w:t>
      </w:r>
      <w:r>
        <w:t xml:space="preserve"> </w:t>
      </w:r>
      <w:r>
        <w:t xml:space="preserve">Figure 3 isolates this start-state manipulation in the with-reminder task-encoding condition: before the first retrieval attempt, context is drifted toward the start of the encoded sequence.</w:t>
      </w:r>
      <w:r>
        <w:t xml:space="preserve"> </w:t>
      </w:r>
      <w:r>
        <w:rPr>
          <w:b/>
          <w:bCs/>
        </w:rPr>
        <w:t xml:space="preserve">(A)</w:t>
      </w:r>
      <w:r>
        <w:t xml:space="preserve"> </w:t>
      </w:r>
      <w:r>
        <w:t xml:space="preserve">Stronger reinstatement shifts pre-recall support from late filler positions toward early film positions.</w:t>
      </w:r>
      <w:r>
        <w:t xml:space="preserve"> </w:t>
      </w:r>
      <w:r>
        <w:rPr>
          <w:b/>
          <w:bCs/>
        </w:rPr>
        <w:t xml:space="preserve">(B)</w:t>
      </w:r>
      <w:r>
        <w:t xml:space="preserve"> </w:t>
      </w:r>
      <w:r>
        <w:t xml:space="preserve">Recall initiation follows this support shift.</w:t>
      </w:r>
      <w:r>
        <w:t xml:space="preserve"> </w:t>
      </w:r>
      <w:r>
        <w:rPr>
          <w:b/>
          <w:bCs/>
        </w:rPr>
        <w:t xml:space="preserve">(C)</w:t>
      </w:r>
      <w:r>
        <w:t xml:space="preserve"> </w:t>
      </w:r>
      <w:r>
        <w:t xml:space="preserve">The initial shift carries into overall recall, with the largest gains near the beginning of the film sequence.</w:t>
      </w:r>
    </w:p>
    <w:p>
      <w:pPr>
        <w:pStyle w:val="FigureWithoutNote"/>
      </w:pPr>
      <w:r>
        <w:drawing>
          <wp:inline>
            <wp:extent cx="5943600" cy="4209375"/>
            <wp:effectExtent b="0" l="0" r="0" t="0"/>
            <wp:docPr descr="" title="" id="64" name="Picture"/>
            <a:graphic>
              <a:graphicData uri="http://schemas.openxmlformats.org/drawingml/2006/picture">
                <pic:pic>
                  <pic:nvPicPr>
                    <pic:cNvPr descr="figures/simulation2_start_context_reinstatement.png" id="65" name="Picture"/>
                    <pic:cNvPicPr>
                      <a:picLocks noChangeArrowheads="1" noChangeAspect="1"/>
                    </pic:cNvPicPr>
                  </pic:nvPicPr>
                  <pic:blipFill>
                    <a:blip r:embed="rId63"/>
                    <a:stretch>
                      <a:fillRect/>
                    </a:stretch>
                  </pic:blipFill>
                  <pic:spPr bwMode="auto">
                    <a:xfrm>
                      <a:off x="0" y="0"/>
                      <a:ext cx="5943600" cy="4209375"/>
                    </a:xfrm>
                    <a:prstGeom prst="rect">
                      <a:avLst/>
                    </a:prstGeom>
                    <a:noFill/>
                    <a:ln w="9525">
                      <a:noFill/>
                      <a:headEnd/>
                      <a:tailEnd/>
                    </a:ln>
                  </pic:spPr>
                </pic:pic>
              </a:graphicData>
            </a:graphic>
          </wp:inline>
        </w:drawing>
      </w:r>
    </w:p>
    <w:bookmarkEnd w:id="66"/>
    <w:p>
      <w:pPr>
        <w:pStyle w:val="AfterWithoutNote"/>
      </w:pPr>
      <w:r>
        <w:t xml:space="preserve">Panel A is a model-state readout: it shows how much each encoded position is supported by the retrieval context immediately before the first retrieval attempt, before the model applies the choice, stopping, or context-updating rules.</w:t>
      </w:r>
      <w:r>
        <w:t xml:space="preserve"> </w:t>
      </w:r>
      <w:r>
        <w:t xml:space="preserve">With no start-of-list context reinstatement, support is concentrated in late filler positions because the retrieval context reflects the post-filler state.</w:t>
      </w:r>
      <w:r>
        <w:t xml:space="preserve"> </w:t>
      </w:r>
      <w:r>
        <w:t xml:space="preserve">As start-of-list context reinstatement increases, support shifts toward early film positions.</w:t>
      </w:r>
      <w:r>
        <w:t xml:space="preserve"> </w:t>
      </w:r>
      <w:r>
        <w:t xml:space="preserve">Panels B and C summarize sampled retrieval sequences under the same retrieval settings.</w:t>
      </w:r>
      <w:r>
        <w:t xml:space="preserve"> </w:t>
      </w:r>
      <w:r>
        <w:t xml:space="preserve">Panel B shows that this support shift changes recall initiation, with first recalls moving from filler positions when start-of-list context reinstatement is omitted to early film positions as reinstatement increases.</w:t>
      </w:r>
      <w:r>
        <w:t xml:space="preserve"> </w:t>
      </w:r>
      <w:r>
        <w:t xml:space="preserve">Panel C shows that the initiation shift extends beyond the first response.</w:t>
      </w:r>
      <w:r>
        <w:t xml:space="preserve"> </w:t>
      </w:r>
      <w:r>
        <w:t xml:space="preserve">Once early film items are sampled, they reinstate nearby early-film context; gradual context drift then keeps later samples closer to the film portion of the encoded sequence.</w:t>
      </w:r>
      <w:r>
        <w:t xml:space="preserve"> </w:t>
      </w:r>
      <w:r>
        <w:t xml:space="preserve">Under the strong task setting used here, task items remain available to be sampled later in the sequence, so the next step is to examine how selection operates after retrieval has been oriented toward early film context.</w:t>
      </w:r>
    </w:p>
    <w:p>
      <w:pPr>
        <w:pStyle w:val="BodyText"/>
      </w:pPr>
      <w:r>
        <w:t xml:space="preserve">The second control setting is retrieval selectivity.</w:t>
      </w:r>
      <w:r>
        <w:t xml:space="preserve"> </w:t>
      </w:r>
      <w:r>
        <w:t xml:space="preserve">This manipulation scales the choice-sensitivity parameter</w:t>
      </w:r>
      <w:r>
        <w:t xml:space="preserve"> </w:t>
      </w:r>
      <m:oMath>
        <m:r>
          <m:t>τ</m:t>
        </m:r>
      </m:oMath>
      <w:r>
        <w:t xml:space="preserve"> </w:t>
      </w:r>
      <w:r>
        <w:t xml:space="preserve">in</w:t>
      </w:r>
      <w:r>
        <w:t xml:space="preserve"> </w:t>
      </w:r>
      <w:hyperlink w:anchor="eq-choice-sensitivity">
        <w:r>
          <w:rPr>
            <w:rStyle w:val="Hyperlink"/>
          </w:rPr>
          <w:t xml:space="preserve">Equation 10</w:t>
        </w:r>
      </w:hyperlink>
      <w:r>
        <w:t xml:space="preserve">, so candidates with stronger current support are selected more disproportionately often.</w:t>
      </w:r>
      <w:r>
        <w:t xml:space="preserve"> </w:t>
      </w:r>
      <w:r>
        <w:t xml:space="preserve">Figure 4 crosses retrieval selectivity with start-of-list context reinstatement while holding fixed the same with-reminder task-encoding condition used in Figure 3.</w:t>
      </w:r>
      <w:r>
        <w:t xml:space="preserve"> </w:t>
      </w:r>
      <w:r>
        <w:t xml:space="preserve">The final panel examines target monitoring through rejected-sample updating.</w:t>
      </w:r>
      <w:r>
        <w:t xml:space="preserve"> </w:t>
      </w:r>
      <w:r>
        <w:t xml:space="preserve">After an off-target candidate is sampled, the model varies how much that candidate updates context before search continues.</w:t>
      </w:r>
      <w:r>
        <w:t xml:space="preserve"> </w:t>
      </w:r>
      <w:r>
        <w:t xml:space="preserve">Sampled off-target candidates still occupy retrieval attempts, but their context update is multiplied by</w:t>
      </w:r>
      <w:r>
        <w:t xml:space="preserve"> </w:t>
      </w:r>
      <m:oMath>
        <m:r>
          <m:t>κ</m:t>
        </m:r>
      </m:oMath>
      <w:r>
        <w:t xml:space="preserve">, with</w:t>
      </w:r>
      <w:r>
        <w:t xml:space="preserve"> </w:t>
      </w:r>
      <m:oMath>
        <m:r>
          <m:t>κ</m:t>
        </m:r>
        <m:r>
          <m:rPr>
            <m:sty m:val="p"/>
          </m:rPr>
          <m:t>=</m:t>
        </m:r>
        <m:r>
          <m:t>1</m:t>
        </m:r>
      </m:oMath>
      <w:r>
        <w:t xml:space="preserve"> </w:t>
      </w:r>
      <w:r>
        <w:t xml:space="preserve">giving the normal sampled-item update and</w:t>
      </w:r>
      <w:r>
        <w:t xml:space="preserve"> </w:t>
      </w:r>
      <m:oMath>
        <m:r>
          <m:t>κ</m:t>
        </m:r>
        <m:r>
          <m:rPr>
            <m:sty m:val="p"/>
          </m:rPr>
          <m:t>=</m:t>
        </m:r>
        <m:r>
          <m:t>0</m:t>
        </m:r>
      </m:oMath>
      <w:r>
        <w:t xml:space="preserve"> </w:t>
      </w:r>
      <w:r>
        <w:t xml:space="preserve">preventing off-target context updating.</w:t>
      </w:r>
    </w:p>
    <w:bookmarkStart w:id="70" w:name="fig-simulation2-retrieval-selectivity"/>
    <w:p>
      <w:pPr>
        <w:pStyle w:val="FigureTitle"/>
      </w:pPr>
      <w:r>
        <w:t xml:space="preserve">Figure 4</w:t>
      </w:r>
    </w:p>
    <w:p>
      <w:pPr>
        <w:pStyle w:val="Caption"/>
      </w:pPr>
      <w:r>
        <w:rPr>
          <w:b/>
          <w:bCs/>
        </w:rPr>
        <w:t xml:space="preserve">Retrieval selectivity amplifies the context already in place, while target monitoring limits drift after off-target samples.</w:t>
      </w:r>
      <w:r>
        <w:t xml:space="preserve"> </w:t>
      </w:r>
      <w:r>
        <w:t xml:space="preserve">Simulation 2 varies retrieval selectivity in the with-reminder task-encoding condition, with or without start-of-list context reinstatement, and then examines rejected-sample updating to show why selective sampling and monitoring depend on the retrieval context already in place.</w:t>
      </w:r>
      <w:r>
        <w:t xml:space="preserve"> </w:t>
      </w:r>
      <w:r>
        <w:rPr>
          <w:b/>
          <w:bCs/>
        </w:rPr>
        <w:t xml:space="preserve">(A)</w:t>
      </w:r>
      <w:r>
        <w:t xml:space="preserve"> </w:t>
      </w:r>
      <w:r>
        <w:t xml:space="preserve">Higher selectivity increases local transitions when retrieval starts from early-film context.</w:t>
      </w:r>
      <w:r>
        <w:t xml:space="preserve"> </w:t>
      </w:r>
      <w:r>
        <w:rPr>
          <w:b/>
          <w:bCs/>
        </w:rPr>
        <w:t xml:space="preserve">(B-C)</w:t>
      </w:r>
      <w:r>
        <w:t xml:space="preserve"> </w:t>
      </w:r>
      <w:r>
        <w:t xml:space="preserve">The same increase favors late non-film positions without start-of-list reinstatement and film positions with it.</w:t>
      </w:r>
      <w:r>
        <w:t xml:space="preserve"> </w:t>
      </w:r>
      <w:r>
        <w:rPr>
          <w:b/>
          <w:bCs/>
        </w:rPr>
        <w:t xml:space="preserve">(D)</w:t>
      </w:r>
      <w:r>
        <w:t xml:space="preserve"> </w:t>
      </w:r>
      <w:r>
        <w:t xml:space="preserve">Reducing off-target context updating helps retrieval return to film only when start-of-list reinstatement has already made film items accessible.</w:t>
      </w:r>
    </w:p>
    <w:p>
      <w:pPr>
        <w:pStyle w:val="FigureWithoutNote"/>
      </w:pPr>
      <w:r>
        <w:drawing>
          <wp:inline>
            <wp:extent cx="5943600" cy="4052068"/>
            <wp:effectExtent b="0" l="0" r="0" t="0"/>
            <wp:docPr descr="" title="" id="68" name="Picture"/>
            <a:graphic>
              <a:graphicData uri="http://schemas.openxmlformats.org/drawingml/2006/picture">
                <pic:pic>
                  <pic:nvPicPr>
                    <pic:cNvPr descr="figures/simulation2_retrieval_selectivity.png" id="69" name="Picture"/>
                    <pic:cNvPicPr>
                      <a:picLocks noChangeArrowheads="1" noChangeAspect="1"/>
                    </pic:cNvPicPr>
                  </pic:nvPicPr>
                  <pic:blipFill>
                    <a:blip r:embed="rId67"/>
                    <a:stretch>
                      <a:fillRect/>
                    </a:stretch>
                  </pic:blipFill>
                  <pic:spPr bwMode="auto">
                    <a:xfrm>
                      <a:off x="0" y="0"/>
                      <a:ext cx="5943600" cy="4052068"/>
                    </a:xfrm>
                    <a:prstGeom prst="rect">
                      <a:avLst/>
                    </a:prstGeom>
                    <a:noFill/>
                    <a:ln w="9525">
                      <a:noFill/>
                      <a:headEnd/>
                      <a:tailEnd/>
                    </a:ln>
                  </pic:spPr>
                </pic:pic>
              </a:graphicData>
            </a:graphic>
          </wp:inline>
        </w:drawing>
      </w:r>
    </w:p>
    <w:bookmarkEnd w:id="70"/>
    <w:p>
      <w:pPr>
        <w:pStyle w:val="AfterWithoutNote"/>
      </w:pPr>
      <w:r>
        <w:t xml:space="preserve">Values near zero in the lag-CRP indicate local transitions; because the Luce choice rule exaggerates differences in candidate support, higher retrieval-selectivity values make recalls cluster more strongly around nearby encoded positions.</w:t>
      </w:r>
      <w:r>
        <w:t xml:space="preserve"> </w:t>
      </w:r>
      <w:r>
        <w:t xml:space="preserve">Panels B and C show that the recall consequences of this local search depend on the retrieval context.</w:t>
      </w:r>
      <w:r>
        <w:t xml:space="preserve"> </w:t>
      </w:r>
      <w:r>
        <w:t xml:space="preserve">When recall begins from the ongoing post-filler context, increasing retrieval selectivity favors the late non-film items most strongly supported by that context.</w:t>
      </w:r>
      <w:r>
        <w:t xml:space="preserve"> </w:t>
      </w:r>
      <w:r>
        <w:t xml:space="preserve">When recall begins after start-of-list context reinstatement, increasing retrieval selectivity favors the early film items supported by the reinstated context.</w:t>
      </w:r>
      <w:r>
        <w:t xml:space="preserve"> </w:t>
      </w:r>
      <w:r>
        <w:t xml:space="preserve">Panel D conditions on transitions where the current sample is off target, retrieval continues, and at least one film item remains unsampled.</w:t>
      </w:r>
      <w:r>
        <w:t xml:space="preserve"> </w:t>
      </w:r>
      <w:r>
        <w:t xml:space="preserve">Without start-of-list context reinstatement, the probability that the next sample is a film item remains near zero across the</w:t>
      </w:r>
      <w:r>
        <w:t xml:space="preserve"> </w:t>
      </w:r>
      <m:oMath>
        <m:r>
          <m:t>κ</m:t>
        </m:r>
      </m:oMath>
      <w:r>
        <w:t xml:space="preserve"> </w:t>
      </w:r>
      <w:r>
        <w:t xml:space="preserve">sweep.</w:t>
      </w:r>
      <w:r>
        <w:t xml:space="preserve"> </w:t>
      </w:r>
      <w:r>
        <w:t xml:space="preserve">With start-of-list context reinstatement, lowering</w:t>
      </w:r>
      <w:r>
        <w:t xml:space="preserve"> </w:t>
      </w:r>
      <m:oMath>
        <m:r>
          <m:t>κ</m:t>
        </m:r>
      </m:oMath>
      <w:r>
        <w:t xml:space="preserve"> </w:t>
      </w:r>
      <w:r>
        <w:t xml:space="preserve">from 1.0 to 0.0 raises this film-return probability from 0.059 to 0.643.</w:t>
      </w:r>
      <w:r>
        <w:t xml:space="preserve"> </w:t>
      </w:r>
      <w:r>
        <w:t xml:space="preserve">Across Figures 3 and 4, deliberate recall is protected by a sequence of control settings: start-of-list context reinstatement establishes a diagnostic early-film retrieval context, retrieval selectivity amplifies differences in whatever the current context supports, and target monitoring limits the context-updating consequences of sampled off-target candidates.</w:t>
      </w:r>
      <w:r>
        <w:t xml:space="preserve"> </w:t>
      </w:r>
      <w:r>
        <w:t xml:space="preserve">This sequence sets up a contrast with test-phase film cues.</w:t>
      </w:r>
      <w:r>
        <w:t xml:space="preserve"> </w:t>
      </w:r>
      <w:r>
        <w:t xml:space="preserve">Unlike the pre-task film reminder that makes task encoding film-related, Simulation 3 presents film items during retrieval as external cues.</w:t>
      </w:r>
      <w:r>
        <w:t xml:space="preserve"> </w:t>
      </w:r>
      <w:r>
        <w:t xml:space="preserve">Their protective value depends on whether the reinstated context favors film items over task competitors.</w:t>
      </w:r>
    </w:p>
    <w:bookmarkEnd w:id="71"/>
    <w:bookmarkStart w:id="76" w:name="X5839f0b8c81129db231162d4b757efaeea9cdbb"/>
    <w:p>
      <w:pPr>
        <w:pStyle w:val="Heading2"/>
      </w:pPr>
      <w:r>
        <w:t xml:space="preserve">Simulation 3: Test-Phase Film Cues and Retrieval Intentionality</w:t>
      </w:r>
    </w:p>
    <w:p>
      <w:pPr>
        <w:pStyle w:val="FirstParagraph"/>
      </w:pPr>
      <w:r>
        <w:t xml:space="preserve">Simulation 3 asks whether test-phase film cues have the same protective value as deliberate start-of-list reinstatement.</w:t>
      </w:r>
      <w:r>
        <w:t xml:space="preserve"> </w:t>
      </w:r>
      <w:r>
        <w:t xml:space="preserve">In the model, these cues are implemented as randomly selected film items supplied during retrieval: after every fourth retrieval attempt, the supplied film item updates temporal and source context through its feature-to-context associations, after which ordinary retrieval resumes.</w:t>
      </w:r>
      <w:r>
        <w:t xml:space="preserve"> </w:t>
      </w:r>
      <w:r>
        <w:t xml:space="preserve">The supplied item does not occupy a response slot, does not become unavailable for later recall, and adds no new learning.</w:t>
      </w:r>
      <w:r>
        <w:t xml:space="preserve"> </w:t>
      </w:r>
      <w:r>
        <w:t xml:space="preserve">Cue strength controls how strongly each supplied film item pulls context toward the film state associated with that item.</w:t>
      </w:r>
      <w:r>
        <w:t xml:space="preserve"> </w:t>
      </w:r>
      <w:r>
        <w:t xml:space="preserve">The plotted values express that pull relative to the fitted recall context-update rate</w:t>
      </w:r>
      <w:r>
        <w:t xml:space="preserve"> </w:t>
      </w:r>
      <m:oMath>
        <m:sSub>
          <m:e>
            <m:r>
              <m:t>β</m:t>
            </m:r>
          </m:e>
          <m:sub>
            <m:r>
              <m:t>r</m:t>
            </m:r>
            <m:r>
              <m:t>e</m:t>
            </m:r>
            <m:r>
              <m:t>c</m:t>
            </m:r>
          </m:sub>
        </m:sSub>
      </m:oMath>
      <w:r>
        <w:t xml:space="preserve">.</w:t>
      </w:r>
      <w:r>
        <w:t xml:space="preserve"> </w:t>
      </w:r>
      <w:r>
        <w:t xml:space="preserve">The vertical reference line in Figure 5 marks the point at which a supplied cue would move context by about the same amount as one ordinary encoding update, approximately</w:t>
      </w:r>
      <w:r>
        <w:t xml:space="preserve"> </w:t>
      </w:r>
      <m:oMath>
        <m:sSub>
          <m:e>
            <m:r>
              <m:t>β</m:t>
            </m:r>
          </m:e>
          <m:sub>
            <m:r>
              <m:t>e</m:t>
            </m:r>
            <m:r>
              <m:t>n</m:t>
            </m:r>
            <m:r>
              <m:t>c</m:t>
            </m:r>
          </m:sub>
        </m:sSub>
      </m:oMath>
      <w:r>
        <w:t xml:space="preserve">.</w:t>
      </w:r>
    </w:p>
    <w:bookmarkStart w:id="75" w:name="fig-simulation3-film-cue-inclusion"/>
    <w:p>
      <w:pPr>
        <w:pStyle w:val="FigureTitle"/>
      </w:pPr>
      <w:r>
        <w:t xml:space="preserve">Figure 5</w:t>
      </w:r>
    </w:p>
    <w:p>
      <w:pPr>
        <w:pStyle w:val="Caption"/>
      </w:pPr>
      <w:r>
        <w:rPr>
          <w:b/>
          <w:bCs/>
        </w:rPr>
        <w:t xml:space="preserve">Test-phase film cues boost film recall, but deliberate recall remains advantaged.</w:t>
      </w:r>
      <w:r>
        <w:t xml:space="preserve"> </w:t>
      </w:r>
      <w:r>
        <w:t xml:space="preserve">Simulation 3 compares unguided retrieval with deliberate recall while varying the strength of film cues supplied during retrieval.</w:t>
      </w:r>
      <w:r>
        <w:t xml:space="preserve"> </w:t>
      </w:r>
      <w:r>
        <w:rPr>
          <w:b/>
          <w:bCs/>
        </w:rPr>
        <w:t xml:space="preserve">(A)</w:t>
      </w:r>
      <w:r>
        <w:t xml:space="preserve"> </w:t>
      </w:r>
      <w:r>
        <w:t xml:space="preserve">Film cues are supplied after scheduled retrieval attempts, update context, and add no new learning.</w:t>
      </w:r>
      <w:r>
        <w:t xml:space="preserve"> </w:t>
      </w:r>
      <w:r>
        <w:rPr>
          <w:b/>
          <w:bCs/>
        </w:rPr>
        <w:t xml:space="preserve">(B)</w:t>
      </w:r>
      <w:r>
        <w:t xml:space="preserve"> </w:t>
      </w:r>
      <w:r>
        <w:t xml:space="preserve">Film recall increases with cue strength, but deliberate recall remains higher than unguided retrieval across weak-to-moderate cue strength.</w:t>
      </w:r>
      <w:r>
        <w:t xml:space="preserve"> </w:t>
      </w:r>
      <w:r>
        <w:t xml:space="preserve">Only stronger cues begin to narrow the gap.</w:t>
      </w:r>
      <w:r>
        <w:t xml:space="preserve"> </w:t>
      </w:r>
      <w:r>
        <w:rPr>
          <w:b/>
          <w:bCs/>
        </w:rPr>
        <w:t xml:space="preserve">(C-D)</w:t>
      </w:r>
      <w:r>
        <w:t xml:space="preserve"> </w:t>
      </w:r>
      <w:r>
        <w:t xml:space="preserve">Across the encoded sequence, film cues raise film recall without eliminating task and filler competitors.</w:t>
      </w:r>
    </w:p>
    <w:p>
      <w:pPr>
        <w:pStyle w:val="FigureWithoutNote"/>
      </w:pPr>
      <w:r>
        <w:drawing>
          <wp:inline>
            <wp:extent cx="5943600" cy="4164783"/>
            <wp:effectExtent b="0" l="0" r="0" t="0"/>
            <wp:docPr descr="" title="" id="73" name="Picture"/>
            <a:graphic>
              <a:graphicData uri="http://schemas.openxmlformats.org/drawingml/2006/picture">
                <pic:pic>
                  <pic:nvPicPr>
                    <pic:cNvPr descr="figures/simulation3_film_cue_inclusion.png" id="74" name="Picture"/>
                    <pic:cNvPicPr>
                      <a:picLocks noChangeArrowheads="1" noChangeAspect="1"/>
                    </pic:cNvPicPr>
                  </pic:nvPicPr>
                  <pic:blipFill>
                    <a:blip r:embed="rId72"/>
                    <a:stretch>
                      <a:fillRect/>
                    </a:stretch>
                  </pic:blipFill>
                  <pic:spPr bwMode="auto">
                    <a:xfrm>
                      <a:off x="0" y="0"/>
                      <a:ext cx="5943600" cy="4164783"/>
                    </a:xfrm>
                    <a:prstGeom prst="rect">
                      <a:avLst/>
                    </a:prstGeom>
                    <a:noFill/>
                    <a:ln w="9525">
                      <a:noFill/>
                      <a:headEnd/>
                      <a:tailEnd/>
                    </a:ln>
                  </pic:spPr>
                </pic:pic>
              </a:graphicData>
            </a:graphic>
          </wp:inline>
        </w:drawing>
      </w:r>
    </w:p>
    <w:bookmarkEnd w:id="75"/>
    <w:p>
      <w:pPr>
        <w:pStyle w:val="AfterWithoutNote"/>
      </w:pPr>
      <w:r>
        <w:t xml:space="preserve">Panel B gives the primary test of the Simulation 3 prediction.</w:t>
      </w:r>
      <w:r>
        <w:t xml:space="preserve"> </w:t>
      </w:r>
      <w:r>
        <w:t xml:space="preserve">Weak-to-moderate test-phase film cues increase film recall while leaving the intentionality gap largely intact.</w:t>
      </w:r>
      <w:r>
        <w:t xml:space="preserve"> </w:t>
      </w:r>
      <w:r>
        <w:t xml:space="preserve">For example, increasing film cue strength from 0.00 to 0.675 raises film recall mass from 0.008 to 0.210 under unguided retrieval and from 2.229 to 2.400 under deliberate recall, while the deliberate-minus-unguided gap changes only from 2.221 to 2.190.</w:t>
      </w:r>
      <w:r>
        <w:t xml:space="preserve"> </w:t>
      </w:r>
      <w:r>
        <w:t xml:space="preserve">This pattern shows that a test-phase film cue can increase film recall without producing the same diagnostic early-film starting context as Simulation 2’s start-of-list reinstatement.</w:t>
      </w:r>
      <w:r>
        <w:t xml:space="preserve"> </w:t>
      </w:r>
      <w:r>
        <w:t xml:space="preserve">At stronger cue values, the intentionality gap begins to narrow because cue-driven context reinstatement itself becomes strong enough to guide unguided retrieval toward film items.</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supplied film items can increase film recall, but they reduce selective interference only to the extent that the reinstated context discriminates film targets from task and filler competitors.</w:t>
      </w:r>
    </w:p>
    <w:bookmarkEnd w:id="76"/>
    <w:bookmarkStart w:id="81" w:name="X4b971085a32b00b7d6d10c2980fa2959349f2f4"/>
    <w:p>
      <w:pPr>
        <w:pStyle w:val="Heading2"/>
      </w:pPr>
      <w:r>
        <w:t xml:space="preserve">Simulation 4: Context-to-Item and Item-to-Context Test Formats</w:t>
      </w:r>
    </w:p>
    <w:p>
      <w:pPr>
        <w:pStyle w:val="FirstParagraph"/>
      </w:pPr>
      <w:r>
        <w:t xml:space="preserve">Simulation 4 extends the cue logic to test format.</w:t>
      </w:r>
      <w:r>
        <w:t xml:space="preserve"> </w:t>
      </w:r>
      <w:r>
        <w:t xml:space="preserve">The relevant architectural distinction is between context-to-item recall, in which film items must win selection from a mixed competitor set, and supplied-item access, in which the test provides item information that can reinstate associated context directly.</w:t>
      </w:r>
      <w:r>
        <w:t xml:space="preserve"> </w:t>
      </w:r>
      <w:r>
        <w:t xml:space="preserve">This comparison does not require treating recognition as fully modeled by CMR.</w:t>
      </w:r>
      <w:r>
        <w:t xml:space="preserve"> </w:t>
      </w:r>
      <w:r>
        <w:t xml:space="preserve">Instead, it asks whether a supplied film item changes vulnerability to context-binding interference because the retrieval problem no longer begins with selecting a film item from context alone.</w:t>
      </w:r>
    </w:p>
    <w:p>
      <w:pPr>
        <w:pStyle w:val="BodyText"/>
      </w:pPr>
      <w:r>
        <w:t xml:space="preserve">The predicted contrast follows from the bidirectional item-context loop.</w:t>
      </w:r>
      <w:r>
        <w:t xml:space="preserve"> </w:t>
      </w:r>
      <w:r>
        <w:t xml:space="preserve">When the test begins from context, film and task items compete according to their context-to-feature support.</w:t>
      </w:r>
      <w:r>
        <w:t xml:space="preserve"> </w:t>
      </w:r>
      <w:r>
        <w:t xml:space="preserve">When the test supplies an item, item-to-context associations are engaged first, so performance can be less sensitive to whether a film item would have won an unguided context-to-item competition.</w:t>
      </w:r>
      <w:r>
        <w:t xml:space="preserve"> </w:t>
      </w:r>
      <w:r>
        <w:t xml:space="preserve">This provides a test-format consequence of the same mechanism examined in Simulation 3, without assuming a separate recognition decision model.</w:t>
      </w:r>
    </w:p>
    <w:bookmarkStart w:id="80" w:name="fig-simulation4-test-format-schematic"/>
    <w:p>
      <w:pPr>
        <w:pStyle w:val="FigureTitle"/>
      </w:pPr>
      <w:r>
        <w:t xml:space="preserve">Figure 6</w:t>
      </w:r>
    </w:p>
    <w:p>
      <w:pPr>
        <w:pStyle w:val="Caption"/>
      </w:pPr>
      <w:r>
        <w:rPr>
          <w:b/>
          <w:bCs/>
        </w:rPr>
        <w:t xml:space="preserve">Retrieval format changes where interference can enter.</w:t>
      </w:r>
      <w:r>
        <w:t xml:space="preserve"> </w:t>
      </w:r>
      <w:r>
        <w:t xml:space="preserve">Simulation 4 distinguishes context-guided retrieval from supplied-item retrieval.</w:t>
      </w:r>
      <w:r>
        <w:t xml:space="preserve"> </w:t>
      </w:r>
      <w:r>
        <w:rPr>
          <w:b/>
          <w:bCs/>
        </w:rPr>
        <w:t xml:space="preserve">(A)</w:t>
      </w:r>
      <w:r>
        <w:t xml:space="preserve"> </w:t>
      </w:r>
      <w:r>
        <w:t xml:space="preserve">When retrieval begins from context, the same context state can cue multiple candidates; task items therefore compete with film items when both have been encoded in overlapping contexts.</w:t>
      </w:r>
      <w:r>
        <w:t xml:space="preserve"> </w:t>
      </w:r>
      <w:r>
        <w:t xml:space="preserve">When retrieval begins from a supplied film item, the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ask why item-cued or recognition-like tests may show preserved access even when context-guided recall is sensitive to interference.</w:t>
      </w:r>
    </w:p>
    <w:p>
      <w:pPr>
        <w:pStyle w:val="FigureWithoutNote"/>
      </w:pPr>
      <w:r>
        <w:drawing>
          <wp:inline>
            <wp:extent cx="5943600" cy="2773680"/>
            <wp:effectExtent b="0" l="0" r="0" t="0"/>
            <wp:docPr descr="" title="" id="78" name="Picture"/>
            <a:graphic>
              <a:graphicData uri="http://schemas.openxmlformats.org/drawingml/2006/picture">
                <pic:pic>
                  <pic:nvPicPr>
                    <pic:cNvPr descr="figures/simulation4_test_format_schematic.png" id="79" name="Picture"/>
                    <pic:cNvPicPr>
                      <a:picLocks noChangeArrowheads="1" noChangeAspect="1"/>
                    </pic:cNvPicPr>
                  </pic:nvPicPr>
                  <pic:blipFill>
                    <a:blip r:embed="rId77"/>
                    <a:stretch>
                      <a:fillRect/>
                    </a:stretch>
                  </pic:blipFill>
                  <pic:spPr bwMode="auto">
                    <a:xfrm>
                      <a:off x="0" y="0"/>
                      <a:ext cx="5943600" cy="2773680"/>
                    </a:xfrm>
                    <a:prstGeom prst="rect">
                      <a:avLst/>
                    </a:prstGeom>
                    <a:noFill/>
                    <a:ln w="9525">
                      <a:noFill/>
                      <a:headEnd/>
                      <a:tailEnd/>
                    </a:ln>
                  </pic:spPr>
                </pic:pic>
              </a:graphicData>
            </a:graphic>
          </wp:inline>
        </w:drawing>
      </w:r>
    </w:p>
    <w:bookmarkEnd w:id="80"/>
    <w:bookmarkEnd w:id="81"/>
    <w:bookmarkStart w:id="82" w:name="X3bccd27e2ac34ffe83600109912b9a30086b735"/>
    <w:p>
      <w:pPr>
        <w:pStyle w:val="Heading2"/>
      </w:pPr>
      <w:r>
        <w:t xml:space="preserve">Simulation 5: Task Specificity and Source-Context Overlap</w:t>
      </w:r>
    </w:p>
    <w:p>
      <w:pPr>
        <w:pStyle w:val="FirstParagraph"/>
      </w:pPr>
      <w:r>
        <w:t xml:space="preserve">Simulation 5 turns to task specificity.</w:t>
      </w:r>
      <w:r>
        <w:t xml:space="preserve"> </w:t>
      </w:r>
      <w:r>
        <w:t xml:space="preserve">In the model,</w:t>
      </w:r>
      <w:r>
        <w:t xml:space="preserve"> </w:t>
      </w:r>
      <w:r>
        <w:t xml:space="preserve">“visuospatial”</w:t>
      </w:r>
      <w:r>
        <w:t xml:space="preserve"> </w:t>
      </w:r>
      <w:r>
        <w:t xml:space="preserve">and</w:t>
      </w:r>
      <w:r>
        <w:t xml:space="preserve"> </w:t>
      </w:r>
      <w:r>
        <w:t xml:space="preserve">“comparison”</w:t>
      </w:r>
      <w:r>
        <w:t xml:space="preserve"> </w:t>
      </w:r>
      <w:r>
        <w:t xml:space="preserve">are not primitive task labels.</w:t>
      </w:r>
      <w:r>
        <w:t xml:space="preserve"> </w:t>
      </w:r>
      <w:r>
        <w:t xml:space="preserve">A post-film task becomes effective when its items are strong competitors, when they are encoded in temporal-context states that overlap with the film trajectory, or when they share a source-context state with film items.</w:t>
      </w:r>
      <w:r>
        <w:t xml:space="preserve"> </w:t>
      </w:r>
      <w:r>
        <w:t xml:space="preserve">These factors can vary independently, so a task label is interpretable only through its consequences for competitor strength and contextual overlap.</w:t>
      </w:r>
    </w:p>
    <w:p>
      <w:pPr>
        <w:pStyle w:val="BodyText"/>
      </w:pPr>
      <w:r>
        <w:t xml:space="preserve">The task-specificity simulations therefore decompose three candidate routes to interference.</w:t>
      </w:r>
      <w:r>
        <w:t xml:space="preserve"> </w:t>
      </w:r>
      <w:r>
        <w:t xml:space="preserve">Increasing the task encoding multiplier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outcomes are film access, task-competitor retrieval, and retrieval outcomes by encoded phase or position.</w:t>
      </w:r>
    </w:p>
    <w:bookmarkEnd w:id="82"/>
    <w:bookmarkEnd w:id="83"/>
    <w:bookmarkStart w:id="84" w:name="general-discussion"/>
    <w:p>
      <w:pPr>
        <w:pStyle w:val="Heading1"/>
      </w:pPr>
      <w:r>
        <w:t xml:space="preserve">General Discussion</w:t>
      </w:r>
    </w:p>
    <w:bookmarkEnd w:id="84"/>
    <w:bookmarkStart w:id="167" w:name="references"/>
    <w:p>
      <w:pPr>
        <w:pStyle w:val="Heading1"/>
      </w:pPr>
      <w:r>
        <w:t xml:space="preserve">References</w:t>
      </w:r>
    </w:p>
    <w:bookmarkStart w:id="166" w:name="refs"/>
    <w:bookmarkStart w:id="8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85">
        <w:r>
          <w:rPr>
            <w:rStyle w:val="Hyperlink"/>
          </w:rPr>
          <w:t xml:space="preserve">https://doi.org/10.1016/j.jpsychires.2023.01.028</w:t>
        </w:r>
      </w:hyperlink>
    </w:p>
    <w:bookmarkEnd w:id="86"/>
    <w:bookmarkStart w:id="8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87">
        <w:r>
          <w:rPr>
            <w:rStyle w:val="Hyperlink"/>
          </w:rPr>
          <w:t xml:space="preserve">https://doi.org/10.1037/0096-3445.129.1.126</w:t>
        </w:r>
      </w:hyperlink>
    </w:p>
    <w:bookmarkEnd w:id="88"/>
    <w:bookmarkStart w:id="90" w:name="ref-bonsall2023temporal"/>
    <w:p>
      <w:pPr>
        <w:pStyle w:val="Bibliography"/>
      </w:pPr>
      <w:r>
        <w:t xml:space="preserve">Bonsall, M. B., &amp; Holmes, E. A. (2023). Temporal dynamics of trauma memory persistence.</w:t>
      </w:r>
      <w:r>
        <w:t xml:space="preserve"> </w:t>
      </w:r>
      <w:r>
        <w:rPr>
          <w:i/>
          <w:iCs/>
        </w:rPr>
        <w:t xml:space="preserve">Journal of the Royal Society Interface</w:t>
      </w:r>
      <w:r>
        <w:t xml:space="preserve">,</w:t>
      </w:r>
      <w:r>
        <w:t xml:space="preserve"> </w:t>
      </w:r>
      <w:r>
        <w:rPr>
          <w:i/>
          <w:iCs/>
        </w:rPr>
        <w:t xml:space="preserve">20</w:t>
      </w:r>
      <w:r>
        <w:t xml:space="preserve">(203), 20230108.</w:t>
      </w:r>
      <w:r>
        <w:t xml:space="preserve"> </w:t>
      </w:r>
      <w:hyperlink r:id="rId89">
        <w:r>
          <w:rPr>
            <w:rStyle w:val="Hyperlink"/>
          </w:rPr>
          <w:t xml:space="preserve">https://doi.org/10.1098/rsif.2023.0108</w:t>
        </w:r>
      </w:hyperlink>
    </w:p>
    <w:bookmarkEnd w:id="90"/>
    <w:bookmarkStart w:id="92" w:name="ref-boyle2025why"/>
    <w:p>
      <w:pPr>
        <w:pStyle w:val="Bibliography"/>
      </w:pPr>
      <w:r>
        <w:t xml:space="preserve">Boyle, A., &amp; Brown, S. A. B. (2025). Why might animals remember? A functional framework for episodic memory research in comparative psychology.</w:t>
      </w:r>
      <w:r>
        <w:t xml:space="preserve"> </w:t>
      </w:r>
      <w:r>
        <w:rPr>
          <w:i/>
          <w:iCs/>
        </w:rPr>
        <w:t xml:space="preserve">Learning &amp; Behavior</w:t>
      </w:r>
      <w:r>
        <w:t xml:space="preserve">,</w:t>
      </w:r>
      <w:r>
        <w:t xml:space="preserve"> </w:t>
      </w:r>
      <w:r>
        <w:rPr>
          <w:i/>
          <w:iCs/>
        </w:rPr>
        <w:t xml:space="preserve">53</w:t>
      </w:r>
      <w:r>
        <w:t xml:space="preserve">, 14–30.</w:t>
      </w:r>
      <w:r>
        <w:t xml:space="preserve"> </w:t>
      </w:r>
      <w:hyperlink r:id="rId91">
        <w:r>
          <w:rPr>
            <w:rStyle w:val="Hyperlink"/>
          </w:rPr>
          <w:t xml:space="preserve">https://doi.org/10.3758/s13420-024-00645-0</w:t>
        </w:r>
      </w:hyperlink>
    </w:p>
    <w:bookmarkEnd w:id="92"/>
    <w:bookmarkStart w:id="94"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93">
        <w:r>
          <w:rPr>
            <w:rStyle w:val="Hyperlink"/>
          </w:rPr>
          <w:t xml:space="preserve">https://doi.org/10.1037/a0033722</w:t>
        </w:r>
      </w:hyperlink>
    </w:p>
    <w:bookmarkEnd w:id="94"/>
    <w:bookmarkStart w:id="96"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95">
        <w:r>
          <w:rPr>
            <w:rStyle w:val="Hyperlink"/>
          </w:rPr>
          <w:t xml:space="preserve">https://doi.org/10.1037/0033-295X.103.4.670</w:t>
        </w:r>
      </w:hyperlink>
    </w:p>
    <w:bookmarkEnd w:id="96"/>
    <w:bookmarkStart w:id="98"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97">
        <w:r>
          <w:rPr>
            <w:rStyle w:val="Hyperlink"/>
          </w:rPr>
          <w:t xml:space="preserve">https://doi.org/10.1037/a0018113</w:t>
        </w:r>
      </w:hyperlink>
    </w:p>
    <w:bookmarkEnd w:id="98"/>
    <w:bookmarkStart w:id="100"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99">
        <w:r>
          <w:rPr>
            <w:rStyle w:val="Hyperlink"/>
          </w:rPr>
          <w:t xml:space="preserve">https://doi.org/10.1037/rev0000334</w:t>
        </w:r>
      </w:hyperlink>
    </w:p>
    <w:bookmarkEnd w:id="100"/>
    <w:bookmarkStart w:id="102"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01">
        <w:r>
          <w:rPr>
            <w:rStyle w:val="Hyperlink"/>
          </w:rPr>
          <w:t xml:space="preserve">https://doi.org/10.1016/j.jbtep.2011.10.008</w:t>
        </w:r>
      </w:hyperlink>
    </w:p>
    <w:bookmarkEnd w:id="102"/>
    <w:bookmarkStart w:id="103"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03"/>
    <w:bookmarkStart w:id="105"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04">
        <w:r>
          <w:rPr>
            <w:rStyle w:val="Hyperlink"/>
          </w:rPr>
          <w:t xml:space="preserve">https://doi.org/10.1016/S0005-7967(99)00123-0</w:t>
        </w:r>
      </w:hyperlink>
    </w:p>
    <w:bookmarkEnd w:id="105"/>
    <w:bookmarkStart w:id="107"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06">
        <w:r>
          <w:rPr>
            <w:rStyle w:val="Hyperlink"/>
          </w:rPr>
          <w:t xml:space="preserve">https://doi.org/10.1016/j.actpsy.2007.11.002</w:t>
        </w:r>
      </w:hyperlink>
    </w:p>
    <w:bookmarkEnd w:id="107"/>
    <w:bookmarkStart w:id="109"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08">
        <w:r>
          <w:rPr>
            <w:rStyle w:val="Hyperlink"/>
          </w:rPr>
          <w:t xml:space="preserve">https://doi.org/10.1037/0096-3445.133.1.3</w:t>
        </w:r>
      </w:hyperlink>
    </w:p>
    <w:bookmarkEnd w:id="109"/>
    <w:bookmarkStart w:id="111"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10">
        <w:r>
          <w:rPr>
            <w:rStyle w:val="Hyperlink"/>
          </w:rPr>
          <w:t xml:space="preserve">https://doi.org/10.1371/journal.pone.0004153</w:t>
        </w:r>
      </w:hyperlink>
    </w:p>
    <w:bookmarkEnd w:id="111"/>
    <w:bookmarkStart w:id="113"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12">
        <w:r>
          <w:rPr>
            <w:rStyle w:val="Hyperlink"/>
          </w:rPr>
          <w:t xml:space="preserve">https://doi.org/10.1371/journal.pone.0013706</w:t>
        </w:r>
      </w:hyperlink>
    </w:p>
    <w:bookmarkEnd w:id="113"/>
    <w:bookmarkStart w:id="115"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14">
        <w:r>
          <w:rPr>
            <w:rStyle w:val="Hyperlink"/>
          </w:rPr>
          <w:t xml:space="preserve">https://doi.org/10.1016/j.brat.2017.03.018</w:t>
        </w:r>
      </w:hyperlink>
    </w:p>
    <w:bookmarkEnd w:id="115"/>
    <w:bookmarkStart w:id="117"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16">
        <w:r>
          <w:rPr>
            <w:rStyle w:val="Hyperlink"/>
          </w:rPr>
          <w:t xml:space="preserve">https://doi.org/10.1006/jmps.2001.1388</w:t>
        </w:r>
      </w:hyperlink>
    </w:p>
    <w:bookmarkEnd w:id="117"/>
    <w:bookmarkStart w:id="118"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18"/>
    <w:bookmarkStart w:id="120"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19">
        <w:r>
          <w:rPr>
            <w:rStyle w:val="Hyperlink"/>
          </w:rPr>
          <w:t xml:space="preserve">https://doi.org/10.1101/lm.1022308</w:t>
        </w:r>
      </w:hyperlink>
    </w:p>
    <w:bookmarkEnd w:id="120"/>
    <w:bookmarkStart w:id="12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21">
        <w:r>
          <w:rPr>
            <w:rStyle w:val="Hyperlink"/>
          </w:rPr>
          <w:t xml:space="preserve">https://doi.org/10.1038/mp.2017.23</w:t>
        </w:r>
      </w:hyperlink>
    </w:p>
    <w:bookmarkEnd w:id="122"/>
    <w:bookmarkStart w:id="124"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23">
        <w:r>
          <w:rPr>
            <w:rStyle w:val="Hyperlink"/>
          </w:rPr>
          <w:t xml:space="preserve">https://doi.org/10.1016/j.cpr.2018.08.005</w:t>
        </w:r>
      </w:hyperlink>
    </w:p>
    <w:bookmarkEnd w:id="124"/>
    <w:bookmarkStart w:id="126"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25">
        <w:r>
          <w:rPr>
            <w:rStyle w:val="Hyperlink"/>
          </w:rPr>
          <w:t xml:space="preserve">https://doi.org/10.1177/0956797615583071</w:t>
        </w:r>
      </w:hyperlink>
    </w:p>
    <w:bookmarkEnd w:id="126"/>
    <w:bookmarkStart w:id="128"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27">
        <w:r>
          <w:rPr>
            <w:rStyle w:val="Hyperlink"/>
          </w:rPr>
          <w:t xml:space="preserve">https://doi.org/10.1016/j.cpr.2016.04.010</w:t>
        </w:r>
      </w:hyperlink>
    </w:p>
    <w:bookmarkEnd w:id="128"/>
    <w:bookmarkStart w:id="129"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29"/>
    <w:bookmarkStart w:id="13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30">
        <w:r>
          <w:rPr>
            <w:rStyle w:val="Hyperlink"/>
          </w:rPr>
          <w:t xml:space="preserve">https://doi.org/10.1002/cpp.2489</w:t>
        </w:r>
      </w:hyperlink>
    </w:p>
    <w:bookmarkEnd w:id="131"/>
    <w:bookmarkStart w:id="133"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32">
        <w:r>
          <w:rPr>
            <w:rStyle w:val="Hyperlink"/>
          </w:rPr>
          <w:t xml:space="preserve">https://doi.org/10.1016/j.jbtep.2019.01.006</w:t>
        </w:r>
      </w:hyperlink>
    </w:p>
    <w:bookmarkEnd w:id="133"/>
    <w:bookmarkStart w:id="135"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34">
        <w:r>
          <w:rPr>
            <w:rStyle w:val="Hyperlink"/>
          </w:rPr>
          <w:t xml:space="preserve">https://doi.org/10.1038/nn.2271</w:t>
        </w:r>
      </w:hyperlink>
    </w:p>
    <w:bookmarkEnd w:id="135"/>
    <w:bookmarkStart w:id="137"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36">
        <w:r>
          <w:rPr>
            <w:rStyle w:val="Hyperlink"/>
          </w:rPr>
          <w:t xml:space="preserve">https://doi.org/10.1523/JNEUROSCI.3378-14.2015</w:t>
        </w:r>
      </w:hyperlink>
    </w:p>
    <w:bookmarkEnd w:id="137"/>
    <w:bookmarkStart w:id="139"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38">
        <w:r>
          <w:rPr>
            <w:rStyle w:val="Hyperlink"/>
          </w:rPr>
          <w:t xml:space="preserve">https://doi.org/10.1002/acp.1611</w:t>
        </w:r>
      </w:hyperlink>
    </w:p>
    <w:bookmarkEnd w:id="139"/>
    <w:bookmarkStart w:id="141"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40">
        <w:r>
          <w:rPr>
            <w:rStyle w:val="Hyperlink"/>
          </w:rPr>
          <w:t xml:space="preserve">https://doi.org/10.1037/xge0000598</w:t>
        </w:r>
      </w:hyperlink>
    </w:p>
    <w:bookmarkEnd w:id="141"/>
    <w:bookmarkStart w:id="143"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42">
        <w:r>
          <w:rPr>
            <w:rStyle w:val="Hyperlink"/>
          </w:rPr>
          <w:t xml:space="preserve">https://doi.org/10.1177/2167702621998315</w:t>
        </w:r>
      </w:hyperlink>
    </w:p>
    <w:bookmarkEnd w:id="143"/>
    <w:bookmarkStart w:id="145"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44">
        <w:r>
          <w:rPr>
            <w:rStyle w:val="Hyperlink"/>
          </w:rPr>
          <w:t xml:space="preserve">https://doi.org/10.1037/a0039036</w:t>
        </w:r>
      </w:hyperlink>
    </w:p>
    <w:bookmarkEnd w:id="145"/>
    <w:bookmarkStart w:id="147"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46">
        <w:r>
          <w:rPr>
            <w:rStyle w:val="Hyperlink"/>
          </w:rPr>
          <w:t xml:space="preserve">https://doi.org/10.1016/j.jml.2015.10.002</w:t>
        </w:r>
      </w:hyperlink>
    </w:p>
    <w:bookmarkEnd w:id="147"/>
    <w:bookmarkStart w:id="149"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48">
        <w:r>
          <w:rPr>
            <w:rStyle w:val="Hyperlink"/>
          </w:rPr>
          <w:t xml:space="preserve">https://doi.org/10.1037/a0014420</w:t>
        </w:r>
      </w:hyperlink>
    </w:p>
    <w:bookmarkEnd w:id="149"/>
    <w:bookmarkStart w:id="151"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50">
        <w:r>
          <w:rPr>
            <w:rStyle w:val="Hyperlink"/>
          </w:rPr>
          <w:t xml:space="preserve">https://doi.org/10.1016/j.neuropsychologia.2009.02.013</w:t>
        </w:r>
      </w:hyperlink>
    </w:p>
    <w:bookmarkEnd w:id="151"/>
    <w:bookmarkStart w:id="153"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52">
        <w:r>
          <w:rPr>
            <w:rStyle w:val="Hyperlink"/>
          </w:rPr>
          <w:t xml:space="preserve">https://doi.org/10.3758/s13423-011-0086-9</w:t>
        </w:r>
      </w:hyperlink>
    </w:p>
    <w:bookmarkEnd w:id="153"/>
    <w:bookmarkStart w:id="155"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54">
        <w:r>
          <w:rPr>
            <w:rStyle w:val="Hyperlink"/>
          </w:rPr>
          <w:t xml:space="preserve">https://doi.org/10.1037/a0013396</w:t>
        </w:r>
      </w:hyperlink>
    </w:p>
    <w:bookmarkEnd w:id="155"/>
    <w:bookmarkStart w:id="157"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56">
        <w:r>
          <w:rPr>
            <w:rStyle w:val="Hyperlink"/>
          </w:rPr>
          <w:t xml:space="preserve">https://doi.org/10.1037/rev0000132</w:t>
        </w:r>
      </w:hyperlink>
    </w:p>
    <w:bookmarkEnd w:id="157"/>
    <w:bookmarkStart w:id="159"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58">
        <w:r>
          <w:rPr>
            <w:rStyle w:val="Hyperlink"/>
          </w:rPr>
          <w:t xml:space="preserve">https://doi.org/10.1038/s41562-024-01956-y</w:t>
        </w:r>
      </w:hyperlink>
    </w:p>
    <w:bookmarkEnd w:id="159"/>
    <w:bookmarkStart w:id="161"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60">
        <w:r>
          <w:rPr>
            <w:rStyle w:val="Hyperlink"/>
          </w:rPr>
          <w:t xml:space="preserve">https://doi.org/10.1525/collabra.130791</w:t>
        </w:r>
      </w:hyperlink>
    </w:p>
    <w:bookmarkEnd w:id="161"/>
    <w:bookmarkStart w:id="163"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62">
        <w:r>
          <w:rPr>
            <w:rStyle w:val="Hyperlink"/>
          </w:rPr>
          <w:t xml:space="preserve">https://doi.org/10.1037/0278-7393.32.4.792</w:t>
        </w:r>
      </w:hyperlink>
    </w:p>
    <w:bookmarkEnd w:id="163"/>
    <w:bookmarkStart w:id="165"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164">
        <w:r>
          <w:rPr>
            <w:rStyle w:val="Hyperlink"/>
          </w:rPr>
          <w:t xml:space="preserve">https://doi.org/10.1037/rev0000505</w:t>
        </w:r>
      </w:hyperlink>
    </w:p>
    <w:bookmarkEnd w:id="165"/>
    <w:bookmarkEnd w:id="166"/>
    <w:bookmarkEnd w:id="16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5" Target="media/rId25.png" /><Relationship Type="http://schemas.openxmlformats.org/officeDocument/2006/relationships/hyperlink" Id="rId138" Target="https://doi.org/10.1002/acp.1611" TargetMode="External" /><Relationship Type="http://schemas.openxmlformats.org/officeDocument/2006/relationships/hyperlink" Id="rId130" Target="https://doi.org/10.1002/cpp.2489" TargetMode="External" /><Relationship Type="http://schemas.openxmlformats.org/officeDocument/2006/relationships/hyperlink" Id="rId116" Target="https://doi.org/10.1006/jmps.2001.1388" TargetMode="External" /><Relationship Type="http://schemas.openxmlformats.org/officeDocument/2006/relationships/hyperlink" Id="rId104" Target="https://doi.org/10.1016/S0005-7967(99)00123-0" TargetMode="External" /><Relationship Type="http://schemas.openxmlformats.org/officeDocument/2006/relationships/hyperlink" Id="rId106" Target="https://doi.org/10.1016/j.actpsy.2007.11.002" TargetMode="External" /><Relationship Type="http://schemas.openxmlformats.org/officeDocument/2006/relationships/hyperlink" Id="rId114" Target="https://doi.org/10.1016/j.brat.2017.03.018" TargetMode="External" /><Relationship Type="http://schemas.openxmlformats.org/officeDocument/2006/relationships/hyperlink" Id="rId127" Target="https://doi.org/10.1016/j.cpr.2016.04.010" TargetMode="External" /><Relationship Type="http://schemas.openxmlformats.org/officeDocument/2006/relationships/hyperlink" Id="rId123" Target="https://doi.org/10.1016/j.cpr.2018.08.005" TargetMode="External" /><Relationship Type="http://schemas.openxmlformats.org/officeDocument/2006/relationships/hyperlink" Id="rId101" Target="https://doi.org/10.1016/j.jbtep.2011.10.008" TargetMode="External" /><Relationship Type="http://schemas.openxmlformats.org/officeDocument/2006/relationships/hyperlink" Id="rId132" Target="https://doi.org/10.1016/j.jbtep.2019.01.006" TargetMode="External" /><Relationship Type="http://schemas.openxmlformats.org/officeDocument/2006/relationships/hyperlink" Id="rId146" Target="https://doi.org/10.1016/j.jml.2015.10.002" TargetMode="External" /><Relationship Type="http://schemas.openxmlformats.org/officeDocument/2006/relationships/hyperlink" Id="rId85" Target="https://doi.org/10.1016/j.jpsychires.2023.01.028" TargetMode="External" /><Relationship Type="http://schemas.openxmlformats.org/officeDocument/2006/relationships/hyperlink" Id="rId150" Target="https://doi.org/10.1016/j.neuropsychologia.2009.02.013" TargetMode="External" /><Relationship Type="http://schemas.openxmlformats.org/officeDocument/2006/relationships/hyperlink" Id="rId95" Target="https://doi.org/10.1037/0033-295X.103.4.670" TargetMode="External" /><Relationship Type="http://schemas.openxmlformats.org/officeDocument/2006/relationships/hyperlink" Id="rId87" Target="https://doi.org/10.1037/0096-3445.129.1.126" TargetMode="External" /><Relationship Type="http://schemas.openxmlformats.org/officeDocument/2006/relationships/hyperlink" Id="rId108" Target="https://doi.org/10.1037/0096-3445.133.1.3" TargetMode="External" /><Relationship Type="http://schemas.openxmlformats.org/officeDocument/2006/relationships/hyperlink" Id="rId162" Target="https://doi.org/10.1037/0278-7393.32.4.792" TargetMode="External" /><Relationship Type="http://schemas.openxmlformats.org/officeDocument/2006/relationships/hyperlink" Id="rId154" Target="https://doi.org/10.1037/a0013396" TargetMode="External" /><Relationship Type="http://schemas.openxmlformats.org/officeDocument/2006/relationships/hyperlink" Id="rId148" Target="https://doi.org/10.1037/a0014420" TargetMode="External" /><Relationship Type="http://schemas.openxmlformats.org/officeDocument/2006/relationships/hyperlink" Id="rId97" Target="https://doi.org/10.1037/a0018113" TargetMode="External" /><Relationship Type="http://schemas.openxmlformats.org/officeDocument/2006/relationships/hyperlink" Id="rId93" Target="https://doi.org/10.1037/a0033722" TargetMode="External" /><Relationship Type="http://schemas.openxmlformats.org/officeDocument/2006/relationships/hyperlink" Id="rId144" Target="https://doi.org/10.1037/a0039036" TargetMode="External" /><Relationship Type="http://schemas.openxmlformats.org/officeDocument/2006/relationships/hyperlink" Id="rId156" Target="https://doi.org/10.1037/rev0000132" TargetMode="External" /><Relationship Type="http://schemas.openxmlformats.org/officeDocument/2006/relationships/hyperlink" Id="rId99" Target="https://doi.org/10.1037/rev0000334" TargetMode="External" /><Relationship Type="http://schemas.openxmlformats.org/officeDocument/2006/relationships/hyperlink" Id="rId164" Target="https://doi.org/10.1037/rev0000505" TargetMode="External" /><Relationship Type="http://schemas.openxmlformats.org/officeDocument/2006/relationships/hyperlink" Id="rId140" Target="https://doi.org/10.1037/xge0000598" TargetMode="External" /><Relationship Type="http://schemas.openxmlformats.org/officeDocument/2006/relationships/hyperlink" Id="rId121" Target="https://doi.org/10.1038/mp.2017.23" TargetMode="External" /><Relationship Type="http://schemas.openxmlformats.org/officeDocument/2006/relationships/hyperlink" Id="rId134" Target="https://doi.org/10.1038/nn.2271" TargetMode="External" /><Relationship Type="http://schemas.openxmlformats.org/officeDocument/2006/relationships/hyperlink" Id="rId158" Target="https://doi.org/10.1038/s41562-024-01956-y" TargetMode="External" /><Relationship Type="http://schemas.openxmlformats.org/officeDocument/2006/relationships/hyperlink" Id="rId89" Target="https://doi.org/10.1098/rsif.2023.0108" TargetMode="External" /><Relationship Type="http://schemas.openxmlformats.org/officeDocument/2006/relationships/hyperlink" Id="rId119" Target="https://doi.org/10.1101/lm.1022308" TargetMode="External" /><Relationship Type="http://schemas.openxmlformats.org/officeDocument/2006/relationships/hyperlink" Id="rId125" Target="https://doi.org/10.1177/0956797615583071" TargetMode="External" /><Relationship Type="http://schemas.openxmlformats.org/officeDocument/2006/relationships/hyperlink" Id="rId142" Target="https://doi.org/10.1177/2167702621998315" TargetMode="External" /><Relationship Type="http://schemas.openxmlformats.org/officeDocument/2006/relationships/hyperlink" Id="rId110" Target="https://doi.org/10.1371/journal.pone.0004153" TargetMode="External" /><Relationship Type="http://schemas.openxmlformats.org/officeDocument/2006/relationships/hyperlink" Id="rId112" Target="https://doi.org/10.1371/journal.pone.0013706" TargetMode="External" /><Relationship Type="http://schemas.openxmlformats.org/officeDocument/2006/relationships/hyperlink" Id="rId136" Target="https://doi.org/10.1523/JNEUROSCI.3378-14.2015" TargetMode="External" /><Relationship Type="http://schemas.openxmlformats.org/officeDocument/2006/relationships/hyperlink" Id="rId160" Target="https://doi.org/10.1525/collabra.130791" TargetMode="External" /><Relationship Type="http://schemas.openxmlformats.org/officeDocument/2006/relationships/hyperlink" Id="rId91" Target="https://doi.org/10.3758/s13420-024-00645-0" TargetMode="External" /><Relationship Type="http://schemas.openxmlformats.org/officeDocument/2006/relationships/hyperlink" Id="rId152"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2/acp.1611" TargetMode="External" /><Relationship Type="http://schemas.openxmlformats.org/officeDocument/2006/relationships/hyperlink" Id="rId130" Target="https://doi.org/10.1002/cpp.2489" TargetMode="External" /><Relationship Type="http://schemas.openxmlformats.org/officeDocument/2006/relationships/hyperlink" Id="rId116" Target="https://doi.org/10.1006/jmps.2001.1388" TargetMode="External" /><Relationship Type="http://schemas.openxmlformats.org/officeDocument/2006/relationships/hyperlink" Id="rId104" Target="https://doi.org/10.1016/S0005-7967(99)00123-0" TargetMode="External" /><Relationship Type="http://schemas.openxmlformats.org/officeDocument/2006/relationships/hyperlink" Id="rId106" Target="https://doi.org/10.1016/j.actpsy.2007.11.002" TargetMode="External" /><Relationship Type="http://schemas.openxmlformats.org/officeDocument/2006/relationships/hyperlink" Id="rId114" Target="https://doi.org/10.1016/j.brat.2017.03.018" TargetMode="External" /><Relationship Type="http://schemas.openxmlformats.org/officeDocument/2006/relationships/hyperlink" Id="rId127" Target="https://doi.org/10.1016/j.cpr.2016.04.010" TargetMode="External" /><Relationship Type="http://schemas.openxmlformats.org/officeDocument/2006/relationships/hyperlink" Id="rId123" Target="https://doi.org/10.1016/j.cpr.2018.08.005" TargetMode="External" /><Relationship Type="http://schemas.openxmlformats.org/officeDocument/2006/relationships/hyperlink" Id="rId101" Target="https://doi.org/10.1016/j.jbtep.2011.10.008" TargetMode="External" /><Relationship Type="http://schemas.openxmlformats.org/officeDocument/2006/relationships/hyperlink" Id="rId132" Target="https://doi.org/10.1016/j.jbtep.2019.01.006" TargetMode="External" /><Relationship Type="http://schemas.openxmlformats.org/officeDocument/2006/relationships/hyperlink" Id="rId146" Target="https://doi.org/10.1016/j.jml.2015.10.002" TargetMode="External" /><Relationship Type="http://schemas.openxmlformats.org/officeDocument/2006/relationships/hyperlink" Id="rId85" Target="https://doi.org/10.1016/j.jpsychires.2023.01.028" TargetMode="External" /><Relationship Type="http://schemas.openxmlformats.org/officeDocument/2006/relationships/hyperlink" Id="rId150" Target="https://doi.org/10.1016/j.neuropsychologia.2009.02.013" TargetMode="External" /><Relationship Type="http://schemas.openxmlformats.org/officeDocument/2006/relationships/hyperlink" Id="rId95" Target="https://doi.org/10.1037/0033-295X.103.4.670" TargetMode="External" /><Relationship Type="http://schemas.openxmlformats.org/officeDocument/2006/relationships/hyperlink" Id="rId87" Target="https://doi.org/10.1037/0096-3445.129.1.126" TargetMode="External" /><Relationship Type="http://schemas.openxmlformats.org/officeDocument/2006/relationships/hyperlink" Id="rId108" Target="https://doi.org/10.1037/0096-3445.133.1.3" TargetMode="External" /><Relationship Type="http://schemas.openxmlformats.org/officeDocument/2006/relationships/hyperlink" Id="rId162" Target="https://doi.org/10.1037/0278-7393.32.4.792" TargetMode="External" /><Relationship Type="http://schemas.openxmlformats.org/officeDocument/2006/relationships/hyperlink" Id="rId154" Target="https://doi.org/10.1037/a0013396" TargetMode="External" /><Relationship Type="http://schemas.openxmlformats.org/officeDocument/2006/relationships/hyperlink" Id="rId148" Target="https://doi.org/10.1037/a0014420" TargetMode="External" /><Relationship Type="http://schemas.openxmlformats.org/officeDocument/2006/relationships/hyperlink" Id="rId97" Target="https://doi.org/10.1037/a0018113" TargetMode="External" /><Relationship Type="http://schemas.openxmlformats.org/officeDocument/2006/relationships/hyperlink" Id="rId93" Target="https://doi.org/10.1037/a0033722" TargetMode="External" /><Relationship Type="http://schemas.openxmlformats.org/officeDocument/2006/relationships/hyperlink" Id="rId144" Target="https://doi.org/10.1037/a0039036" TargetMode="External" /><Relationship Type="http://schemas.openxmlformats.org/officeDocument/2006/relationships/hyperlink" Id="rId156" Target="https://doi.org/10.1037/rev0000132" TargetMode="External" /><Relationship Type="http://schemas.openxmlformats.org/officeDocument/2006/relationships/hyperlink" Id="rId99" Target="https://doi.org/10.1037/rev0000334" TargetMode="External" /><Relationship Type="http://schemas.openxmlformats.org/officeDocument/2006/relationships/hyperlink" Id="rId164" Target="https://doi.org/10.1037/rev0000505" TargetMode="External" /><Relationship Type="http://schemas.openxmlformats.org/officeDocument/2006/relationships/hyperlink" Id="rId140" Target="https://doi.org/10.1037/xge0000598" TargetMode="External" /><Relationship Type="http://schemas.openxmlformats.org/officeDocument/2006/relationships/hyperlink" Id="rId121" Target="https://doi.org/10.1038/mp.2017.23" TargetMode="External" /><Relationship Type="http://schemas.openxmlformats.org/officeDocument/2006/relationships/hyperlink" Id="rId134" Target="https://doi.org/10.1038/nn.2271" TargetMode="External" /><Relationship Type="http://schemas.openxmlformats.org/officeDocument/2006/relationships/hyperlink" Id="rId158" Target="https://doi.org/10.1038/s41562-024-01956-y" TargetMode="External" /><Relationship Type="http://schemas.openxmlformats.org/officeDocument/2006/relationships/hyperlink" Id="rId89" Target="https://doi.org/10.1098/rsif.2023.0108" TargetMode="External" /><Relationship Type="http://schemas.openxmlformats.org/officeDocument/2006/relationships/hyperlink" Id="rId119" Target="https://doi.org/10.1101/lm.1022308" TargetMode="External" /><Relationship Type="http://schemas.openxmlformats.org/officeDocument/2006/relationships/hyperlink" Id="rId125" Target="https://doi.org/10.1177/0956797615583071" TargetMode="External" /><Relationship Type="http://schemas.openxmlformats.org/officeDocument/2006/relationships/hyperlink" Id="rId142" Target="https://doi.org/10.1177/2167702621998315" TargetMode="External" /><Relationship Type="http://schemas.openxmlformats.org/officeDocument/2006/relationships/hyperlink" Id="rId110" Target="https://doi.org/10.1371/journal.pone.0004153" TargetMode="External" /><Relationship Type="http://schemas.openxmlformats.org/officeDocument/2006/relationships/hyperlink" Id="rId112" Target="https://doi.org/10.1371/journal.pone.0013706" TargetMode="External" /><Relationship Type="http://schemas.openxmlformats.org/officeDocument/2006/relationships/hyperlink" Id="rId136" Target="https://doi.org/10.1523/JNEUROSCI.3378-14.2015" TargetMode="External" /><Relationship Type="http://schemas.openxmlformats.org/officeDocument/2006/relationships/hyperlink" Id="rId160" Target="https://doi.org/10.1525/collabra.130791" TargetMode="External" /><Relationship Type="http://schemas.openxmlformats.org/officeDocument/2006/relationships/hyperlink" Id="rId91" Target="https://doi.org/10.3758/s13420-024-00645-0" TargetMode="External" /><Relationship Type="http://schemas.openxmlformats.org/officeDocument/2006/relationships/hyperlink" Id="rId152"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2026-06-05T03:41:36Z</dcterms:created>
  <dcterms:modified xsi:type="dcterms:W3CDTF">2026-06-05T03:41:36Z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