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83.png" ContentType="image/png"/>
  <Override PartName="/word/media/rId79.png" ContentType="image/png"/>
  <Override PartName="/word/media/rId74.png" ContentType="image/png"/>
  <Override PartName="/word/media/rId88.png" ContentType="image/png"/>
  <Override PartName="/word/media/rId96.png" ContentType="image/png"/>
  <Override PartName="/word/media/rId92.png" ContentType="image/png"/>
  <Override PartName="/word/media/rId100.png" ContentType="image/png"/>
  <Override PartName="/word/media/rId104.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can be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add a later reminder before the interference task.</w:t>
      </w:r>
      <w:r>
        <w:t xml:space="preserve"> </w:t>
      </w:r>
      <w:r>
        <w:t xml:space="preserve">Participants return after roughly 24 hours to 3 days, view reminder cues for the film, and then complete Tetris.</w:t>
      </w:r>
      <w:r>
        <w:t xml:space="preserve"> </w:t>
      </w:r>
      <w:r>
        <w:t xml:space="preserve">These reminder-plus-Tetris procedures can also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schematizes this target as an interaction among reminder timing, task condition, and retrieval condition.</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this competition should reduce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selectivity is explained as a stronger effect on the memory basis for intrusions than for voluntary remembering.</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film-related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film-related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r>
        <w:t xml:space="preserve"> </w:t>
      </w:r>
    </w:p>
    <w:p>
      <w:pPr>
        <w:pStyle w:val="BodyText"/>
      </w:pPr>
      <w:r>
        <w:t xml:space="preserve">Applied to the trauma-film paradigm, the model treats film, delay-period, task, and filler events as a continuous sequence through which context evolves.</w:t>
      </w:r>
      <w:r>
        <w:t xml:space="preserve"> </w:t>
      </w:r>
      <w:r>
        <w:t xml:space="preserve">A film reminder is implemented as item-to-context reinstatement before task encoding.</w:t>
      </w:r>
      <w:r>
        <w:t xml:space="preserve"> </w:t>
      </w:r>
      <w:r>
        <w:t xml:space="preserve">Later recall is implemented as context-to-item sampling from the film and non-film items supported by the current retrieval state.</w:t>
      </w:r>
      <w:r>
        <w:t xml:space="preserve"> </w:t>
      </w:r>
      <w:r>
        <w:t xml:space="preserve">When that context supports both film and task material, task items compete with film recall rather than merely weakening a film trace.</w:t>
      </w:r>
    </w:p>
    <w:p>
      <w:pPr>
        <w:pStyle w:val="BodyText"/>
      </w:pPr>
      <w:r>
        <w:t xml:space="preserve">Deliberate recall is modeled with several retrieval-control processes.</w:t>
      </w:r>
      <w:r>
        <w:t xml:space="preserve"> </w:t>
      </w:r>
      <w:r>
        <w:t xml:space="preserve">Rather than universally protecting film recall in a manner consistent with the selective interference effect, we show that some control mechanisms can increase film recall without making recall less sensitive to reminder-linked task encoding.</w:t>
      </w:r>
      <w:r>
        <w:t xml:space="preserve"> </w:t>
      </w:r>
      <w:r>
        <w:t xml:space="preserve">In the simulations, the strongest protection comes from adding a maintained film-retrieval goal that gives film candidates support not shared by task competitors.</w:t>
      </w:r>
      <w:r>
        <w:t xml:space="preserve"> </w:t>
      </w:r>
      <w:r>
        <w:t xml:space="preserve">This identifies a functional condition for selective interference: voluntary recall is protected when it depends less on film-associated temporal context that has also become supportive of task material.</w:t>
      </w:r>
    </w:p>
    <w:p>
      <w:pPr>
        <w:pStyle w:val="BodyText"/>
      </w:pPr>
      <w:r>
        <w:t xml:space="preserve">The simulations follow a generalization-style modeling logic</w:t>
      </w:r>
      <w:r>
        <w:t xml:space="preserve"> </w:t>
      </w:r>
      <w:r>
        <w:t xml:space="preserve">(</w:t>
      </w:r>
      <w:hyperlink w:anchor="ref-busemeyer2000model">
        <w:r>
          <w:rPr>
            <w:rStyle w:val="Hyperlink"/>
          </w:rPr>
          <w:t xml:space="preserve">Busemeyer &amp; Wang, 2000</w:t>
        </w:r>
      </w:hyperlink>
      <w:r>
        <w:t xml:space="preserve">;</w:t>
      </w:r>
      <w:r>
        <w:t xml:space="preserve"> </w:t>
      </w:r>
      <w:hyperlink w:anchor="ref-lohnas2023event">
        <w:r>
          <w:rPr>
            <w:rStyle w:val="Hyperlink"/>
          </w:rPr>
          <w:t xml:space="preserve">Lohnas et al., 2023</w:t>
        </w:r>
      </w:hyperlink>
      <w:r>
        <w:t xml:space="preserve">)</w:t>
      </w:r>
      <w:r>
        <w:t xml:space="preserve">.</w:t>
      </w:r>
      <w:r>
        <w:t xml:space="preserve"> </w:t>
      </w:r>
      <w:r>
        <w:t xml:space="preserve">We anchor core eCMR parameters in an independent affective free-recall dataset</w:t>
      </w:r>
      <w:r>
        <w:t xml:space="preserve"> </w:t>
      </w:r>
      <w:r>
        <w:t xml:space="preserve">(</w:t>
      </w:r>
      <w:hyperlink w:anchor="ref-dupertuys2026ukraine">
        <w:r>
          <w:rPr>
            <w:rStyle w:val="Hyperlink"/>
          </w:rPr>
          <w:t xml:space="preserve">Dupertuys et al., 2026</w:t>
        </w:r>
      </w:hyperlink>
      <w:r>
        <w:t xml:space="preserve">)</w:t>
      </w:r>
      <w:r>
        <w:t xml:space="preserve">, then map the trauma-film sequence onto that architecture and ask whether it produces the qualitative selective-interference pattern.</w:t>
      </w:r>
      <w:r>
        <w:t xml:space="preserve"> </w:t>
      </w:r>
      <w:r>
        <w:t xml:space="preserve">The first simulations examine whether reminder-linked task encoding creates competitors for film recall.</w:t>
      </w:r>
      <w:r>
        <w:t xml:space="preserve"> </w:t>
      </w:r>
      <w:r>
        <w:t xml:space="preserve">The next simulations ask when deliberate recall is protected from those competitors, focusing on whether a maintained film-retrieval goal gives film material a more selective basis for recall.</w:t>
      </w:r>
      <w:r>
        <w:t xml:space="preserve"> </w:t>
      </w:r>
      <w:r>
        <w:t xml:space="preserve">A final recognition analysis treats recognition as a boundary condition: when a candidate film item is supplied for judgment, performance need not depend on sampling that item from a context that also cues task material.</w:t>
      </w:r>
      <w:r>
        <w:t xml:space="preserve"> </w:t>
      </w:r>
      <w:r>
        <w:t xml:space="preserve">Together, the simulations define a mechanistic alternative to selective-vulnerability accounts and identify conditions under which intrusive and voluntary remembering should appear more or less dissociated.</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c897a8b9721a90617e40ad358cd74b83536e295"/>
    <w:p>
      <w:pPr>
        <w:pStyle w:val="Heading2"/>
      </w:pPr>
      <w:r>
        <w:t xml:space="preserve">Retrieval Conditions in Selective Interference</w:t>
      </w:r>
    </w:p>
    <w:p>
      <w:pPr>
        <w:pStyle w:val="FirstParagraph"/>
      </w:pPr>
      <w:hyperlink w:anchor="fig-empirical-target">
        <w:r>
          <w:rPr>
            <w:rStyle w:val="Hyperlink"/>
          </w:rPr>
          <w:t xml:space="preserve">Figure 1</w:t>
        </w:r>
      </w:hyperlink>
      <w:r>
        <w:t xml:space="preserve"> </w:t>
      </w:r>
      <w:r>
        <w:t xml:space="preserve">summarizes the selective interference effect as reduced intrusion-like access with relatively preserved voluntary memory for the same film material.</w:t>
      </w:r>
      <w:r>
        <w:t xml:space="preserve"> </w:t>
      </w:r>
      <w:r>
        <w:t xml:space="preserve">Studies of this effect use tests that differ in whether film content must be generated or is presented for judgment.</w:t>
      </w:r>
      <w:r>
        <w:t xml:space="preserve"> </w:t>
      </w:r>
      <w:r>
        <w:t xml:space="preserve">Diary measures attempt to count film memories that inadvertently arise during daily life.</w:t>
      </w:r>
      <w:r>
        <w:t xml:space="preserve"> </w:t>
      </w:r>
      <w:r>
        <w:t xml:space="preserve">Laboratory intrusion tasks count memories reported during a defined monitoring period, sometimes while film cues are present.</w:t>
      </w:r>
      <w:r>
        <w:t xml:space="preserve"> </w:t>
      </w:r>
      <w:r>
        <w:t xml:space="preserve">Recognition tests present candidate film statements or still images for judgment.</w:t>
      </w:r>
      <w:r>
        <w:t xml:space="preserve"> </w:t>
      </w:r>
      <w:r>
        <w:t xml:space="preserve">Free recall and retrieval probe tasks require participants to produce or elaborate film details from a prompt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resulting comparisons differ in whether film content is already supplied or has to come to mind.</w:t>
      </w:r>
    </w:p>
    <w:p>
      <w:pPr>
        <w:pStyle w:val="BodyText"/>
      </w:pPr>
      <w:r>
        <w:t xml:space="preserve">Many studies that established selective interference used recognition as the voluntary-memory test.</w:t>
      </w:r>
      <w:r>
        <w:t xml:space="preserve"> </w:t>
      </w:r>
      <w:r>
        <w:t xml:space="preserve">Immediate post-film Tetris studies and delayed reminder-plus-Tetris studies report fewer diary or laboratory intrusions while verbal or visual recognition remains similar across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uses the same basic pairing</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Those results show that the intervention can reduce film memories reported as intrusions while leaving participants able to recognize candidate film material at test.</w:t>
      </w:r>
      <w:r>
        <w:t xml:space="preserve"> </w:t>
      </w:r>
      <w:r>
        <w:t xml:space="preserve">Later studies made the concern more specific: diary reports depend on film memories coming to mind, whereas recognition tests supply candidate film material for judgment</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Preserved recognition is therefore narrower than general preservation of voluntary memory.</w:t>
      </w:r>
      <w:r>
        <w:t xml:space="preserve"> </w:t>
      </w:r>
      <w:r>
        <w:t xml:space="preserve">Reviews, replication attempts, and newer tests also caution against treating the effect as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Studies using recall, probing, or vigilance-intrusion measures test whether the dissociation persists when film material has to be produced or reported under more closely matched conditions.</w:t>
      </w:r>
      <w:r>
        <w:t xml:space="preserve"> </w:t>
      </w:r>
      <w:r>
        <w:t xml:space="preserve">One three-experiment study added free recall, specific probing, and priming to the diary-recognition comparison, then introduced a vigilance-intrusion task to measure intrusions during a laboratory monitoring task</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Reminder-plus-Tetris reduced diary and vigilance intrusions while free recall, specific probing, and recognition were relatively preserved.</w:t>
      </w:r>
      <w:r>
        <w:t xml:space="preserve"> </w:t>
      </w:r>
      <w:r>
        <w:t xml:space="preserve">Later work matched vigilance-intrusion and modified recognition measures more closely in cueing, context, timing, and attentional demands, again finding reduced intrusion measures with preserved recognition</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A recent preregistered study pushed the matching further by using voluntary and involuntary versions of the same vigilance retrieval task, but did not find the predicted reduction in involuntary memory</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Vigilance-intrusion tasks bring intrusion measurement into the laboratory.</w:t>
      </w:r>
      <w:r>
        <w:t xml:space="preserve"> </w:t>
      </w:r>
      <w:r>
        <w:t xml:space="preserve">Participants perform an ongoing task and report film memories that arise, sometimes while film-related cues are presented.</w:t>
      </w:r>
      <w:r>
        <w:t xml:space="preserve"> </w:t>
      </w:r>
      <w:r>
        <w:t xml:space="preserve">These cues can prompt film-related retrieval, but they do not supply the candidate film item for recognition.</w:t>
      </w:r>
      <w:r>
        <w:t xml:space="preserve"> </w:t>
      </w:r>
      <w:r>
        <w:t xml:space="preserve">Vigilance-retrieval variants extend this logic by using similar task structure for voluntary and involuntary reports, changing the retrieval instruction while keeping cue timing, task context, and response format more closely matched</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hyperlink w:anchor="fig-empirical-examples">
        <w:r>
          <w:rPr>
            <w:rStyle w:val="Hyperlink"/>
          </w:rPr>
          <w:t xml:space="preserve">Figure 2</w:t>
        </w:r>
      </w:hyperlink>
      <w:r>
        <w:t xml:space="preserve"> </w:t>
      </w:r>
      <w:r>
        <w:t xml:space="preserve">illustrates this empirical range with three exemplar designs: delayed-reminder diary-plus-recognition, delayed-reminder diary-plus-free-recall, and trauma-film-cued vigilance-intrusion-plus-recognition.</w:t>
      </w:r>
    </w:p>
    <w:bookmarkStart w:id="31" w:name="fig-empirical-examples"/>
    <w:p>
      <w:pPr>
        <w:pStyle w:val="FigureTitle"/>
      </w:pPr>
      <w:r>
        <w:t xml:space="preserve">Figure 2</w:t>
      </w:r>
    </w:p>
    <w:p>
      <w:pPr>
        <w:pStyle w:val="Caption"/>
      </w:pPr>
      <w:r>
        <w:rPr>
          <w:b/>
          <w:bCs/>
        </w:rPr>
        <w:t xml:space="preserve">Empirical examples of selective interference across retrieval formats.</w:t>
      </w:r>
      <w:r>
        <w:t xml:space="preserve"> </w:t>
      </w:r>
      <w:r>
        <w:t xml:space="preserve">Rows show three exemplar studies that differ in how intrusion-like and voluntary memory are measured: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p>
      <w:pPr>
        <w:pStyle w:val="AfterWithoutNote"/>
      </w:pPr>
      <w:r>
        <w:t xml:space="preserve">Panel A of</w:t>
      </w:r>
      <w:r>
        <w:t xml:space="preserve"> </w:t>
      </w:r>
      <w:hyperlink w:anchor="fig-empirical-target">
        <w:r>
          <w:rPr>
            <w:rStyle w:val="Hyperlink"/>
          </w:rPr>
          <w:t xml:space="preserve">Figure 1</w:t>
        </w:r>
      </w:hyperlink>
      <w:r>
        <w:t xml:space="preserve"> </w:t>
      </w:r>
      <w:r>
        <w:t xml:space="preserve">defines the target paradigm for the trauma-film recall simulations: film encoding, a possible reminder, task encoding, and later unguided or deliberate retrieval that can produce sequences of film and non-film recall events.</w:t>
      </w:r>
      <w:r>
        <w:t xml:space="preserve"> </w:t>
      </w:r>
      <w:r>
        <w:t xml:space="preserve">The unguided retrieval condition approximates laboratory intrusion measurement rather than recognition.</w:t>
      </w:r>
      <w:r>
        <w:t xml:space="preserve"> </w:t>
      </w:r>
      <w:r>
        <w:t xml:space="preserve">Film-related cues can be present during a monitoring task, but the film item still has to be sampled and reported if it comes to mind.</w:t>
      </w:r>
      <w:r>
        <w:t xml:space="preserve"> </w:t>
      </w:r>
      <w:r>
        <w:t xml:space="preserve">Recognition is a boundary condition because the candidate film item is already present at test.</w:t>
      </w:r>
      <w:r>
        <w:t xml:space="preserve"> </w:t>
      </w:r>
      <w:r>
        <w:t xml:space="preserve">When a test supplies the item for judgment, memory can succeed through an item-to-context route rather than through sampling from the current retrieval state.</w:t>
      </w:r>
      <w:r>
        <w:t xml:space="preserve"> </w:t>
      </w:r>
      <w:r>
        <w:t xml:space="preserve">The retrieved-context account therefore has to explain why reminder-linked task material can compete with film recall during vigilance-intrusion retrieval while recognition remains relatively preserved.</w:t>
      </w:r>
    </w:p>
    <w:bookmarkEnd w:id="32"/>
    <w:bookmarkEnd w:id="33"/>
    <w:bookmarkStart w:id="46" w:name="Xc30ecb24643046c4752102619295de1bc2871c8"/>
    <w:p>
      <w:pPr>
        <w:pStyle w:val="Heading1"/>
      </w:pPr>
      <w:r>
        <w:t xml:space="preserve">A Retrieved-Context Account of Selective Interference</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w:t>
      </w:r>
      <w:r>
        <w:t xml:space="preserve"> </w:t>
      </w:r>
      <w:r>
        <w:t xml:space="preserve">Context-to-feature associations cue candidate items from the current context, and feature-to-context associations reinstate context when an item is recalled or when a reminder or test cue is presented.</w:t>
      </w:r>
      <w:r>
        <w:t xml:space="preserve"> </w:t>
      </w:r>
      <w:r>
        <w:rPr>
          <w:b/>
          <w:bCs/>
        </w:rPr>
        <w:t xml:space="preserve">(B)</w:t>
      </w:r>
      <w:r>
        <w:t xml:space="preserve"> </w:t>
      </w:r>
      <w:r>
        <w:t xml:space="preserve">The interference manipulation changes which context states task items are linked to during encoding.</w:t>
      </w:r>
      <w:r>
        <w:t xml:space="preserve"> </w:t>
      </w:r>
      <w:r>
        <w:t xml:space="preserve">Without a pre-task reminder, task items are encoded after context has drifted away from the film.</w:t>
      </w:r>
      <w:r>
        <w:t xml:space="preserve"> </w:t>
      </w:r>
      <w:r>
        <w:t xml:space="preserve">With a pre-task film reminder, task encoding occurs after film-associated context has been reinstated, so task items are learned in context states that overlap with film context.</w:t>
      </w:r>
      <w:r>
        <w:t xml:space="preserve"> </w:t>
      </w:r>
      <w:r>
        <w:t xml:space="preserve">Thus, the same context that can cue film items can also cue task competitors during later retrieval.</w:t>
      </w:r>
      <w:r>
        <w:t xml:space="preserve"> </w:t>
      </w:r>
      <w:r>
        <w:t xml:space="preserve">When task encoding is strong, those task items become stronger competitors during later context-guided retrieval.</w:t>
      </w:r>
      <w:r>
        <w:t xml:space="preserve"> </w:t>
      </w:r>
      <w:r>
        <w:t xml:space="preserve">Circles mark item features: F labels film items and T labels task items.</w:t>
      </w:r>
      <w:r>
        <w:t xml:space="preserve"> </w:t>
      </w:r>
      <w:r>
        <w:t xml:space="preserve">Squares mark context states.</w:t>
      </w:r>
      <w:r>
        <w:t xml:space="preserve"> </w:t>
      </w:r>
      <w:r>
        <w:t xml:space="preserve">Blue marks film items or film-linked context, orange marks task items or task-linked context, green marks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Stored film and task associations can be sampled from different starting contexts.</w:t>
      </w:r>
      <w:r>
        <w:t xml:space="preserve"> </w:t>
      </w:r>
      <w:r>
        <w:t xml:space="preserve">Unguided retrieval begins from ongoing context, which can support film and task candidates together.</w:t>
      </w:r>
      <w:r>
        <w:t xml:space="preserve"> </w:t>
      </w:r>
      <w:r>
        <w:t xml:space="preserve">Deliberate recall can begin with start-of-film context reinstatement, which favors film candidates while leaving task candidates possible.</w:t>
      </w:r>
      <w:r>
        <w:t xml:space="preserve"> </w:t>
      </w:r>
      <w:r>
        <w:rPr>
          <w:b/>
          <w:bCs/>
        </w:rPr>
        <w:t xml:space="preserve">(B)</w:t>
      </w:r>
      <w:r>
        <w:t xml:space="preserve"> </w:t>
      </w:r>
      <w:r>
        <w:t xml:space="preserve">A maintained film goal provides an additional deliberate-retrieval signal during context-to-feature sampling.</w:t>
      </w:r>
      <w:r>
        <w:t xml:space="preserve"> </w:t>
      </w:r>
      <w:r>
        <w:t xml:space="preserve">Ongoing context can still cue both film items and task competitors, but the maintained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Sampled outputs update the next retrieval context through feature-to-context memory.</w:t>
      </w:r>
      <w:r>
        <w:t xml:space="preserve"> </w:t>
      </w:r>
      <w:r>
        <w:t xml:space="preserve">Recalling a film item keeps later search biased toward film candidates.</w:t>
      </w:r>
      <w:r>
        <w:t xml:space="preserve"> </w:t>
      </w:r>
      <w:r>
        <w:t xml:space="preserve">Recalling a task item without monitoring can shift later context toward task candidates.</w:t>
      </w:r>
      <w:r>
        <w:t xml:space="preserve"> </w:t>
      </w:r>
      <w:r>
        <w:t xml:space="preserve">With retrieval monitoring, the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Retrieved-context models explain recall as search from a changing context state shaped by recent experience and prior retrieval.</w:t>
      </w:r>
      <w:r>
        <w:t xml:space="preserve"> </w:t>
      </w:r>
      <w:r>
        <w:t xml:space="preserve">The current context cues candidate items, and recalled items reinstate context from encoding, producing temporal organization in free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Applied to selective interference, these operations explain how task material becomes linked to film-associated context and how later retrieval determines the extent to which that material competes with film material for recall.</w:t>
      </w:r>
    </w:p>
    <w:p>
      <w:pPr>
        <w:pStyle w:val="BodyText"/>
      </w:pPr>
      <w:r>
        <w:t xml:space="preserve">Film, task, and delay periods are represented as sequences of events that update context.</w:t>
      </w:r>
      <w:r>
        <w:t xml:space="preserve"> </w:t>
      </w:r>
      <w:r>
        <w:t xml:space="preserve">For the film, these events correspond roughly to scenes or segments.</w:t>
      </w:r>
      <w:r>
        <w:t xml:space="preserve"> </w:t>
      </w:r>
      <w:r>
        <w:t xml:space="preserve">For the task and delay periods, they represent non-film events that can also be encoded and later sampled.</w:t>
      </w:r>
      <w:r>
        <w:t xml:space="preserve"> </w:t>
      </w:r>
      <w:r>
        <w:t xml:space="preserve">A film reminder reinstates film-associated context before task encoding.</w:t>
      </w:r>
      <w:r>
        <w:t xml:space="preserve"> </w:t>
      </w:r>
      <w:r>
        <w:t xml:space="preserve">Task events encoded in that state can later be cued alongside film material.</w:t>
      </w:r>
      <w:r>
        <w:t xml:space="preserve"> </w:t>
      </w:r>
      <w:r>
        <w:t xml:space="preserve">Retrieval then depends on how strongly the test setting constrains search toward film material rather than toward the broader set of candidates supported by the current context.</w:t>
      </w:r>
      <w:r>
        <w:t xml:space="preserve"> </w:t>
      </w:r>
      <w:hyperlink w:anchor="X510f1211e07a3ef8f4aa5eaadde4214adc1a9dc">
        <w:r>
          <w:rPr>
            <w:rStyle w:val="Hyperlink"/>
          </w:rPr>
          <w:t xml:space="preserve">Figure 3</w:t>
        </w:r>
      </w:hyperlink>
      <w:r>
        <w:t xml:space="preserve"> </w:t>
      </w:r>
      <w:r>
        <w:t xml:space="preserve">summarizes the encoding and associative structure of the account, and</w:t>
      </w:r>
      <w:r>
        <w:t xml:space="preserve"> </w:t>
      </w:r>
      <w:hyperlink w:anchor="X199e0fd137172f53af28b87c55ae7adfa6c74ee">
        <w:r>
          <w:rPr>
            <w:rStyle w:val="Hyperlink"/>
          </w:rPr>
          <w:t xml:space="preserve">Figure 4</w:t>
        </w:r>
      </w:hyperlink>
      <w:r>
        <w:t xml:space="preserve"> </w:t>
      </w:r>
      <w:r>
        <w:t xml:space="preserve">summarizes the retrieval operations.</w:t>
      </w:r>
    </w:p>
    <w:bookmarkStart w:id="42" w:name="Xd59415b5fd42aab981071d489cd76f318b9874c"/>
    <w:p>
      <w:pPr>
        <w:pStyle w:val="Heading2"/>
      </w:pPr>
      <w:r>
        <w:t xml:space="preserve">Context-Guided Search and Source Organization</w:t>
      </w:r>
    </w:p>
    <w:p>
      <w:pPr>
        <w:pStyle w:val="FirstParagraph"/>
      </w:pPr>
      <w:r>
        <w:t xml:space="preserve">Retrieved-context models were developed to explain structured regularities in open-ended recall.</w:t>
      </w:r>
      <w:r>
        <w:t xml:space="preserve"> </w:t>
      </w:r>
      <w:r>
        <w:t xml:space="preserve">Free recall favors recently studied items, and successive recalls tend to come from nearby study positions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these models, a gradually changing context state cues candidate items, and recalled items reinstate the contexts in which they were encoded.</w:t>
      </w:r>
      <w:r>
        <w:t xml:space="preserve"> </w:t>
      </w:r>
      <w:r>
        <w:t xml:space="preserve">Recency follows because the retrieval context remains similar to contexts from recent study and recall events.</w:t>
      </w:r>
      <w:r>
        <w:t xml:space="preserve"> </w:t>
      </w:r>
      <w:r>
        <w:t xml:space="preserve">Temporal contiguity follows because a recalled item reinstates context from its study position, which is similar to the contexts associated with nearby items.</w:t>
      </w:r>
    </w:p>
    <w:p>
      <w:pPr>
        <w:pStyle w:val="BodyText"/>
      </w:pPr>
      <w:r>
        <w:t xml:space="preserve">Recall is also organized by shared content, task, and source.</w:t>
      </w:r>
      <w:r>
        <w:t xml:space="preserve"> </w:t>
      </w:r>
      <w:r>
        <w:t xml:space="preserve">Semantically related items, items encoded under the same task, and items from the same source can cluster during recall</w:t>
      </w:r>
      <w:r>
        <w:t xml:space="preserve"> </w:t>
      </w:r>
      <w:r>
        <w:t xml:space="preserve">(</w:t>
      </w:r>
      <w:hyperlink w:anchor="ref-lohnas2023event">
        <w:r>
          <w:rPr>
            <w:rStyle w:val="Hyperlink"/>
          </w:rPr>
          <w:t xml:space="preserve">Lohnas et al., 2023</w:t>
        </w:r>
      </w:hyperlink>
      <w:r>
        <w:t xml:space="preserve">;</w:t>
      </w:r>
      <w:r>
        <w:t xml:space="preserve"> </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 </w:t>
      </w:r>
      <w:hyperlink w:anchor="ref-polyn2012neural">
        <w:r>
          <w:rPr>
            <w:rStyle w:val="Hyperlink"/>
          </w:rPr>
          <w:t xml:space="preserve">2012</w:t>
        </w:r>
      </w:hyperlink>
      <w:r>
        <w:t xml:space="preserve">)</w:t>
      </w:r>
      <w:r>
        <w:t xml:space="preserve">.</w:t>
      </w:r>
      <w:r>
        <w:t xml:space="preserve"> </w:t>
      </w:r>
      <w:r>
        <w:t xml:space="preserve">CMR captures this broader organization by allowing semantic, task, and source information to contribute to the context state that guides retrieval.</w:t>
      </w:r>
      <w:r>
        <w:t xml:space="preserve"> </w:t>
      </w:r>
      <w:r>
        <w:t xml:space="preserve">Items that share these forms of context can support one another during memory search even when temporal position alone would not explain the organization.</w:t>
      </w:r>
      <w:r>
        <w:t xml:space="preserve"> </w:t>
      </w:r>
      <w:r>
        <w:t xml:space="preserve">In an account of the trauma-film paradigm, this lets film material receive shared film-directed support while individual film scenes or segments remain distinct encoded events.</w:t>
      </w:r>
    </w:p>
    <w:p>
      <w:pPr>
        <w:pStyle w:val="BodyText"/>
      </w:pPr>
      <w:r>
        <w:t xml:space="preserve">Emotional memory gives source organization a further role in the present model.</w:t>
      </w:r>
      <w:r>
        <w:t xml:space="preserve"> </w:t>
      </w:r>
      <w:r>
        <w:t xml:space="preserve">Emotional items can cluster together, and emotional material is often remembered better than neutral material</w:t>
      </w:r>
      <w:r>
        <w:t xml:space="preserve"> </w:t>
      </w:r>
      <w:r>
        <w:t xml:space="preserve">(</w:t>
      </w:r>
      <w:hyperlink w:anchor="ref-talmi2007contribution">
        <w:r>
          <w:rPr>
            <w:rStyle w:val="Hyperlink"/>
          </w:rPr>
          <w:t xml:space="preserve">Talmi et al., 2007</w:t>
        </w:r>
      </w:hyperlink>
      <w:r>
        <w:t xml:space="preserve">;</w:t>
      </w:r>
      <w:r>
        <w:t xml:space="preserve"> </w:t>
      </w:r>
      <w:hyperlink w:anchor="ref-talmi2013enhanced">
        <w:r>
          <w:rPr>
            <w:rStyle w:val="Hyperlink"/>
          </w:rPr>
          <w:t xml:space="preserve">Talmi, 2013</w:t>
        </w:r>
      </w:hyperlink>
      <w:r>
        <w:t xml:space="preserve">;</w:t>
      </w:r>
      <w:r>
        <w:t xml:space="preserve"> </w:t>
      </w:r>
      <w:hyperlink w:anchor="ref-talmi2004semantic">
        <w:r>
          <w:rPr>
            <w:rStyle w:val="Hyperlink"/>
          </w:rPr>
          <w:t xml:space="preserve">Talmi &amp; Moscovitch, 2004</w:t>
        </w:r>
      </w:hyperlink>
      <w:r>
        <w:t xml:space="preserve">)</w:t>
      </w:r>
      <w:r>
        <w:t xml:space="preserve">.</w:t>
      </w:r>
      <w:r>
        <w:t xml:space="preserve"> </w:t>
      </w:r>
      <w:r>
        <w:t xml:space="preserve">Emotional CMR represents affective information as a source-like context dimension and allows emotional items to form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same architecture can therefore give trauma-film material a shared film-directed signal and stronger retrieval support, while leaving neutral task and delay material available as separate competitors.</w:t>
      </w:r>
    </w:p>
    <w:bookmarkEnd w:id="42"/>
    <w:bookmarkStart w:id="43" w:name="reminder-linked-competitor-encoding"/>
    <w:p>
      <w:pPr>
        <w:pStyle w:val="Heading2"/>
      </w:pPr>
      <w:r>
        <w:t xml:space="preserve">Reminder-Linked Competitor Encoding</w:t>
      </w:r>
    </w:p>
    <w:p>
      <w:pPr>
        <w:pStyle w:val="FirstParagraph"/>
      </w:pPr>
      <w:r>
        <w:t xml:space="preserve">Reminder-linked task interventions produce interference by changing what task events become associated with during encoding.</w:t>
      </w:r>
      <w:r>
        <w:t xml:space="preserve"> </w:t>
      </w:r>
      <w:r>
        <w:t xml:space="preserve">In a retrieved-context account, task events interfere with film recall when they are encoded in context states that later also support film material.</w:t>
      </w:r>
    </w:p>
    <w:p>
      <w:pPr>
        <w:pStyle w:val="BodyText"/>
      </w:pPr>
      <w:r>
        <w:t xml:space="preserve">A film reminder can change the context in which the later task is encoded.</w:t>
      </w:r>
      <w:r>
        <w:t xml:space="preserve"> </w:t>
      </w:r>
      <w:r>
        <w:t xml:space="preserve">In retrieved-context models, presented or retrieved items can reinstate context from encoding</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When a film cue is presented before the task, it shifts current context toward states associated with the earlier film episode.</w:t>
      </w:r>
      <w:r>
        <w:t xml:space="preserve"> </w:t>
      </w:r>
      <w:r>
        <w:t xml:space="preserve">Task events are then encoded in a context that can later also support film material.</w:t>
      </w:r>
    </w:p>
    <w:p>
      <w:pPr>
        <w:pStyle w:val="BodyText"/>
      </w:pPr>
      <w:r>
        <w:t xml:space="preserve">Recall can include material outside the intended target.</w:t>
      </w:r>
      <w:r>
        <w:t xml:space="preserve"> </w:t>
      </w:r>
      <w:r>
        <w:t xml:space="preserve">In multi-list free recall, participants sometimes report items from earlier lists instead of the list they were asked to recall</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Those errors are structured: they are biased toward recently studied prior lists and change as intervening study or delay changes.</w:t>
      </w:r>
      <w:r>
        <w:t xml:space="preserve"> </w:t>
      </w:r>
      <w:r>
        <w:t xml:space="preserve">Retrieved-context models explain this pattern by treating recall as candidate sampling from the current context.</w:t>
      </w:r>
      <w:r>
        <w:t xml:space="preserve"> </w:t>
      </w:r>
      <w:r>
        <w:t xml:space="preserve">As context drifts, support for non-target items declines.</w:t>
      </w:r>
      <w:r>
        <w:t xml:space="preserve"> </w:t>
      </w:r>
      <w:r>
        <w:t xml:space="preserve">When a non-target item was encoded in a recent or related context, it can still enter the candidate set.</w:t>
      </w:r>
      <w:r>
        <w:t xml:space="preserve"> </w:t>
      </w:r>
      <w:r>
        <w:t xml:space="preserve">This makes task and delay events eligible recall candidates in the trauma-film paradigm.</w:t>
      </w:r>
      <w:r>
        <w:t xml:space="preserve"> </w:t>
      </w:r>
      <w:r>
        <w:t xml:space="preserve">If those events are encoded in context states that later support film recall, they can compete with film material during retrieval.</w:t>
      </w:r>
    </w:p>
    <w:p>
      <w:pPr>
        <w:pStyle w:val="BodyText"/>
      </w:pPr>
      <w:r>
        <w:t xml:space="preserve">Delayed reminder-linked task interventions in the trauma-film paradigm instantiate this kind of competitor encoding.</w:t>
      </w:r>
      <w:r>
        <w:t xml:space="preserve"> </w:t>
      </w:r>
      <w:r>
        <w:t xml:space="preserve">In these studies, participants encounter film cues before the interference task, and the procedure is typically interpreted as reactivating film memory before the task begins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When participants return to an earlier learning context, new material can become linked to the earlier episode</w:t>
      </w:r>
      <w:r>
        <w:t xml:space="preserve"> </w:t>
      </w:r>
      <w:r>
        <w:t xml:space="preserve">(</w:t>
      </w:r>
      <w:hyperlink w:anchor="ref-hupbach2008dynamics">
        <w:r>
          <w:rPr>
            <w:rStyle w:val="Hyperlink"/>
          </w:rPr>
          <w:t xml:space="preserve">Hupbach et al., 2008</w:t>
        </w:r>
      </w:hyperlink>
      <w:r>
        <w:t xml:space="preserve">;</w:t>
      </w:r>
      <w:r>
        <w:t xml:space="preserve"> </w:t>
      </w:r>
      <w:hyperlink w:anchor="ref-sederberg2011human">
        <w:r>
          <w:rPr>
            <w:rStyle w:val="Hyperlink"/>
          </w:rPr>
          <w:t xml:space="preserve">Sederberg et al., 2011</w:t>
        </w:r>
      </w:hyperlink>
      <w:r>
        <w:t xml:space="preserve">)</w:t>
      </w:r>
      <w:r>
        <w:t xml:space="preserve">.</w:t>
      </w:r>
      <w:r>
        <w:t xml:space="preserve"> </w:t>
      </w:r>
      <w:r>
        <w:t xml:space="preserve">The simulations instantiate this sequence by placing task encoding after reminder-driven reinstatement of film-associated context.</w:t>
      </w:r>
      <w:r>
        <w:t xml:space="preserve"> </w:t>
      </w:r>
      <w:r>
        <w:t xml:space="preserve">Task events encoded in that reinstated state acquire associations with context that also supports film items.</w:t>
      </w:r>
      <w:r>
        <w:t xml:space="preserve"> </w:t>
      </w:r>
      <w:r>
        <w:t xml:space="preserve">The intervention can then reduce later film recall by adding task competitors while stored film-item associations remain available.</w:t>
      </w:r>
      <w:r>
        <w:t xml:space="preserve"> </w:t>
      </w:r>
      <w:r>
        <w:t xml:space="preserve">Panel B</w:t>
      </w:r>
      <w:r>
        <w:t xml:space="preserve"> </w:t>
      </w:r>
      <w:hyperlink w:anchor="X510f1211e07a3ef8f4aa5eaadde4214adc1a9dc">
        <w:r>
          <w:rPr>
            <w:rStyle w:val="Hyperlink"/>
          </w:rPr>
          <w:t xml:space="preserve">Figure 3</w:t>
        </w:r>
      </w:hyperlink>
      <w:r>
        <w:t xml:space="preserve"> </w:t>
      </w:r>
      <w:r>
        <w:t xml:space="preserve">summarizes this encoding claim: the reminder shifts task encoding into film-overlapping context, so later context-guided retrieval can cue task competitors alongside film material.</w:t>
      </w:r>
    </w:p>
    <w:bookmarkEnd w:id="43"/>
    <w:bookmarkStart w:id="44" w:name="recognition-and-supplied-film-items"/>
    <w:p>
      <w:pPr>
        <w:pStyle w:val="Heading2"/>
      </w:pPr>
      <w:r>
        <w:t xml:space="preserve">Recognition and Supplied Film Items</w:t>
      </w:r>
    </w:p>
    <w:p>
      <w:pPr>
        <w:pStyle w:val="FirstParagraph"/>
      </w:pPr>
      <w:r>
        <w:t xml:space="preserve">The retrieved-context framework distinguishes two routes by which film material can enter a test response.</w:t>
      </w:r>
      <w:r>
        <w:t xml:space="preserve"> </w:t>
      </w:r>
      <w:r>
        <w:t xml:space="preserve">In context-guided retrieval, the current state of context cues candidate items, so a film memory is reported only if film material is selected from the items supported by that state.</w:t>
      </w:r>
      <w:r>
        <w:t xml:space="preserve"> </w:t>
      </w:r>
      <w:r>
        <w:t xml:space="preserve">In item-guided retrieval, a presented film statement or still image is already the candidate, so the task is to evaluate the context retrieved by that item.</w:t>
      </w:r>
      <w:r>
        <w:t xml:space="preserve"> </w:t>
      </w:r>
      <w:r>
        <w:t xml:space="preserve">Trauma-film studies commonly assess voluntary memory with recognition tests, where participants judge whether presented film statements or still images appeared in the film</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varma2024experimental">
        <w:r>
          <w:rPr>
            <w:rStyle w:val="Hyperlink"/>
          </w:rPr>
          <w:t xml:space="preserve">Varma et al., 2024</w:t>
        </w:r>
      </w:hyperlink>
      <w:r>
        <w:t xml:space="preserve">)</w:t>
      </w:r>
      <w:r>
        <w:t xml:space="preserve">.</w:t>
      </w:r>
      <w:r>
        <w:t xml:space="preserve"> </w:t>
      </w:r>
      <w:r>
        <w:t xml:space="preserve">By contrast, diary and laboratory monitoring tasks ask participants to report film memories that arise during daily life or during an ongoing task</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A retrieved-context account therefore interprets the dissociation between recognition and intrusion-like measures under reminder-linked task interference as primarily test-format dissociations.</w:t>
      </w:r>
      <w:r>
        <w:t xml:space="preserve"> </w:t>
      </w:r>
      <w:r>
        <w:t xml:space="preserve">Comparisons between intrusion-like reports and recognition tests confound retrieval intentionality with the route by which film material is accessed.</w:t>
      </w:r>
    </w:p>
    <w:p>
      <w:pPr>
        <w:pStyle w:val="BodyText"/>
      </w:pPr>
      <w:r>
        <w:t xml:space="preserve">Recognition judgments are shaped by the context surrounding a test probe.</w:t>
      </w:r>
      <w:r>
        <w:t xml:space="preserve"> </w:t>
      </w:r>
      <w:r>
        <w:t xml:space="preserve">Recently studied items are recognized more accurately than less recent items.</w:t>
      </w:r>
      <w:r>
        <w:t xml:space="preserve"> </w:t>
      </w:r>
      <w:r>
        <w:t xml:space="preserve">Similar lures are harder to reject, and one recognition probe can influence recognition of items studied nearby</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 </w:t>
      </w:r>
      <w:hyperlink w:anchor="ref-kahana2020computational">
        <w:r>
          <w:rPr>
            <w:rStyle w:val="Hyperlink"/>
          </w:rPr>
          <w:t xml:space="preserve">Kahana, 2020</w:t>
        </w:r>
      </w:hyperlink>
      <w:r>
        <w:t xml:space="preserve">;</w:t>
      </w:r>
      <w:r>
        <w:t xml:space="preserve"> </w:t>
      </w:r>
      <w:hyperlink w:anchor="ref-schwartz2005shadows">
        <w:r>
          <w:rPr>
            <w:rStyle w:val="Hyperlink"/>
          </w:rPr>
          <w:t xml:space="preserve">Schwartz et al., 2005</w:t>
        </w:r>
      </w:hyperlink>
      <w:r>
        <w:t xml:space="preserve">)</w:t>
      </w:r>
      <w:r>
        <w:t xml:space="preserve">.</w:t>
      </w:r>
      <w:r>
        <w:t xml:space="preserve"> </w:t>
      </w:r>
      <w:r>
        <w:t xml:space="preserve">In retrieved-context accounts of recognition, a presented probe retrieves context associated with earlier encounters of that item, and the retrieved context is compared with the context active during the test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w:t>
      </w:r>
      <w:r>
        <w:t xml:space="preserve"> </w:t>
      </w:r>
      <w:r>
        <w:t xml:space="preserve">Recency, lure similarity, and carryover between probes can be explained by changes in the match between the context retrieved by the probe and the context used for judgment.</w:t>
      </w:r>
      <w:r>
        <w:t xml:space="preserve"> </w:t>
      </w:r>
      <w:r>
        <w:t xml:space="preserve">Recognition therefore probes memory with an item and evaluates the context that item retrieves.</w:t>
      </w:r>
    </w:p>
    <w:p>
      <w:pPr>
        <w:pStyle w:val="BodyText"/>
      </w:pPr>
      <w:r>
        <w:t xml:space="preserve">Reminder-linked task encoding interferes with diary and monitoring measures when film-related context cues non-film competitors.</w:t>
      </w:r>
      <w:r>
        <w:t xml:space="preserve"> </w:t>
      </w:r>
      <w:r>
        <w:t xml:space="preserve">Those measures count film material only when it is retrieved during daily life or during a monitoring period.</w:t>
      </w:r>
      <w:r>
        <w:t xml:space="preserve"> </w:t>
      </w:r>
      <w:r>
        <w:t xml:space="preserve">After a film reminder, task events can be encoded while film-associated context is active.</w:t>
      </w:r>
      <w:r>
        <w:t xml:space="preserve"> </w:t>
      </w:r>
      <w:r>
        <w:t xml:space="preserve">Later, film-related context can cue those task events along with film items, reducing the chance that film material is retrieved.</w:t>
      </w:r>
      <w:r>
        <w:t xml:space="preserve"> </w:t>
      </w:r>
      <w:r>
        <w:t xml:space="preserve">Recognition uses the item-guided route described above.</w:t>
      </w:r>
      <w:r>
        <w:t xml:space="preserve"> </w:t>
      </w:r>
      <w:r>
        <w:t xml:space="preserve">The tested film item can retrieve associated context without first being selected from film-related context.</w:t>
      </w:r>
      <w:r>
        <w:t xml:space="preserve"> </w:t>
      </w:r>
      <w:hyperlink w:anchor="fig-recognition-test-format">
        <w:r>
          <w:rPr>
            <w:rStyle w:val="Hyperlink"/>
          </w:rPr>
          <w:t xml:space="preserve">Figure 13</w:t>
        </w:r>
      </w:hyperlink>
      <w:r>
        <w:t xml:space="preserve"> </w:t>
      </w:r>
      <w:r>
        <w:t xml:space="preserve">formalizes this supplied-item route: reminder-linked task items remain competitors during context-guided recall, but they do not compete for the initial availability of a presented film probe.</w:t>
      </w:r>
    </w:p>
    <w:p>
      <w:pPr>
        <w:pStyle w:val="BodyText"/>
      </w:pPr>
      <w:r>
        <w:t xml:space="preserve">Voluntary recall can be tested by means other than recognition.</w:t>
      </w:r>
      <w:r>
        <w:t xml:space="preserve"> </w:t>
      </w:r>
      <w:r>
        <w:t xml:space="preserve">In vigilance-intrusion tasks, participants perform an ongoing task while film or foil cues appear, and they report film memories that arise during the task</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A voluntary version can keep the same film-cued task structure while instructing participants to search deliberately for film memories, while an involuntary version can instead more neutrally instruct participants to report any film memories that come to mind</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Both versions score film material retrieved during a recall period rather than recognition judgments about supplied candidates.</w:t>
      </w:r>
    </w:p>
    <w:p>
      <w:pPr>
        <w:pStyle w:val="BodyText"/>
      </w:pPr>
      <w:r>
        <w:t xml:space="preserve">Film cues in these tasks still shape retrieval.</w:t>
      </w:r>
      <w:r>
        <w:t xml:space="preserve"> </w:t>
      </w:r>
      <w:r>
        <w:t xml:space="preserve">A film cue can reinstate context associated with the cued film material.</w:t>
      </w:r>
      <w:r>
        <w:t xml:space="preserve"> </w:t>
      </w:r>
      <w:r>
        <w:t xml:space="preserve">If recall depends on maintaining film-related context across the retrieval period, film cues can support recall in both monitoring and deliberate-search conditions.</w:t>
      </w:r>
      <w:r>
        <w:t xml:space="preserve"> </w:t>
      </w:r>
      <w:r>
        <w:t xml:space="preserve">That cue support does not automatically remove reminder-linked competition.</w:t>
      </w:r>
      <w:r>
        <w:t xml:space="preserve"> </w:t>
      </w:r>
      <w:r>
        <w:t xml:space="preserve">After reminder-linked task encoding, the reinstated context may also support task material, enabling task items to compete with film material during context-guided recall.</w:t>
      </w:r>
      <w:r>
        <w:t xml:space="preserve"> </w:t>
      </w:r>
      <w:r>
        <w:t xml:space="preserve">A recognition probe changes the access route more sharply because the probe is the candidate item to be judged.</w:t>
      </w:r>
    </w:p>
    <w:p>
      <w:pPr>
        <w:pStyle w:val="BodyText"/>
      </w:pPr>
      <w:r>
        <w:t xml:space="preserve">Recognition-intrusion comparisons therefore make confounds test format and retrieval intentionality in measures of the selective interference effect.</w:t>
      </w:r>
      <w:r>
        <w:t xml:space="preserve"> </w:t>
      </w:r>
      <w:r>
        <w:t xml:space="preserve">Better-matched recall designs keep film material dependent on context-guided retrieval across intentionality conditions, with film cues modeled as inputs to the retrieval context.</w:t>
      </w:r>
      <w:r>
        <w:t xml:space="preserve"> </w:t>
      </w:r>
      <w:r>
        <w:t xml:space="preserve">Under that design, differences in the effects of reminder-linked task encoding on film recall can be attributed to the way deliberate recall controls the course of memory search.</w:t>
      </w:r>
    </w:p>
    <w:bookmarkEnd w:id="44"/>
    <w:bookmarkStart w:id="45" w:name="Xfbedde256e5c9242b660a2368ef39e7e5be0932"/>
    <w:p>
      <w:pPr>
        <w:pStyle w:val="Heading2"/>
      </w:pPr>
      <w:r>
        <w:t xml:space="preserve">Film-Directed Recall Control Under Matched Retrieval Conditions</w:t>
      </w:r>
    </w:p>
    <w:p>
      <w:pPr>
        <w:pStyle w:val="FirstParagraph"/>
      </w:pPr>
      <w:r>
        <w:t xml:space="preserve">Competitor encoding makes film recall vulnerable when retrieval is guided by context that supports both film and task candidates.</w:t>
      </w:r>
      <w:r>
        <w:t xml:space="preserve"> </w:t>
      </w:r>
      <w:r>
        <w:t xml:space="preserve">Diary and vigilance-intrusion measures count film memories when they come to mind, often during ongoing activity or monitoring rather than after a specific film item has been supplied</w:t>
      </w:r>
      <w:r>
        <w:t xml:space="preserve"> </w:t>
      </w:r>
      <w:r>
        <w:t xml:space="preserve">(</w:t>
      </w:r>
      <w:hyperlink w:anchor="ref-holmes2008inducing">
        <w:r>
          <w:rPr>
            <w:rStyle w:val="Hyperlink"/>
          </w:rPr>
          <w:t xml:space="preserve">Holmes &amp; Bourne, 2008</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most relevant voluntary comparison similarly requires film material to be called to mind during a recall period rather than judged as a supplied recognition candidate</w:t>
      </w:r>
      <w:r>
        <w:t xml:space="preserve"> </w:t>
      </w:r>
      <w:r>
        <w:t xml:space="preserve">(</w:t>
      </w:r>
      <w:hyperlink w:anchor="ref-lau2019intrusive">
        <w:r>
          <w:rPr>
            <w:rStyle w:val="Hyperlink"/>
          </w:rPr>
          <w:t xml:space="preserve">Lau-Zhu et al., 2019</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Under this matched recall design, a film reminder can make task material accessible from the same retrieval state as film material by associating task events with film-overlapping context.</w:t>
      </w:r>
      <w:r>
        <w:t xml:space="preserve"> </w:t>
      </w:r>
      <w:r>
        <w:t xml:space="preserve">Control processes can improve deliberate recall by orienting retrieval toward the film.</w:t>
      </w:r>
      <w:r>
        <w:t xml:space="preserve"> </w:t>
      </w:r>
      <w:r>
        <w:t xml:space="preserve">They protect film recall from reminder-linked interference to the extent that they make retrieval less dependent on film-related context that also supports task material.</w:t>
      </w:r>
    </w:p>
    <w:p>
      <w:pPr>
        <w:pStyle w:val="BodyText"/>
      </w:pPr>
      <w:r>
        <w:t xml:space="preserve">Within this matched recall setting,</w:t>
      </w:r>
      <w:r>
        <w:t xml:space="preserve"> </w:t>
      </w:r>
      <w:hyperlink w:anchor="X199e0fd137172f53af28b87c55ae7adfa6c74ee">
        <w:r>
          <w:rPr>
            <w:rStyle w:val="Hyperlink"/>
          </w:rPr>
          <w:t xml:space="preserve">Figure 4</w:t>
        </w:r>
      </w:hyperlink>
      <w:r>
        <w:t xml:space="preserve"> </w:t>
      </w:r>
      <w:r>
        <w:t xml:space="preserve">separates three ways deliberate recall can differ from unguided retrieval after the same reminder-linked task encoding.</w:t>
      </w:r>
      <w:r>
        <w:t xml:space="preserve"> </w:t>
      </w:r>
      <w:r>
        <w:t xml:space="preserve">Start-of-film context reinstatement acts before sampling by changing the initial context state.</w:t>
      </w:r>
      <w:r>
        <w:t xml:space="preserve"> </w:t>
      </w:r>
      <w:r>
        <w:t xml:space="preserve">A maintained film-retrieval goal acts during sampling by adding support to film candidates.</w:t>
      </w:r>
      <w:r>
        <w:t xml:space="preserve"> </w:t>
      </w:r>
      <w:r>
        <w:t xml:space="preserve">Retrieval monitoring acts after sampling by reducing the carryover from off-target candidates.</w:t>
      </w:r>
      <w:r>
        <w:t xml:space="preserve"> </w:t>
      </w:r>
      <w:r>
        <w:t xml:space="preserve">These control points make separable predictions because they change different parts of the retrieval cycle.</w:t>
      </w:r>
      <w:r>
        <w:t xml:space="preserve"> </w:t>
      </w:r>
      <w:r>
        <w:t xml:space="preserve">The simulations test which control changes the effect of reminder-linked task encoding, rather than simply increasing film recall under all conditions.</w:t>
      </w:r>
    </w:p>
    <w:p>
      <w:pPr>
        <w:pStyle w:val="BodyText"/>
      </w:pPr>
      <w:r>
        <w:t xml:space="preserve">Deliberate recall can begin from a context state biased by retrieval instructions.</w:t>
      </w:r>
      <w:r>
        <w:t xml:space="preserve"> </w:t>
      </w:r>
      <w:r>
        <w:t xml:space="preserve">When people are asked to recall an earlier studied list after studying a more recent one, their early responses are often already biased toward the instructed list rather than showing a gradual search backward through recent-list items</w:t>
      </w:r>
      <w:r>
        <w:t xml:space="preserve"> </w:t>
      </w:r>
      <w:r>
        <w:t xml:space="preserve">(</w:t>
      </w:r>
      <w:hyperlink w:anchor="ref-healey2024peppr">
        <w:r>
          <w:rPr>
            <w:rStyle w:val="Hyperlink"/>
          </w:rPr>
          <w:t xml:space="preserve">Healey &amp; Wahlheim, 2024</w:t>
        </w:r>
      </w:hyperlink>
      <w:r>
        <w:t xml:space="preserve">;</w:t>
      </w:r>
      <w:r>
        <w:t xml:space="preserve"> </w:t>
      </w:r>
      <w:hyperlink w:anchor="ref-lohnas2015expanding">
        <w:r>
          <w:rPr>
            <w:rStyle w:val="Hyperlink"/>
          </w:rPr>
          <w:t xml:space="preserve">Lohnas et al., 2015</w:t>
        </w:r>
      </w:hyperlink>
      <w:r>
        <w:t xml:space="preserve">)</w:t>
      </w:r>
      <w:r>
        <w:t xml:space="preserve">.</w:t>
      </w:r>
      <w:r>
        <w:t xml:space="preserve"> </w:t>
      </w:r>
      <w:r>
        <w:t xml:space="preserve">Recall also shows a reliable tendency to start near the beginning of a studied list, especially when the usual end-of-list advantage is weakened by a delay</w:t>
      </w:r>
      <w:r>
        <w:t xml:space="preserve"> </w:t>
      </w:r>
      <w:r>
        <w:t xml:space="preserve">(</w:t>
      </w:r>
      <w:hyperlink w:anchor="ref-healey2014memory">
        <w:r>
          <w:rPr>
            <w:rStyle w:val="Hyperlink"/>
          </w:rPr>
          <w:t xml:space="preserve">Healey &amp; Kahana, 2014</w:t>
        </w:r>
      </w:hyperlink>
      <w:r>
        <w:t xml:space="preserve">;</w:t>
      </w:r>
      <w:r>
        <w:t xml:space="preserve"> </w:t>
      </w:r>
      <w:hyperlink w:anchor="ref-herrema2024first">
        <w:r>
          <w:rPr>
            <w:rStyle w:val="Hyperlink"/>
          </w:rPr>
          <w:t xml:space="preserve">Herrema &amp; Kahana, 2024</w:t>
        </w:r>
      </w:hyperlink>
      <w:r>
        <w:t xml:space="preserve">;</w:t>
      </w:r>
      <w:r>
        <w:t xml:space="preserve"> </w:t>
      </w:r>
      <w:hyperlink w:anchor="ref-howard1999contextual">
        <w:r>
          <w:rPr>
            <w:rStyle w:val="Hyperlink"/>
          </w:rPr>
          <w:t xml:space="preserve">Howard &amp; Kahana, 1999</w:t>
        </w:r>
      </w:hyperlink>
      <w:r>
        <w:t xml:space="preserve">)</w:t>
      </w:r>
      <w:r>
        <w:t xml:space="preserve">.</w:t>
      </w:r>
      <w:r>
        <w:t xml:space="preserve"> </w:t>
      </w:r>
      <w:r>
        <w:t xml:space="preserve">Start-of-list context reinstatement mechanisms account for these patterns by evolving the current context toward the state associated with the beginning of the target list before retrieval begins</w:t>
      </w:r>
      <w:r>
        <w:t xml:space="preserve"> </w:t>
      </w:r>
      <w:r>
        <w:t xml:space="preserve">(</w:t>
      </w:r>
      <w:hyperlink w:anchor="ref-healey2024peppr">
        <w:r>
          <w:rPr>
            <w:rStyle w:val="Hyperlink"/>
          </w:rPr>
          <w:t xml:space="preserve">Healey &amp; Wahlheim, 2024</w:t>
        </w:r>
      </w:hyperlink>
      <w:r>
        <w:t xml:space="preserve">;</w:t>
      </w:r>
      <w:r>
        <w:t xml:space="preserve"> </w:t>
      </w:r>
      <w:hyperlink w:anchor="ref-kragel2015neural">
        <w:r>
          <w:rPr>
            <w:rStyle w:val="Hyperlink"/>
          </w:rPr>
          <w:t xml:space="preserve">Kragel et al., 2015</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morton2016predictive">
        <w:r>
          <w:rPr>
            <w:rStyle w:val="Hyperlink"/>
          </w:rPr>
          <w:t xml:space="preserve">Morton &amp; Polyn, 2016</w:t>
        </w:r>
      </w:hyperlink>
      <w:r>
        <w:t xml:space="preserve">)</w:t>
      </w:r>
      <w:r>
        <w:t xml:space="preserve">.</w:t>
      </w:r>
      <w:r>
        <w:t xml:space="preserve"> </w:t>
      </w:r>
      <w:r>
        <w:t xml:space="preserve">In our retrieval control simulations, start-of-film reinstatement drifts the retrieval state toward the context present at the beginning of film encoding.</w:t>
      </w:r>
      <w:r>
        <w:t xml:space="preserve"> </w:t>
      </w:r>
      <w:r>
        <w:t xml:space="preserve">This starting state favors early film candidates before ordinary context-guided sampling resumes, so its predicted benefit is tied to the temporal region that has been reinstated.</w:t>
      </w:r>
    </w:p>
    <w:p>
      <w:pPr>
        <w:pStyle w:val="BodyText"/>
      </w:pPr>
      <w:r>
        <w:t xml:space="preserve">Retrieval monitoring acts after a candidate has been sampled.</w:t>
      </w:r>
      <w:r>
        <w:t xml:space="preserve"> </w:t>
      </w:r>
      <w:r>
        <w:t xml:space="preserve">Evidence for this post-sampling control comes from externalized recall tasks where participants report every word that comes to mind and mark errors.</w:t>
      </w:r>
      <w:r>
        <w:t xml:space="preserve"> </w:t>
      </w:r>
      <w:r>
        <w:t xml:space="preserve">These instructions reveal many more intrusions than standard recall, and many sampled intrusions are marked as errors, indicating that off-target candidates can enter retrieval without being accepted as target memories</w:t>
      </w:r>
      <w:r>
        <w:t xml:space="preserve"> </w:t>
      </w:r>
      <w:r>
        <w:t xml:space="preserve">(</w:t>
      </w:r>
      <w:hyperlink w:anchor="ref-lohnas2015expanding">
        <w:r>
          <w:rPr>
            <w:rStyle w:val="Hyperlink"/>
          </w:rPr>
          <w:t xml:space="preserve">Lohnas et al., 2015</w:t>
        </w:r>
      </w:hyperlink>
      <w:r>
        <w:t xml:space="preserve">;</w:t>
      </w:r>
      <w:r>
        <w:t xml:space="preserve"> </w:t>
      </w:r>
      <w:hyperlink w:anchor="ref-unsworth2010understanding">
        <w:r>
          <w:rPr>
            <w:rStyle w:val="Hyperlink"/>
          </w:rPr>
          <w:t xml:space="preserve">Unsworth et al., 2010</w:t>
        </w:r>
      </w:hyperlink>
      <w:r>
        <w:t xml:space="preserve">)</w:t>
      </w:r>
      <w:r>
        <w:t xml:space="preserve">.</w:t>
      </w:r>
      <w:r>
        <w:t xml:space="preserve"> </w:t>
      </w:r>
      <w:r>
        <w:t xml:space="preserve">Monitoring also carries forward across retrieval: when people fail to identify one response correctly, they are worse at rejecting the next intrusion</w:t>
      </w:r>
      <w:r>
        <w:t xml:space="preserve"> </w:t>
      </w:r>
      <w:r>
        <w:t xml:space="preserve">(</w:t>
      </w:r>
      <w:hyperlink w:anchor="ref-unsworth2010understanding">
        <w:r>
          <w:rPr>
            <w:rStyle w:val="Hyperlink"/>
          </w:rPr>
          <w:t xml:space="preserve">Unsworth et al., 2010</w:t>
        </w:r>
      </w:hyperlink>
      <w:r>
        <w:t xml:space="preserve">)</w:t>
      </w:r>
      <w:r>
        <w:t xml:space="preserve">.</w:t>
      </w:r>
      <w:r>
        <w:t xml:space="preserve"> </w:t>
      </w:r>
      <w:r>
        <w:t xml:space="preserve">At the same time, sampled intrusions can pull search away from the target list, as intrusions tend to cluster with other intrusions from related prior-list or semantic contexts</w:t>
      </w:r>
      <w:r>
        <w:t xml:space="preserve"> </w:t>
      </w:r>
      <w:r>
        <w:t xml:space="preserve">(</w:t>
      </w:r>
      <w:hyperlink w:anchor="ref-unsworth2010understanding">
        <w:r>
          <w:rPr>
            <w:rStyle w:val="Hyperlink"/>
          </w:rPr>
          <w:t xml:space="preserve">Unsworth et al., 2010</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Retrieved-context implementations have treated monitoring as a target-match filter while still allowing rejected items to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Our trauma-film simulations explore whether that post-sampling evaluation can also reduce carryover from sampled non-film candidates.</w:t>
      </w:r>
      <w:r>
        <w:t xml:space="preserve"> </w:t>
      </w:r>
      <w:r>
        <w:t xml:space="preserve">A sampled non-film candidate still counts as a retrieval attempt, but its context update is dampened when it is evaluated as off-target.</w:t>
      </w:r>
      <w:r>
        <w:t xml:space="preserve"> </w:t>
      </w:r>
      <w:r>
        <w:t xml:space="preserve">Monitoring can therefore help deliberate recall return to film material after non-film competition appears, while leaving the initial competition from reminder-linked task encoding in place.</w:t>
      </w:r>
    </w:p>
    <w:p>
      <w:pPr>
        <w:pStyle w:val="BodyText"/>
      </w:pPr>
      <w:r>
        <w:t xml:space="preserve">A maintained retrieval goal gives deliberate recall a broader film-directed signal during candidate sampling.</w:t>
      </w:r>
      <w:r>
        <w:t xml:space="preserve"> </w:t>
      </w:r>
      <w:r>
        <w:t xml:space="preserve">When people study mixed-category material and are asked to retrieve only one category, they can restrict recall to the target subset while temporal organization remains visible within that subset</w:t>
      </w:r>
      <w:r>
        <w:t xml:space="preserve"> </w:t>
      </w:r>
      <w:r>
        <w:t xml:space="preserve">(</w:t>
      </w:r>
      <w:hyperlink w:anchor="ref-lohnas2026specialized">
        <w:r>
          <w:rPr>
            <w:rStyle w:val="Hyperlink"/>
          </w:rPr>
          <w:t xml:space="preserve">Lohnas et al., 2026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In this kind of task, category-selective activity tracks retrieval effort, remains active between reported recalls, and weakens before extra-category intrusions</w:t>
      </w:r>
      <w:r>
        <w:t xml:space="preserve"> </w:t>
      </w:r>
      <w:r>
        <w:t xml:space="preserve">(</w:t>
      </w:r>
      <w:hyperlink w:anchor="ref-norman2017neuronal">
        <w:r>
          <w:rPr>
            <w:rStyle w:val="Hyperlink"/>
          </w:rPr>
          <w:t xml:space="preserve">Norman et al., 2017</w:t>
        </w:r>
      </w:hyperlink>
      <w:r>
        <w:t xml:space="preserve">)</w:t>
      </w:r>
      <w:r>
        <w:t xml:space="preserve">.</w:t>
      </w:r>
      <w:r>
        <w:t xml:space="preserve"> </w:t>
      </w:r>
      <w:r>
        <w:t xml:space="preserve">Existing CMR models already allow semantic, task, and source context to shape candidate support</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Category-cued search has been formalized in associative memory models, and recent review work treats this as a natural but still underdeveloped direction for CMR</w:t>
      </w:r>
      <w:r>
        <w:t xml:space="preserve"> </w:t>
      </w:r>
      <w:r>
        <w:t xml:space="preserve">(</w:t>
      </w:r>
      <w:hyperlink w:anchor="ref-lohnas2026specialized">
        <w:r>
          <w:rPr>
            <w:rStyle w:val="Hyperlink"/>
          </w:rPr>
          <w:t xml:space="preserve">Lohnas et al., 2026</w:t>
        </w:r>
      </w:hyperlink>
      <w:r>
        <w:t xml:space="preserve">;</w:t>
      </w:r>
      <w:r>
        <w:t xml:space="preserve"> </w:t>
      </w:r>
      <w:hyperlink w:anchor="ref-raaijmakers1980sam">
        <w:r>
          <w:rPr>
            <w:rStyle w:val="Hyperlink"/>
          </w:rPr>
          <w:t xml:space="preserve">Raaijmakers &amp; Shiffrin, 1980</w:t>
        </w:r>
      </w:hyperlink>
      <w:r>
        <w:t xml:space="preserve">)</w:t>
      </w:r>
      <w:r>
        <w:t xml:space="preserve">.</w:t>
      </w:r>
      <w:r>
        <w:t xml:space="preserve"> </w:t>
      </w:r>
      <w:r>
        <w:t xml:space="preserve">The simulations therefore add a maintained film-specific cue during candidate sampling.</w:t>
      </w:r>
      <w:r>
        <w:t xml:space="preserve"> </w:t>
      </w:r>
      <w:r>
        <w:t xml:space="preserve">This cue gives film candidates additional support without equally supporting task competitors.</w:t>
      </w:r>
      <w:r>
        <w:t xml:space="preserve"> </w:t>
      </w:r>
      <w:r>
        <w:t xml:space="preserve">Task items encoded in film-overlapping context can still compete through temporal context, but they do not receive this goal-based support.</w:t>
      </w:r>
    </w:p>
    <w:p>
      <w:pPr>
        <w:pStyle w:val="BodyText"/>
      </w:pPr>
      <w:r>
        <w:t xml:space="preserve">A retrieval-control process can increase film recall relative to unguided retrieval without making recall less sensitive to a reminder-linked task intervention.</w:t>
      </w:r>
      <w:r>
        <w:t xml:space="preserve"> </w:t>
      </w:r>
      <w:r>
        <w:t xml:space="preserve">Protection depends on whether recall becomes less reliant on film-associated temporal context after that context has also become supportive of task material.</w:t>
      </w:r>
      <w:r>
        <w:t xml:space="preserve"> </w:t>
      </w:r>
      <w:r>
        <w:t xml:space="preserve">The start-state and monitoring panels describe mechanisms that either reinstate or preserve film-related context to drive ongoing retrieval, but since reminder-linked task encoding makes that context less selective, those mechanisms cannot substantially protect deliberate recall from the interference effect.</w:t>
      </w:r>
      <w:r>
        <w:t xml:space="preserve"> </w:t>
      </w:r>
      <w:r>
        <w:t xml:space="preserve">The maintained film-retrieval goal tests that different route.</w:t>
      </w:r>
      <w:r>
        <w:t xml:space="preserve"> </w:t>
      </w:r>
      <w:r>
        <w:t xml:space="preserve">It gives film candidates support from a film-specific cue, so task competitors remain available but do not receive the same added support.</w:t>
      </w:r>
      <w:r>
        <w:t xml:space="preserve"> </w:t>
      </w:r>
      <w:r>
        <w:t xml:space="preserve">Under the tested conditions, that goal-based support limits the intervention’s impact enough to simulate a selective-interference effect.</w:t>
      </w:r>
      <w:r>
        <w:t xml:space="preserve"> </w:t>
      </w:r>
      <w:r>
        <w:t xml:space="preserve">The simulations therefore treat increased film recall and reduced sensitivity to reminder-linked task encoding as separable outcomes.</w:t>
      </w:r>
    </w:p>
    <w:bookmarkEnd w:id="45"/>
    <w:bookmarkEnd w:id="46"/>
    <w:bookmarkStart w:id="70" w:name="model-specification"/>
    <w:p>
      <w:pPr>
        <w:pStyle w:val="Heading1"/>
      </w:pPr>
      <w:r>
        <w:t xml:space="preserve">Model Specification</w:t>
      </w:r>
    </w:p>
    <w:p>
      <w:pPr>
        <w:pStyle w:val="FirstParagraph"/>
      </w:pPr>
      <w:r>
        <w:t xml:space="preserve">Retrieved-context models implement recall as a sequence of sampling events in which current context gives graded support to candidate items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this framework, the candidate set can include material outside the scored set, producing intrusions when off-target material is sampled</w:t>
      </w:r>
      <w:r>
        <w:t xml:space="preserve"> </w:t>
      </w:r>
      <w:r>
        <w:t xml:space="preserve">(</w:t>
      </w:r>
      <w:hyperlink w:anchor="ref-cohen2022memory">
        <w:r>
          <w:rPr>
            <w:rStyle w:val="Hyperlink"/>
          </w:rPr>
          <w:t xml:space="preserve">Cohen &amp; Kahana, 2022</w:t>
        </w:r>
      </w:hyperlink>
      <w:r>
        <w:t xml:space="preserve">;</w:t>
      </w:r>
      <w:r>
        <w:t xml:space="preserve"> </w:t>
      </w:r>
      <w:hyperlink w:anchor="ref-lohnas2015expanding">
        <w:r>
          <w:rPr>
            <w:rStyle w:val="Hyperlink"/>
          </w:rPr>
          <w:t xml:space="preserve">Lohnas et al., 2015</w:t>
        </w:r>
      </w:hyperlink>
      <w:r>
        <w:t xml:space="preserve">)</w:t>
      </w:r>
      <w:r>
        <w:t xml:space="preserve">.</w:t>
      </w:r>
      <w:r>
        <w:t xml:space="preserve"> </w:t>
      </w:r>
      <w:r>
        <w:t xml:space="preserve">To express selective interference as changes in what gets sampled, film and non-film events have to be candidates in the same sampling process.</w:t>
      </w:r>
      <w:r>
        <w:t xml:space="preserve"> </w:t>
      </w:r>
      <w:r>
        <w:t xml:space="preserve">The simulations implement this requirement by representing film, task, and delay periods as sequences of events that update context.</w:t>
      </w:r>
      <w:r>
        <w:t xml:space="preserve"> </w:t>
      </w:r>
      <w:r>
        <w:t xml:space="preserve">For the film, these events correspond roughly to scenes or segments.</w:t>
      </w:r>
      <w:r>
        <w:t xml:space="preserve"> </w:t>
      </w:r>
      <w:r>
        <w:t xml:space="preserve">For the task periods, they represent task items that can become competitors after reminder-linked encoding.</w:t>
      </w:r>
      <w:r>
        <w:t xml:space="preserve"> </w:t>
      </w:r>
      <w:r>
        <w:t xml:space="preserve">For the delay periods, they represent filler items: non-film events that can also be encoded and later sampled.</w:t>
      </w:r>
      <w:r>
        <w:t xml:space="preserve"> </w:t>
      </w:r>
      <w:r>
        <w:t xml:space="preserve">At test, each sampling event draws from the candidates supported by the current context.</w:t>
      </w:r>
      <w:r>
        <w:t xml:space="preserve"> </w:t>
      </w:r>
      <w:r>
        <w:t xml:space="preserve">Interference manifests as a shift in sampled outcomes: task or filler candidates occupy sampling events that could otherwise retrieve film material.</w:t>
      </w:r>
    </w:p>
    <w:p>
      <w:pPr>
        <w:pStyle w:val="BodyText"/>
      </w:pPr>
      <w:r>
        <w:t xml:space="preserve">The formal model links this sampling process to separate item and context representations.</w:t>
      </w:r>
      <w:r>
        <w:t xml:space="preserve"> </w:t>
      </w:r>
      <w:r>
        <w:t xml:space="preserve">Each encoded event at position</w:t>
      </w:r>
      <w:r>
        <w:t xml:space="preserve"> </w:t>
      </w:r>
      <m:oMath>
        <m:r>
          <m:t>i</m:t>
        </m:r>
      </m:oMath>
      <w:r>
        <w:t xml:space="preserve"> </w:t>
      </w:r>
      <w:r>
        <w:t xml:space="preserve">is represented by an item feature vector</w:t>
      </w:r>
      <w:r>
        <w:t xml:space="preserve"> </w:t>
      </w:r>
      <m:oMath>
        <m:sSub>
          <m:e>
            <m:r>
              <m:t>f</m:t>
            </m:r>
          </m:e>
          <m:sub>
            <m:r>
              <m:t>i</m:t>
            </m:r>
          </m:sub>
        </m:sSub>
      </m:oMath>
      <w:r>
        <w:t xml:space="preserve">, a one-hot vector that distinguishes that event from other encoded events in the simulated paradigm.</w:t>
      </w:r>
      <w:r>
        <w:t xml:space="preserve"> </w:t>
      </w:r>
      <w:r>
        <w:t xml:space="preserve">Context</w:t>
      </w:r>
      <w:r>
        <w:t xml:space="preserve"> </w:t>
      </w:r>
      <m:oMath>
        <m:sSub>
          <m:e>
            <m:r>
              <m:t>c</m:t>
            </m:r>
          </m:e>
          <m:sub>
            <m:r>
              <m:t>i</m:t>
            </m:r>
          </m:sub>
        </m:sSub>
      </m:oMath>
      <w:r>
        <w:t xml:space="preserve"> </w:t>
      </w:r>
      <w:r>
        <w:t xml:space="preserve">denotes the internal context state after event</w:t>
      </w:r>
      <w:r>
        <w:t xml:space="preserve"> </w:t>
      </w:r>
      <m:oMath>
        <m:r>
          <m:t>i</m:t>
        </m:r>
      </m:oMath>
      <w:r>
        <w:t xml:space="preserve"> </w:t>
      </w:r>
      <w:r>
        <w:t xml:space="preserve">has updated context.</w:t>
      </w:r>
      <w:r>
        <w:t xml:space="preserve"> </w:t>
      </w:r>
      <w:r>
        <w:t xml:space="preserve">As film, task, and filler events occur, they update context and become associated with the context active around them.</w:t>
      </w:r>
      <w:r>
        <w:t xml:space="preserve"> </w:t>
      </w:r>
      <w:r>
        <w:t xml:space="preserve">During recall, the current context state determines which candidate items receive support.</w:t>
      </w:r>
    </w:p>
    <w:p>
      <w:pPr>
        <w:pStyle w:val="BodyText"/>
      </w:pPr>
      <w:r>
        <w:t xml:space="preserve">During encoding, items and states of context are linked through bidirectional associations represented in two matrices.</w:t>
      </w:r>
      <w:r>
        <w:t xml:space="preserve"> </w:t>
      </w:r>
      <w:r>
        <w:t xml:space="preserve">Context-to-feature memory,</w:t>
      </w:r>
      <w:r>
        <w:t xml:space="preserve"> </w:t>
      </w:r>
      <m:oMath>
        <m:sSup>
          <m:e>
            <m:r>
              <m:t>M</m:t>
            </m:r>
          </m:e>
          <m:sup>
            <m:r>
              <m:t>C</m:t>
            </m:r>
            <m:r>
              <m:t>F</m:t>
            </m:r>
          </m:sup>
        </m:sSup>
      </m:oMath>
      <w:r>
        <w:t xml:space="preserve">, maps context states to item support, allowing current context to cue candidate items during recall.</w:t>
      </w:r>
      <w:r>
        <w:t xml:space="preserve"> </w:t>
      </w:r>
      <w:r>
        <w:t xml:space="preserve">Feature-to-context memory,</w:t>
      </w:r>
      <w:r>
        <w:t xml:space="preserve"> </w:t>
      </w:r>
      <m:oMath>
        <m:sSup>
          <m:e>
            <m:r>
              <m:t>M</m:t>
            </m:r>
          </m:e>
          <m:sup>
            <m:r>
              <m:t>F</m:t>
            </m:r>
            <m:r>
              <m:t>C</m:t>
            </m:r>
          </m:sup>
        </m:sSup>
      </m:oMath>
      <w:r>
        <w:t xml:space="preserve">, maps item features to context states so that cued, reminded, or recalled items can reinstate associated context.</w:t>
      </w:r>
      <w:r>
        <w:t xml:space="preserve"> </w:t>
      </w:r>
      <w:r>
        <w:t xml:space="preserve">All vectors are treated as column vectors, so</w:t>
      </w:r>
      <w:r>
        <w:t xml:space="preserve"> </w:t>
      </w:r>
      <m:oMath>
        <m:sSup>
          <m:e>
            <m:r>
              <m:t>M</m:t>
            </m:r>
          </m:e>
          <m:sup>
            <m:r>
              <m:t>F</m:t>
            </m:r>
            <m:r>
              <m:t>C</m:t>
            </m:r>
          </m:sup>
        </m:sSup>
        <m:sSub>
          <m:e>
            <m:r>
              <m:t>f</m:t>
            </m:r>
          </m:e>
          <m:sub>
            <m:r>
              <m:t>i</m:t>
            </m:r>
          </m:sub>
        </m:sSub>
      </m:oMath>
      <w:r>
        <w:t xml:space="preserve"> </w:t>
      </w:r>
      <w:r>
        <w:t xml:space="preserve">is a context vector and</w:t>
      </w:r>
      <w:r>
        <w:t xml:space="preserve"> </w:t>
      </w:r>
      <m:oMath>
        <m:sSup>
          <m:e>
            <m:r>
              <m:t>M</m:t>
            </m:r>
          </m:e>
          <m:sup>
            <m:r>
              <m:t>C</m:t>
            </m:r>
            <m:r>
              <m:t>F</m:t>
            </m:r>
          </m:sup>
        </m:sSup>
        <m:sSub>
          <m:e>
            <m:r>
              <m:t>c</m:t>
            </m:r>
          </m:e>
          <m:sub>
            <m:r>
              <m:t>i</m:t>
            </m:r>
          </m:sub>
        </m:sSub>
      </m:oMath>
      <w:r>
        <w:t xml:space="preserve"> </w:t>
      </w:r>
      <w:r>
        <w:t xml:space="preserve">is a feature-support vector.</w:t>
      </w:r>
    </w:p>
    <w:p>
      <w:pPr>
        <w:pStyle w:val="BodyText"/>
      </w:pPr>
      <w:r>
        <w:t xml:space="preserve">Context and corresponding associations are further subdivided into temporal and source components.</w:t>
      </w:r>
      <w:r>
        <w:t xml:space="preserve"> </w:t>
      </w:r>
      <w:r>
        <w:t xml:space="preserve">Temporal context distinguishes unique items so different film, task, and filler events can produce distinct context states even if items come from the same phase of the paradigm or share other features.</w:t>
      </w:r>
      <w:r>
        <w:t xml:space="preserve"> </w:t>
      </w:r>
      <w:r>
        <w:t xml:space="preserve">Source context represents coarser information shared across related events, allowing recall to be shaped by task, semantic, or source relationships among items</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distinguish emotional from neutral material in source context and give emotionally salient items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implementation, each item also has a source feature vector</w:t>
      </w:r>
      <w:r>
        <w:t xml:space="preserve"> </w:t>
      </w:r>
      <m:oMath>
        <m:sSub>
          <m:e>
            <m:r>
              <m:t>s</m:t>
            </m:r>
          </m:e>
          <m:sub>
            <m:r>
              <m:t>i</m:t>
            </m:r>
          </m:sub>
        </m:sSub>
      </m:oMath>
      <w:r>
        <w:t xml:space="preserve">.</w:t>
      </w:r>
      <w:r>
        <w:t xml:space="preserve"> </w:t>
      </w:r>
      <w:r>
        <w:t xml:space="preserve">Film items share a film-source feature, whereas task and filler items carry a neutral/default source feature.</w:t>
      </w:r>
    </w:p>
    <w:bookmarkStart w:id="52" w:name="encoding-the-paradigm-sequence"/>
    <w:p>
      <w:pPr>
        <w:pStyle w:val="Heading2"/>
      </w:pPr>
      <w:r>
        <w:t xml:space="preserve">Encoding the Paradigm Sequence</w:t>
      </w:r>
    </w:p>
    <w:p>
      <w:pPr>
        <w:pStyle w:val="FirstParagraph"/>
      </w:pPr>
      <w:r>
        <w:t xml:space="preserve">Film, task, and filler events become later recall candidates through context updating and item-context learning.</w:t>
      </w:r>
      <w:r>
        <w:t xml:space="preserve"> </w:t>
      </w:r>
      <w:r>
        <w:t xml:space="preserve">Each event updates context and becomes associated with the resulting state.</w:t>
      </w:r>
      <w:r>
        <w:t xml:space="preserve"> </w:t>
      </w:r>
      <w:r>
        <w:t xml:space="preserve">During later recall, candidate support depends on how strongly studied items are associated with the context states active during retrieval.</w:t>
      </w:r>
    </w:p>
    <w:p>
      <w:pPr>
        <w:pStyle w:val="BodyText"/>
      </w:pPr>
      <w:r>
        <w:t xml:space="preserve">Before the simulated film starts, context is initialized to</w:t>
      </w:r>
      <w:r>
        <w:t xml:space="preserve"> </w:t>
      </w:r>
      <m:oMath>
        <m:sSub>
          <m:e>
            <m:r>
              <m:t>c</m:t>
            </m:r>
          </m:e>
          <m:sub>
            <m:r>
              <m:t>0</m:t>
            </m:r>
          </m:sub>
        </m:sSub>
      </m:oMath>
      <w:r>
        <w:t xml:space="preserve">, a start state with no item-associated context units active.</w:t>
      </w:r>
      <w:r>
        <w:t xml:space="preserve"> </w:t>
      </w:r>
      <w:r>
        <w:t xml:space="preserve">Memory matrices are initialized with pre-experimental associations that reflect baseline structure already present before the simulated paradigm begins.</w:t>
      </w:r>
      <w:r>
        <w:t xml:space="preserve"> </w:t>
      </w:r>
      <w:r>
        <w:t xml:space="preserve">In</w:t>
      </w:r>
      <w:r>
        <w:t xml:space="preserve"> </w:t>
      </w:r>
      <m:oMath>
        <m:sSup>
          <m:e>
            <m:r>
              <m:t>M</m:t>
            </m:r>
          </m:e>
          <m:sup>
            <m:r>
              <m:t>F</m:t>
            </m:r>
            <m:r>
              <m:t>C</m:t>
            </m:r>
          </m:sup>
        </m:sSup>
      </m:oMath>
      <w:r>
        <w:t xml:space="preserve">, each item</w:t>
      </w:r>
      <w:r>
        <w:t xml:space="preserve"> </w:t>
      </w:r>
      <m:oMath>
        <m:r>
          <m:t>i</m:t>
        </m:r>
      </m:oMath>
      <w:r>
        <w:t xml:space="preserve"> </w:t>
      </w:r>
      <w:r>
        <w:t xml:space="preserve">can cue its paired context unit with weight</w:t>
      </w:r>
      <w:r>
        <w:t xml:space="preserve"> </w:t>
      </w:r>
      <m:oMath>
        <m:r>
          <m:t>1</m:t>
        </m:r>
        <m:r>
          <m:rPr>
            <m:sty m:val="p"/>
          </m:rPr>
          <m:t>−</m:t>
        </m:r>
        <m:r>
          <m:t>γ</m:t>
        </m:r>
      </m:oMath>
      <w:r>
        <w:t xml:space="preserve">.</w:t>
      </w:r>
      <w:r>
        <w:t xml:space="preserve"> </w:t>
      </w:r>
      <w:r>
        <w:t xml:space="preserve">In</w:t>
      </w:r>
      <w:r>
        <w:t xml:space="preserve"> </w:t>
      </w:r>
      <m:oMath>
        <m:sSup>
          <m:e>
            <m:r>
              <m:t>M</m:t>
            </m:r>
          </m:e>
          <m:sup>
            <m:r>
              <m:t>C</m:t>
            </m:r>
            <m:r>
              <m:t>F</m:t>
            </m:r>
          </m:sup>
        </m:sSup>
      </m:oMath>
      <w:r>
        <w:t xml:space="preserve">, each item is most strongly supported by its paired context unit, with weight</w:t>
      </w:r>
      <w:r>
        <w:t xml:space="preserve"> </w:t>
      </w:r>
      <m:oMath>
        <m:r>
          <m:t>δ</m:t>
        </m:r>
      </m:oMath>
      <w:r>
        <w:t xml:space="preserve">.</w:t>
      </w:r>
      <w:r>
        <w:t xml:space="preserve"> </w:t>
      </w:r>
      <w:r>
        <w:t xml:space="preserve">The other item-associated context units provide weaker background support to that item, with weight</w:t>
      </w:r>
      <w:r>
        <w:t xml:space="preserve"> </w:t>
      </w:r>
      <m:oMath>
        <m:r>
          <m:t>α</m:t>
        </m:r>
      </m:oMath>
      <w:r>
        <w:t xml:space="preserve">.</w:t>
      </w:r>
      <w:r>
        <w:t xml:space="preserve"> </w:t>
      </w:r>
      <w:r>
        <w:t xml:space="preserve">The start state</w:t>
      </w:r>
      <w:r>
        <w:t xml:space="preserve"> </w:t>
      </w:r>
      <m:oMath>
        <m:sSub>
          <m:e>
            <m:r>
              <m:t>c</m:t>
            </m:r>
          </m:e>
          <m:sub>
            <m:r>
              <m:t>0</m:t>
            </m:r>
          </m:sub>
        </m:sSub>
      </m:oMath>
      <w:r>
        <w:t xml:space="preserve"> </w:t>
      </w:r>
      <w:r>
        <w:t xml:space="preserve">initially provides no item support in</w:t>
      </w:r>
      <w:r>
        <w:t xml:space="preserve"> </w:t>
      </w:r>
      <m:oMath>
        <m:sSup>
          <m:e>
            <m:r>
              <m:t>M</m:t>
            </m:r>
          </m:e>
          <m:sup>
            <m:r>
              <m:t>C</m:t>
            </m:r>
            <m:r>
              <m:t>F</m:t>
            </m:r>
          </m:sup>
        </m:sSup>
      </m:oMath>
      <w:r>
        <w:t xml:space="preserve">.</w:t>
      </w:r>
      <w:r>
        <w:t xml:space="preserve"> </w:t>
      </w:r>
      <w:r>
        <w:t xml:space="preserve">The initial entries of</w:t>
      </w:r>
      <w:r>
        <w:t xml:space="preserve"> </w:t>
      </w:r>
      <m:oMath>
        <m:sSup>
          <m:e>
            <m:r>
              <m:t>M</m:t>
            </m:r>
          </m:e>
          <m:sup>
            <m:r>
              <m:t>F</m:t>
            </m:r>
            <m:r>
              <m:t>C</m:t>
            </m:r>
          </m:sup>
        </m:sSup>
      </m:oMath>
      <w:r>
        <w:t xml:space="preserve"> </w:t>
      </w:r>
      <w:r>
        <w:t xml:space="preserve">and</w:t>
      </w:r>
      <w:r>
        <w:t xml:space="preserve"> </w:t>
      </w:r>
      <m:oMath>
        <m:sSup>
          <m:e>
            <m:r>
              <m:t>M</m:t>
            </m:r>
          </m:e>
          <m:sup>
            <m:r>
              <m:t>C</m:t>
            </m:r>
            <m:r>
              <m:t>F</m:t>
            </m:r>
          </m:sup>
        </m:sSup>
      </m:oMath>
      <w:r>
        <w:t xml:space="preserve"> </w:t>
      </w:r>
      <w:r>
        <w:t xml:space="preserve">are therefore:</w:t>
      </w:r>
    </w:p>
    <w:p>
      <w:pPr>
        <w:pStyle w:val="BodyText"/>
      </w:pPr>
      <w:bookmarkStart w:id="47"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7"/>
    </w:p>
    <w:p>
      <w:pPr>
        <w:pStyle w:val="FirstParagraph"/>
      </w:pPr>
      <w:bookmarkStart w:id="48"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8"/>
    </w:p>
    <w:p>
      <w:pPr>
        <w:pStyle w:val="FirstParagraph"/>
      </w:pPr>
      <w:r>
        <w:t xml:space="preserve">When event</w:t>
      </w:r>
      <w:r>
        <w:t xml:space="preserve"> </w:t>
      </w:r>
      <m:oMath>
        <m:r>
          <m:t>i</m:t>
        </m:r>
      </m:oMath>
      <w:r>
        <w:t xml:space="preserve"> </w:t>
      </w:r>
      <w:r>
        <w:t xml:space="preserve">is encountered, its representation</w:t>
      </w:r>
      <w:r>
        <w:t xml:space="preserve"> </w:t>
      </w:r>
      <m:oMath>
        <m:sSub>
          <m:e>
            <m:r>
              <m:t>f</m:t>
            </m:r>
          </m:e>
          <m:sub>
            <m:r>
              <m:t>i</m:t>
            </m:r>
          </m:sub>
        </m:sSub>
      </m:oMath>
      <w:r>
        <w:t xml:space="preserve"> </w:t>
      </w:r>
      <w:r>
        <w:t xml:space="preserve">retrieves context input through feature-to-context memory:</w:t>
      </w:r>
    </w:p>
    <w:p>
      <w:pPr>
        <w:pStyle w:val="BodyText"/>
      </w:pPr>
      <w:bookmarkStart w:id="49"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rPr>
              <m:sty m:val="p"/>
            </m:rPr>
            <m:t>.</m:t>
          </m:r>
          <m:r>
            <m:t>  </m:t>
          </m:r>
          <m:d>
            <m:dPr>
              <m:begChr m:val="("/>
              <m:sepChr m:val=""/>
              <m:endChr m:val=")"/>
              <m:grow/>
            </m:dPr>
            <m:e>
              <m:r>
                <m:t>3</m:t>
              </m:r>
            </m:e>
          </m:d>
        </m:oMath>
      </m:oMathPara>
      <w:bookmarkEnd w:id="49"/>
    </w:p>
    <w:p>
      <w:pPr>
        <w:pStyle w:val="FirstParagraph"/>
      </w:pPr>
      <w:r>
        <w:t xml:space="preserve">Context then drifts toward the normalized input.</w:t>
      </w:r>
      <w:r>
        <w:t xml:space="preserve"> </w:t>
      </w:r>
      <w:r>
        <w:t xml:space="preserve">The coefficient</w:t>
      </w:r>
      <w:r>
        <w:t xml:space="preserve"> </w:t>
      </w:r>
      <m:oMath>
        <m:sSub>
          <m:e>
            <m:r>
              <m:t>ρ</m:t>
            </m:r>
          </m:e>
          <m:sub>
            <m:r>
              <m:t>i</m:t>
            </m:r>
          </m:sub>
        </m:sSub>
      </m:oMath>
      <w:r>
        <w:t xml:space="preserve"> </w:t>
      </w:r>
      <w:r>
        <w:t xml:space="preserve">keeps context normalized after the update:</w:t>
      </w:r>
    </w:p>
    <w:p>
      <w:pPr>
        <w:pStyle w:val="BodyText"/>
      </w:pPr>
      <w:bookmarkStart w:id="50" w:name="eq-context-update"/>
      <m:oMathPara>
        <m:oMathParaPr>
          <m:jc m:val="center"/>
        </m:oMathParaPr>
        <m:oMath>
          <m:sSub>
            <m:e>
              <m:r>
                <m:t>c</m:t>
              </m:r>
            </m:e>
            <m:sub>
              <m:r>
                <m:t>i</m:t>
              </m:r>
            </m:sub>
          </m:sSub>
          <m:r>
            <m:rPr>
              <m:sty m:val="p"/>
            </m:rPr>
            <m:t>=</m:t>
          </m:r>
          <m:sSub>
            <m:e>
              <m:r>
                <m:t>ρ</m:t>
              </m:r>
            </m:e>
            <m:sub>
              <m:r>
                <m:t>i</m:t>
              </m:r>
            </m:sub>
          </m:sSub>
          <m:sSub>
            <m:e>
              <m:r>
                <m:t>c</m:t>
              </m:r>
            </m:e>
            <m:sub>
              <m:r>
                <m:t>i</m:t>
              </m:r>
              <m:r>
                <m:rPr>
                  <m:sty m:val="p"/>
                </m:rPr>
                <m:t>−</m:t>
              </m:r>
              <m:r>
                <m:t>1</m:t>
              </m:r>
            </m:sub>
          </m:sSub>
          <m:r>
            <m:rPr>
              <m:sty m:val="p"/>
            </m:rPr>
            <m:t>+</m:t>
          </m:r>
          <m:sSub>
            <m:e>
              <m:r>
                <m:t>β</m:t>
              </m:r>
            </m:e>
            <m:sub>
              <m:r>
                <m:rPr>
                  <m:sty m:val="p"/>
                </m:rPr>
                <m:t>e</m:t>
              </m:r>
              <m:r>
                <m:rPr>
                  <m:sty m:val="p"/>
                </m:rPr>
                <m:t>n</m:t>
              </m:r>
              <m:r>
                <m:rPr>
                  <m:sty m:val="p"/>
                </m:rPr>
                <m:t>c</m:t>
              </m:r>
            </m:sub>
          </m:sSub>
          <m:sSubSup>
            <m:e>
              <m:acc>
                <m:accPr>
                  <m:chr m:val="̂"/>
                </m:accPr>
                <m:e>
                  <m:r>
                    <m:t>c</m:t>
                  </m:r>
                </m:e>
              </m:acc>
            </m:e>
            <m:sub>
              <m:r>
                <m:t>i</m:t>
              </m:r>
            </m:sub>
            <m:sup>
              <m:r>
                <m:rPr>
                  <m:sty m:val="p"/>
                </m:rPr>
                <m:t>I</m:t>
              </m:r>
              <m:r>
                <m:rPr>
                  <m:sty m:val="p"/>
                </m:rPr>
                <m:t>N</m:t>
              </m:r>
            </m:sup>
          </m:sSubSup>
          <m:r>
            <m:rPr>
              <m:sty m:val="p"/>
            </m:rPr>
            <m:t>.</m:t>
          </m:r>
          <m:r>
            <m:t>  </m:t>
          </m:r>
          <m:d>
            <m:dPr>
              <m:begChr m:val="("/>
              <m:sepChr m:val=""/>
              <m:endChr m:val=")"/>
              <m:grow/>
            </m:dPr>
            <m:e>
              <m:r>
                <m:t>4</m:t>
              </m:r>
            </m:e>
          </m:d>
        </m:oMath>
      </m:oMathPara>
      <w:bookmarkEnd w:id="50"/>
    </w:p>
    <w:p>
      <w:pPr>
        <w:pStyle w:val="FirstParagraph"/>
      </w:pPr>
      <w:r>
        <w:t xml:space="preserve">Each event also encodes associations between its item features and the current context state.</w:t>
      </w:r>
      <w:r>
        <w:t xml:space="preserve"> </w:t>
      </w:r>
      <w:r>
        <w:t xml:space="preserve">Feature-to-context learning updates</w:t>
      </w:r>
      <w:r>
        <w:t xml:space="preserve"> </w:t>
      </w:r>
      <m:oMath>
        <m:sSup>
          <m:e>
            <m:r>
              <m:t>M</m:t>
            </m:r>
          </m:e>
          <m:sup>
            <m:r>
              <m:t>F</m:t>
            </m:r>
            <m:r>
              <m:t>C</m:t>
            </m:r>
          </m:sup>
        </m:sSup>
      </m:oMath>
      <w:r>
        <w:t xml:space="preserve"> </w:t>
      </w:r>
      <w:r>
        <w:t xml:space="preserve">so later cues or sampled items can reinstate associated context:</w:t>
      </w:r>
    </w:p>
    <w:p>
      <w:pPr>
        <w:pStyle w:val="BodyText"/>
      </w:pPr>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rPr>
              <m:sty m:val="p"/>
            </m:rPr>
            <m:t>.</m:t>
          </m:r>
        </m:oMath>
      </m:oMathPara>
    </w:p>
    <w:p>
      <w:pPr>
        <w:pStyle w:val="FirstParagraph"/>
      </w:pPr>
      <w:r>
        <w:t xml:space="preserve">Context-to-feature learning updates</w:t>
      </w:r>
      <w:r>
        <w:t xml:space="preserve"> </w:t>
      </w:r>
      <m:oMath>
        <m:sSup>
          <m:e>
            <m:r>
              <m:t>M</m:t>
            </m:r>
          </m:e>
          <m:sup>
            <m:r>
              <m:t>C</m:t>
            </m:r>
            <m:r>
              <m:t>F</m:t>
            </m:r>
          </m:sup>
        </m:sSup>
      </m:oMath>
      <w:r>
        <w:t xml:space="preserve"> </w:t>
      </w:r>
      <w:r>
        <w:t xml:space="preserve">so later context can support the item during sampling:</w:t>
      </w:r>
    </w:p>
    <w:p>
      <w:pPr>
        <w:pStyle w:val="BodyText"/>
      </w:pPr>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rPr>
              <m:sty m:val="p"/>
            </m:rPr>
            <m:t>.</m:t>
          </m:r>
        </m:oMath>
      </m:oMathPara>
    </w:p>
    <w:p>
      <w:pPr>
        <w:pStyle w:val="FirstParagraph"/>
      </w:pPr>
      <w:r>
        <w:t xml:space="preserve">Here,</w:t>
      </w:r>
      <w:r>
        <w:t xml:space="preserve"> </w:t>
      </w:r>
      <m:oMath>
        <m:r>
          <m:t>γ</m:t>
        </m:r>
      </m:oMath>
      <w:r>
        <w:t xml:space="preserve"> </w:t>
      </w:r>
      <w:r>
        <w:t xml:space="preserve">controls feature-to-context learning while</w:t>
      </w:r>
      <w:r>
        <w:t xml:space="preserve"> </w:t>
      </w:r>
      <m:oMath>
        <m:r>
          <m:t>λ</m:t>
        </m:r>
      </m:oMath>
      <w:r>
        <w:t xml:space="preserve"> </w:t>
      </w:r>
      <w:r>
        <w:t xml:space="preserve">scales context-to-feature learning.</w:t>
      </w:r>
      <w:r>
        <w:t xml:space="preserve"> </w:t>
      </w:r>
      <w:r>
        <w:t xml:space="preserve">To capture primacy effects in recall, the scale</w:t>
      </w:r>
      <w:r>
        <w:t xml:space="preserve"> </w:t>
      </w:r>
      <m:oMath>
        <m:sSub>
          <m:e>
            <m:r>
              <m:t>ϕ</m:t>
            </m:r>
          </m:e>
          <m:sub>
            <m:r>
              <m:t>i</m:t>
            </m:r>
          </m:sub>
        </m:sSub>
      </m:oMath>
      <w:r>
        <w:t xml:space="preserve"> </w:t>
      </w:r>
      <w:r>
        <w:t xml:space="preserve">boosts context-to-feature learning for early items in the paradigm and decays across subsequent items.</w:t>
      </w:r>
    </w:p>
    <w:p>
      <w:pPr>
        <w:pStyle w:val="BodyText"/>
      </w:pPr>
      <w:r>
        <w:t xml:space="preserve">Encoding events also have a source feature vector</w:t>
      </w:r>
      <w:r>
        <w:t xml:space="preserve"> </w:t>
      </w:r>
      <m:oMath>
        <m:sSub>
          <m:e>
            <m:r>
              <m:t>s</m:t>
            </m:r>
          </m:e>
          <m:sub>
            <m:r>
              <m:t>i</m:t>
            </m:r>
          </m:sub>
        </m:sSub>
      </m:oMath>
      <w:r>
        <w:t xml:space="preserve"> </w:t>
      </w:r>
      <w:r>
        <w:t xml:space="preserve">that distinguishes film items from non-film items.</w:t>
      </w:r>
      <w:r>
        <w:t xml:space="preserve"> </w:t>
      </w:r>
      <w:r>
        <w:t xml:space="preserve">In this implementation’s simplified approach, the source component of context is set by the source input of the currently encoded item rather than drifting according to a specified drift rate:</w:t>
      </w:r>
    </w:p>
    <w:p>
      <w:pPr>
        <w:pStyle w:val="BodyText"/>
      </w:pPr>
      <w:bookmarkStart w:id="51" w:name="eq-source-context-update"/>
      <m:oMathPara>
        <m:oMathParaPr>
          <m:jc m:val="center"/>
        </m:oMathParaPr>
        <m:oMath>
          <m:sSub>
            <m:e>
              <m:r>
                <m:t>c</m:t>
              </m:r>
            </m:e>
            <m:sub>
              <m:r>
                <m:t>s</m:t>
              </m:r>
              <m:r>
                <m:rPr>
                  <m:sty m:val="p"/>
                </m:rPr>
                <m:t>,</m:t>
              </m:r>
              <m:r>
                <m:t>i</m:t>
              </m:r>
            </m:sub>
          </m:sSub>
          <m:r>
            <m:rPr>
              <m:sty m:val="p"/>
            </m:rPr>
            <m:t>=</m:t>
          </m:r>
          <m:acc>
            <m:accPr>
              <m:chr m:val="̂"/>
            </m:accPr>
            <m:e>
              <m:sSub>
                <m:e>
                  <m:r>
                    <m:t>s</m:t>
                  </m:r>
                </m:e>
                <m:sub>
                  <m:r>
                    <m:t>i</m:t>
                  </m:r>
                </m:sub>
              </m:sSub>
            </m:e>
          </m:acc>
          <m:r>
            <m:rPr>
              <m:sty m:val="p"/>
            </m:rPr>
            <m:t>.</m:t>
          </m:r>
          <m:r>
            <m:t>  </m:t>
          </m:r>
          <m:d>
            <m:dPr>
              <m:begChr m:val="("/>
              <m:sepChr m:val=""/>
              <m:endChr m:val=")"/>
              <m:grow/>
            </m:dPr>
            <m:e>
              <m:r>
                <m:t>5</m:t>
              </m:r>
            </m:e>
          </m:d>
        </m:oMath>
      </m:oMathPara>
      <w:bookmarkEnd w:id="51"/>
    </w:p>
    <w:p>
      <w:pPr>
        <w:pStyle w:val="FirstParagraph"/>
      </w:pPr>
      <w:r>
        <w:t xml:space="preserve">All items can form associations with the source context active for that event.</w:t>
      </w:r>
      <w:r>
        <w:t xml:space="preserve"> </w:t>
      </w:r>
      <w:r>
        <w:t xml:space="preserve">Source-context components are associated with items through the same context-to-feature learning rule described above.</w:t>
      </w:r>
      <w:r>
        <w:t xml:space="preserve"> </w:t>
      </w:r>
      <w:r>
        <w:t xml:space="preserve">For film encoding events, the source-context portion of this update receives an additional</w:t>
      </w:r>
      <w:r>
        <w:t xml:space="preserve"> </w:t>
      </w:r>
      <m:oMath>
        <m:sSub>
          <m:e>
            <m:r>
              <m:t>ϕ</m:t>
            </m:r>
          </m:e>
          <m:sub>
            <m:r>
              <m:rPr>
                <m:sty m:val="p"/>
              </m:rPr>
              <m:t>e</m:t>
            </m:r>
            <m:r>
              <m:rPr>
                <m:sty m:val="p"/>
              </m:rPr>
              <m:t>m</m:t>
            </m:r>
            <m:r>
              <m:rPr>
                <m:sty m:val="p"/>
              </m:rPr>
              <m:t>o</m:t>
            </m:r>
            <m:r>
              <m:rPr>
                <m:sty m:val="p"/>
              </m:rPr>
              <m:t>t</m:t>
            </m:r>
          </m:sub>
        </m:sSub>
      </m:oMath>
      <w:r>
        <w:t xml:space="preserve"> </w:t>
      </w:r>
      <w:r>
        <w:t xml:space="preserve">scale to reflect stronger encoding of emotional material in the trauma-film paradigm</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Task and filler events carry the neutral/default source feature and do not receive this added film-source learning scale.</w:t>
      </w:r>
      <w:r>
        <w:t xml:space="preserve"> </w:t>
      </w:r>
      <w:r>
        <w:t xml:space="preserve">After encoding, film, task, and filler candidates can all enter later recall through the temporal and source-context associations learned for each item.</w:t>
      </w:r>
    </w:p>
    <w:bookmarkEnd w:id="52"/>
    <w:bookmarkStart w:id="55" w:name="reminder-linked-task-encoding"/>
    <w:p>
      <w:pPr>
        <w:pStyle w:val="Heading2"/>
      </w:pPr>
      <w:r>
        <w:t xml:space="preserve">Reminder-Linked Task Encoding</w:t>
      </w:r>
    </w:p>
    <w:p>
      <w:pPr>
        <w:pStyle w:val="FirstParagraph"/>
      </w:pPr>
      <w:r>
        <w:t xml:space="preserve">After the film-delay period, the simulated paradigm can present film reminders before the task begins.</w:t>
      </w:r>
      <w:r>
        <w:t xml:space="preserve"> </w:t>
      </w:r>
      <w:r>
        <w:t xml:space="preserve">The reminder phase reinstates film-associated context before task items are encoded.</w:t>
      </w:r>
      <w:r>
        <w:t xml:space="preserve"> </w:t>
      </w:r>
      <w:r>
        <w:t xml:space="preserve">Task items encoded from that state can later receive support for recall from context that also supports film material.</w:t>
      </w:r>
    </w:p>
    <w:p>
      <w:pPr>
        <w:pStyle w:val="BodyText"/>
      </w:pPr>
      <w:r>
        <w:t xml:space="preserve">The reminder phase begins by updating context toward the start state of the film sequence.</w:t>
      </w:r>
      <w:r>
        <w:t xml:space="preserve"> </w:t>
      </w:r>
      <w:r>
        <w:t xml:space="preserve">Let</w:t>
      </w:r>
      <w:r>
        <w:t xml:space="preserve"> </w:t>
      </w:r>
      <m:oMath>
        <m:sSub>
          <m:e>
            <m:r>
              <m:t>c</m:t>
            </m:r>
          </m:e>
          <m:sub>
            <m:r>
              <m:t>b</m:t>
            </m:r>
          </m:sub>
        </m:sSub>
      </m:oMath>
      <w:r>
        <w:t xml:space="preserve"> </w:t>
      </w:r>
      <w:r>
        <w:t xml:space="preserve">denote the context state after the break period.</w:t>
      </w:r>
      <w:r>
        <w:t xml:space="preserve"> </w:t>
      </w:r>
      <w:r>
        <w:t xml:space="preserve">The reminder-phase start update is:</w:t>
      </w:r>
    </w:p>
    <w:p>
      <w:pPr>
        <w:pStyle w:val="BodyText"/>
      </w:pPr>
      <w:bookmarkStart w:id="53" w:name="eq-reminder-start-update"/>
      <m:oMathPara>
        <m:oMathParaPr>
          <m:jc m:val="center"/>
        </m:oMathParaPr>
        <m:oMath>
          <m:sSub>
            <m:e>
              <m:r>
                <m:t>c</m:t>
              </m:r>
            </m:e>
            <m:sub>
              <m:r>
                <m:t>r</m:t>
              </m:r>
              <m:r>
                <m:rPr>
                  <m:sty m:val="p"/>
                </m:rPr>
                <m:t>,</m:t>
              </m:r>
              <m:r>
                <m:t>0</m:t>
              </m:r>
            </m:sub>
          </m:sSub>
          <m:r>
            <m:rPr>
              <m:sty m:val="p"/>
            </m:rPr>
            <m:t>=</m:t>
          </m:r>
          <m:sSub>
            <m:e>
              <m:r>
                <m:t>ρ</m:t>
              </m:r>
            </m:e>
            <m:sub>
              <m:r>
                <m:t>r</m:t>
              </m:r>
              <m:r>
                <m:rPr>
                  <m:sty m:val="p"/>
                </m:rPr>
                <m:t>,</m:t>
              </m:r>
              <m:r>
                <m:t>0</m:t>
              </m:r>
            </m:sub>
          </m:sSub>
          <m:sSub>
            <m:e>
              <m:r>
                <m:t>c</m:t>
              </m:r>
            </m:e>
            <m:sub>
              <m:r>
                <m:t>b</m:t>
              </m:r>
            </m:sub>
          </m:sSub>
          <m:r>
            <m:rPr>
              <m:sty m:val="p"/>
            </m:rPr>
            <m:t>+</m:t>
          </m:r>
          <m:sSub>
            <m:e>
              <m:r>
                <m:t>β</m:t>
              </m:r>
            </m:e>
            <m:sub>
              <m:r>
                <m:rPr>
                  <m:sty m:val="p"/>
                </m:rPr>
                <m:t>r</m:t>
              </m:r>
              <m:r>
                <m:rPr>
                  <m:sty m:val="p"/>
                </m:rPr>
                <m:t>e</m:t>
              </m:r>
              <m:r>
                <m:rPr>
                  <m:sty m:val="p"/>
                </m:rPr>
                <m:t>m</m:t>
              </m:r>
              <m:r>
                <m:rPr>
                  <m:sty m:val="p"/>
                </m:rPr>
                <m:t>,</m:t>
              </m:r>
              <m:r>
                <m:rPr>
                  <m:sty m:val="p"/>
                </m:rPr>
                <m:t>s</m:t>
              </m:r>
              <m:r>
                <m:rPr>
                  <m:sty m:val="p"/>
                </m:rPr>
                <m:t>t</m:t>
              </m:r>
              <m:r>
                <m:rPr>
                  <m:sty m:val="p"/>
                </m:rPr>
                <m:t>a</m:t>
              </m:r>
              <m:r>
                <m:rPr>
                  <m:sty m:val="p"/>
                </m:rPr>
                <m:t>r</m:t>
              </m:r>
              <m:r>
                <m:rPr>
                  <m:sty m:val="p"/>
                </m:rPr>
                <m:t>t</m:t>
              </m:r>
            </m:sub>
          </m:sSub>
          <m:sSub>
            <m:e>
              <m:r>
                <m:t>c</m:t>
              </m:r>
            </m:e>
            <m:sub>
              <m:r>
                <m:t>0</m:t>
              </m:r>
            </m:sub>
          </m:sSub>
          <m:r>
            <m:rPr>
              <m:sty m:val="p"/>
            </m:rPr>
            <m:t>.</m:t>
          </m:r>
          <m:r>
            <m:t>  </m:t>
          </m:r>
          <m:d>
            <m:dPr>
              <m:begChr m:val="("/>
              <m:sepChr m:val=""/>
              <m:endChr m:val=")"/>
              <m:grow/>
            </m:dPr>
            <m:e>
              <m:r>
                <m:t>6</m:t>
              </m:r>
            </m:e>
          </m:d>
        </m:oMath>
      </m:oMathPara>
      <w:bookmarkEnd w:id="53"/>
    </w:p>
    <w:p>
      <w:pPr>
        <w:pStyle w:val="FirstParagraph"/>
      </w:pPr>
      <w:r>
        <w:t xml:space="preserve">The model then applies a sequence of film-item reminder cues.</w:t>
      </w:r>
      <w:r>
        <w:t xml:space="preserve"> </w:t>
      </w:r>
      <w:r>
        <w:t xml:space="preserve">Each item from the film phase is presented as a reminder cue in the order it was encoded.</w:t>
      </w:r>
      <w:r>
        <w:t xml:space="preserve"> </w:t>
      </w:r>
      <w:r>
        <w:t xml:space="preserve">Feature-to-context memory retrieves reminder input as in</w:t>
      </w:r>
      <w:r>
        <w:t xml:space="preserve"> </w:t>
      </w:r>
      <w:hyperlink w:anchor="eq-context-input">
        <w:r>
          <w:rPr>
            <w:rStyle w:val="Hyperlink"/>
          </w:rPr>
          <w:t xml:space="preserve">Equation 3</w:t>
        </w:r>
      </w:hyperlink>
      <w:r>
        <w:t xml:space="preserve">, and context drifts toward that input using the normalized update in</w:t>
      </w:r>
      <w:r>
        <w:t xml:space="preserve"> </w:t>
      </w:r>
      <w:hyperlink w:anchor="eq-context-update">
        <w:r>
          <w:rPr>
            <w:rStyle w:val="Hyperlink"/>
          </w:rPr>
          <w:t xml:space="preserve">Equation 4</w:t>
        </w:r>
      </w:hyperlink>
      <w:r>
        <w:t xml:space="preserve"> </w:t>
      </w:r>
      <w:r>
        <w:t xml:space="preserve">with the reminder drift rate.</w:t>
      </w:r>
      <w:r>
        <w:t xml:space="preserve"> </w:t>
      </w:r>
      <w:r>
        <w:t xml:space="preserve">Reminder cues update context but do not become recallable items and do not add new context-to-feature learning.</w:t>
      </w:r>
      <w:r>
        <w:t xml:space="preserve"> </w:t>
      </w:r>
      <w:r>
        <w:t xml:space="preserve">This isolates the reminder’s effect to reinstating film-associated context rather than adding new film-item associations.</w:t>
      </w:r>
    </w:p>
    <w:p>
      <w:pPr>
        <w:pStyle w:val="BodyText"/>
      </w:pPr>
      <w:r>
        <w:t xml:space="preserve">Task events are then encoded by the ordinary event-learning rules with the reminder-updated context as the starting state.</w:t>
      </w:r>
      <w:r>
        <w:t xml:space="preserve"> </w:t>
      </w:r>
      <w:r>
        <w:t xml:space="preserve">Task items carry the neutral/default source feature rather than the film-source feature, so they do not receive the added</w:t>
      </w:r>
      <w:r>
        <w:t xml:space="preserve"> </w:t>
      </w:r>
      <m:oMath>
        <m:sSub>
          <m:e>
            <m:r>
              <m:t>ϕ</m:t>
            </m:r>
          </m:e>
          <m:sub>
            <m:r>
              <m:rPr>
                <m:sty m:val="p"/>
              </m:rPr>
              <m:t>e</m:t>
            </m:r>
            <m:r>
              <m:rPr>
                <m:sty m:val="p"/>
              </m:rPr>
              <m:t>m</m:t>
            </m:r>
            <m:r>
              <m:rPr>
                <m:sty m:val="p"/>
              </m:rPr>
              <m:t>o</m:t>
            </m:r>
            <m:r>
              <m:rPr>
                <m:sty m:val="p"/>
              </m:rPr>
              <m:t>t</m:t>
            </m:r>
          </m:sub>
        </m:sSub>
      </m:oMath>
      <w:r>
        <w:t xml:space="preserve"> </w:t>
      </w:r>
      <w:r>
        <w:t xml:space="preserve">term.</w:t>
      </w:r>
      <w:r>
        <w:t xml:space="preserve"> </w:t>
      </w:r>
      <w:r>
        <w:t xml:space="preserve">To represent stronger or weaker task encoding, the simulations scale context-to-feature learning for task events by a task-encoding-strength factor</w:t>
      </w:r>
      <w:r>
        <w:t xml:space="preserve"> </w:t>
      </w:r>
      <m:oMath>
        <m:sSub>
          <m:e>
            <m:r>
              <m:t>m</m:t>
            </m:r>
          </m:e>
          <m:sub>
            <m:r>
              <m:rPr>
                <m:sty m:val="p"/>
              </m:rPr>
              <m:t>t</m:t>
            </m:r>
            <m:r>
              <m:rPr>
                <m:sty m:val="p"/>
              </m:rPr>
              <m:t>a</m:t>
            </m:r>
            <m:r>
              <m:rPr>
                <m:sty m:val="p"/>
              </m:rPr>
              <m:t>s</m:t>
            </m:r>
            <m:r>
              <m:rPr>
                <m:sty m:val="p"/>
              </m:rPr>
              <m:t>k</m:t>
            </m:r>
          </m:sub>
        </m:sSub>
      </m:oMath>
      <w:r>
        <w:t xml:space="preserve">:</w:t>
      </w:r>
    </w:p>
    <w:p>
      <w:pPr>
        <w:pStyle w:val="BodyText"/>
      </w:pPr>
      <w:bookmarkStart w:id="54" w:name="eq-task-mcf-learning"/>
      <m:oMathPara>
        <m:oMathParaPr>
          <m:jc m:val="center"/>
        </m:oMathParaPr>
        <m:oMath>
          <m:r>
            <m:t>Δ</m:t>
          </m:r>
          <m:sSubSup>
            <m:e>
              <m:r>
                <m:t>M</m:t>
              </m:r>
            </m:e>
            <m:sub>
              <m:r>
                <m:rPr>
                  <m:sty m:val="p"/>
                </m:rPr>
                <m:t>t</m:t>
              </m:r>
              <m:r>
                <m:rPr>
                  <m:sty m:val="p"/>
                </m:rPr>
                <m:t>a</m:t>
              </m:r>
              <m:r>
                <m:rPr>
                  <m:sty m:val="p"/>
                </m:rPr>
                <m:t>s</m:t>
              </m:r>
              <m:r>
                <m:rPr>
                  <m:sty m:val="p"/>
                </m:rPr>
                <m:t>k</m:t>
              </m:r>
            </m:sub>
            <m:sup>
              <m:r>
                <m:t>C</m:t>
              </m:r>
              <m:r>
                <m:t>F</m:t>
              </m:r>
            </m:sup>
          </m:sSubSup>
          <m:r>
            <m:rPr>
              <m:sty m:val="p"/>
            </m:rPr>
            <m:t>=</m:t>
          </m:r>
          <m:sSub>
            <m:e>
              <m:r>
                <m:t>m</m:t>
              </m:r>
            </m:e>
            <m:sub>
              <m:r>
                <m:rPr>
                  <m:sty m:val="p"/>
                </m:rPr>
                <m:t>t</m:t>
              </m:r>
              <m:r>
                <m:rPr>
                  <m:sty m:val="p"/>
                </m:rPr>
                <m:t>a</m:t>
              </m:r>
              <m:r>
                <m:rPr>
                  <m:sty m:val="p"/>
                </m:rPr>
                <m:t>s</m:t>
              </m:r>
              <m:r>
                <m:rPr>
                  <m:sty m:val="p"/>
                </m:rPr>
                <m:t>k</m:t>
              </m:r>
            </m:sub>
          </m:sSub>
          <m:r>
            <m:t>λ</m:t>
          </m:r>
          <m:sSub>
            <m:e>
              <m:r>
                <m:t>ϕ</m:t>
              </m:r>
            </m:e>
            <m:sub>
              <m:r>
                <m:t>i</m:t>
              </m:r>
            </m:sub>
          </m:sSub>
          <m:sSub>
            <m:e>
              <m:r>
                <m:t>f</m:t>
              </m:r>
            </m:e>
            <m:sub>
              <m:r>
                <m:t>i</m:t>
              </m:r>
            </m:sub>
          </m:sSub>
          <m:sSubSup>
            <m:e>
              <m:r>
                <m:t>c</m:t>
              </m:r>
            </m:e>
            <m:sub>
              <m:r>
                <m:t>i</m:t>
              </m:r>
            </m:sub>
            <m:sup>
              <m:r>
                <m:rPr>
                  <m:sty m:val="p"/>
                </m:rPr>
                <m:t>⊤</m:t>
              </m:r>
            </m:sup>
          </m:sSubSup>
          <m:r>
            <m:rPr>
              <m:sty m:val="p"/>
            </m:rPr>
            <m:t>.</m:t>
          </m:r>
          <m:r>
            <m:t>  </m:t>
          </m:r>
          <m:d>
            <m:dPr>
              <m:begChr m:val="("/>
              <m:sepChr m:val=""/>
              <m:endChr m:val=")"/>
              <m:grow/>
            </m:dPr>
            <m:e>
              <m:r>
                <m:t>7</m:t>
              </m:r>
            </m:e>
          </m:d>
        </m:oMath>
      </m:oMathPara>
      <w:bookmarkEnd w:id="54"/>
    </w:p>
    <w:p>
      <w:pPr>
        <w:pStyle w:val="FirstParagraph"/>
      </w:pPr>
      <w:r>
        <w:t xml:space="preserve">Task items become interfering competitors in later recall because they become associated with context states that can cue film material.</w:t>
      </w:r>
      <w:r>
        <w:t xml:space="preserve"> </w:t>
      </w:r>
      <w:r>
        <w:t xml:space="preserve">The intervention therefore changes how non-film items are cued by film-related context, without weakening the film-item associations formed during film encoding.</w:t>
      </w:r>
    </w:p>
    <w:bookmarkEnd w:id="55"/>
    <w:bookmarkStart w:id="60" w:name="Xb155c4bf5ea3a7bf524ee6be8d44f4b46605c57"/>
    <w:p>
      <w:pPr>
        <w:pStyle w:val="Heading2"/>
      </w:pPr>
      <w:r>
        <w:t xml:space="preserve">Context-Guided Recall and Test-Phase Cues</w:t>
      </w:r>
    </w:p>
    <w:p>
      <w:pPr>
        <w:pStyle w:val="FirstParagraph"/>
      </w:pPr>
      <w:r>
        <w:t xml:space="preserve">In recall formats where film material must come to mind before it can be reported, the current context state assigns support to film, task, and filler candidates.</w:t>
      </w:r>
      <w:r>
        <w:t xml:space="preserve"> </w:t>
      </w:r>
      <w:r>
        <w:t xml:space="preserve">At sampling step</w:t>
      </w:r>
      <w:r>
        <w:t xml:space="preserve"> </w:t>
      </w:r>
      <m:oMath>
        <m:r>
          <m:t>j</m:t>
        </m:r>
      </m:oMath>
      <w:r>
        <w:t xml:space="preserve">, candidate support is computed by probing context-to-feature memory with the full context state:</w:t>
      </w:r>
    </w:p>
    <w:p>
      <w:pPr>
        <w:pStyle w:val="BodyText"/>
      </w:pPr>
      <w:bookmarkStart w:id="56" w:name="eq-recall-support"/>
      <m:oMathPara>
        <m:oMathParaPr>
          <m:jc m:val="center"/>
        </m:oMathParaPr>
        <m:oMath>
          <m:sSub>
            <m:e>
              <m:r>
                <m:t>a</m:t>
              </m:r>
            </m:e>
            <m:sub>
              <m:r>
                <m:t>i</m:t>
              </m:r>
              <m:r>
                <m:rPr>
                  <m:sty m:val="p"/>
                </m:rPr>
                <m:t>,</m:t>
              </m:r>
              <m:r>
                <m:t>j</m:t>
              </m:r>
            </m:sub>
          </m:sSub>
          <m:r>
            <m:rPr>
              <m:sty m:val="p"/>
            </m:rPr>
            <m:t>=</m:t>
          </m:r>
          <m:sSub>
            <m:e>
              <m:d>
                <m:dPr>
                  <m:begChr m:val="["/>
                  <m:sepChr m:val=""/>
                  <m:endChr m:val="]"/>
                  <m:grow/>
                </m:dPr>
                <m:e>
                  <m:sSup>
                    <m:e>
                      <m:r>
                        <m:t>M</m:t>
                      </m:r>
                    </m:e>
                    <m:sup>
                      <m:r>
                        <m:t>C</m:t>
                      </m:r>
                      <m:r>
                        <m:t>F</m:t>
                      </m:r>
                    </m:sup>
                  </m:sSup>
                  <m:sSub>
                    <m:e>
                      <m:r>
                        <m:t>c</m:t>
                      </m:r>
                    </m:e>
                    <m:sub>
                      <m:r>
                        <m:t>j</m:t>
                      </m:r>
                    </m:sub>
                  </m:sSub>
                </m:e>
              </m:d>
            </m:e>
            <m:sub>
              <m:r>
                <m:t>i</m:t>
              </m:r>
            </m:sub>
          </m:sSub>
          <m:r>
            <m:rPr>
              <m:sty m:val="p"/>
            </m:rPr>
            <m:t>.</m:t>
          </m:r>
          <m:r>
            <m:t>  </m:t>
          </m:r>
          <m:d>
            <m:dPr>
              <m:begChr m:val="("/>
              <m:sepChr m:val=""/>
              <m:endChr m:val=")"/>
              <m:grow/>
            </m:dPr>
            <m:e>
              <m:r>
                <m:t>8</m:t>
              </m:r>
            </m:e>
          </m:d>
        </m:oMath>
      </m:oMathPara>
      <w:bookmarkEnd w:id="56"/>
    </w:p>
    <w:p>
      <w:pPr>
        <w:pStyle w:val="FirstParagraph"/>
      </w:pPr>
      <w:r>
        <w:t xml:space="preserve">The context vector</w:t>
      </w:r>
      <w:r>
        <w:t xml:space="preserve"> </w:t>
      </w:r>
      <m:oMath>
        <m:sSub>
          <m:e>
            <m:r>
              <m:t>c</m:t>
            </m:r>
          </m:e>
          <m:sub>
            <m:r>
              <m:t>j</m:t>
            </m:r>
          </m:sub>
        </m:sSub>
      </m:oMath>
      <w:r>
        <w:t xml:space="preserve"> </w:t>
      </w:r>
      <w:r>
        <w:t xml:space="preserve">includes both temporal and source-context components.</w:t>
      </w:r>
      <w:r>
        <w:t xml:space="preserve"> </w:t>
      </w:r>
      <w:r>
        <w:t xml:space="preserve">Candidates already sampled in the current recall period are excluded from later sampling.</w:t>
      </w:r>
    </w:p>
    <w:p>
      <w:pPr>
        <w:pStyle w:val="BodyText"/>
      </w:pPr>
      <w:r>
        <w:t xml:space="preserve">Sampling follows a Luce choice rule over the remaining candidates</w:t>
      </w:r>
      <w:r>
        <w:t xml:space="preserve"> </w:t>
      </w:r>
      <w:r>
        <w:t xml:space="preserve">(</w:t>
      </w:r>
      <w:hyperlink w:anchor="ref-luce1959individual">
        <w:r>
          <w:rPr>
            <w:rStyle w:val="Hyperlink"/>
          </w:rPr>
          <w:t xml:space="preserve">Luce, 1959</w:t>
        </w:r>
      </w:hyperlink>
      <w:r>
        <w:t xml:space="preserve">)</w:t>
      </w:r>
      <w:r>
        <w:t xml:space="preserve">:</w:t>
      </w:r>
    </w:p>
    <w:p>
      <w:pPr>
        <w:pStyle w:val="BodyText"/>
      </w:pPr>
      <w:bookmarkStart w:id="57" w:name="eq-luce-choice"/>
      <m:oMathPara>
        <m:oMathParaPr>
          <m:jc m:val="center"/>
        </m:oMathParaPr>
        <m:oMath>
          <m:r>
            <m:t>P</m:t>
          </m:r>
          <m:d>
            <m:dPr>
              <m:begChr m:val="("/>
              <m:sepChr m:val=""/>
              <m:endChr m:val=")"/>
              <m:grow/>
            </m:dPr>
            <m:e>
              <m:r>
                <m:t>i</m:t>
              </m:r>
              <m:r>
                <m:rPr>
                  <m:sty m:val="p"/>
                </m:rPr>
                <m:t>∣</m:t>
              </m:r>
              <m:r>
                <m:rPr>
                  <m:sty m:val="p"/>
                </m:rPr>
                <m:t>c</m:t>
              </m:r>
              <m:r>
                <m:rPr>
                  <m:sty m:val="p"/>
                </m:rPr>
                <m:t>o</m:t>
              </m:r>
              <m:r>
                <m:rPr>
                  <m:sty m:val="p"/>
                </m:rPr>
                <m:t>n</m:t>
              </m:r>
              <m:r>
                <m:rPr>
                  <m:sty m:val="p"/>
                </m:rPr>
                <m:t>t</m:t>
              </m:r>
              <m:r>
                <m:rPr>
                  <m:sty m:val="p"/>
                </m:rPr>
                <m:t>i</m:t>
              </m:r>
              <m:r>
                <m:rPr>
                  <m:sty m:val="p"/>
                </m:rPr>
                <m:t>n</m:t>
              </m:r>
              <m:r>
                <m:rPr>
                  <m:sty m:val="p"/>
                </m:rPr>
                <m:t>u</m:t>
              </m:r>
              <m:r>
                <m:rPr>
                  <m:sty m:val="p"/>
                </m:rPr>
                <m:t>e</m:t>
              </m:r>
            </m:e>
          </m:d>
          <m:r>
            <m:rPr>
              <m:sty m:val="p"/>
            </m:rPr>
            <m:t>=</m:t>
          </m:r>
          <m:f>
            <m:fPr>
              <m:type m:val="bar"/>
            </m:fPr>
            <m:num>
              <m:sSubSup>
                <m:e>
                  <m:r>
                    <m:t>a</m:t>
                  </m:r>
                </m:e>
                <m:sub>
                  <m:r>
                    <m:t>i</m:t>
                  </m:r>
                  <m:r>
                    <m:rPr>
                      <m:sty m:val="p"/>
                    </m:rPr>
                    <m:t>,</m:t>
                  </m:r>
                  <m:r>
                    <m:t>j</m:t>
                  </m:r>
                </m:sub>
                <m:sup>
                  <m:r>
                    <m:t>τ</m:t>
                  </m:r>
                </m:sup>
              </m:sSubSup>
            </m:num>
            <m:den>
              <m:nary>
                <m:naryPr>
                  <m:chr m:val="∑"/>
                  <m:limLoc m:val="undOvr"/>
                  <m:subHide m:val="off"/>
                  <m:supHide m:val="on"/>
                </m:naryPr>
                <m:sub>
                  <m:r>
                    <m:rPr>
                      <m:sty m:val="p"/>
                    </m:rPr>
                    <m:t>r</m:t>
                  </m:r>
                  <m:r>
                    <m:rPr>
                      <m:sty m:val="p"/>
                    </m:rPr>
                    <m:t>e</m:t>
                  </m:r>
                  <m:r>
                    <m:rPr>
                      <m:sty m:val="p"/>
                    </m:rPr>
                    <m:t>m</m:t>
                  </m:r>
                  <m:r>
                    <m:rPr>
                      <m:sty m:val="p"/>
                    </m:rPr>
                    <m:t>a</m:t>
                  </m:r>
                  <m:r>
                    <m:rPr>
                      <m:sty m:val="p"/>
                    </m:rPr>
                    <m:t>i</m:t>
                  </m:r>
                  <m:r>
                    <m:rPr>
                      <m:sty m:val="p"/>
                    </m:rPr>
                    <m:t>n</m:t>
                  </m:r>
                  <m:r>
                    <m:rPr>
                      <m:sty m:val="p"/>
                    </m:rPr>
                    <m:t>i</m:t>
                  </m:r>
                  <m:r>
                    <m:rPr>
                      <m:sty m:val="p"/>
                    </m:rPr>
                    <m:t>n</m:t>
                  </m:r>
                  <m:r>
                    <m:rPr>
                      <m:sty m:val="p"/>
                    </m:rPr>
                    <m:t>g</m:t>
                  </m:r>
                  <m:r>
                    <m:t> </m:t>
                  </m:r>
                  <m:r>
                    <m:t>k</m:t>
                  </m:r>
                </m:sub>
                <m:sup>
                  <m:r>
                    <m:t>​</m:t>
                  </m:r>
                </m:sup>
                <m:e>
                  <m:sSubSup>
                    <m:e>
                      <m:r>
                        <m:t>a</m:t>
                      </m:r>
                    </m:e>
                    <m:sub>
                      <m:r>
                        <m:t>k</m:t>
                      </m:r>
                      <m:r>
                        <m:rPr>
                          <m:sty m:val="p"/>
                        </m:rPr>
                        <m:t>,</m:t>
                      </m:r>
                      <m:r>
                        <m:t>j</m:t>
                      </m:r>
                    </m:sub>
                    <m:sup>
                      <m:r>
                        <m:t>τ</m:t>
                      </m:r>
                    </m:sup>
                  </m:sSubSup>
                </m:e>
              </m:nary>
            </m:den>
          </m:f>
          <m:r>
            <m:rPr>
              <m:sty m:val="p"/>
            </m:rPr>
            <m:t>.</m:t>
          </m:r>
          <m:r>
            <m:t>  </m:t>
          </m:r>
          <m:d>
            <m:dPr>
              <m:begChr m:val="("/>
              <m:sepChr m:val=""/>
              <m:endChr m:val=")"/>
              <m:grow/>
            </m:dPr>
            <m:e>
              <m:r>
                <m:t>9</m:t>
              </m:r>
            </m:e>
          </m:d>
        </m:oMath>
      </m:oMathPara>
      <w:bookmarkEnd w:id="57"/>
    </w:p>
    <w:p>
      <w:pPr>
        <w:pStyle w:val="FirstParagraph"/>
      </w:pPr>
      <w:r>
        <w:t xml:space="preserve">Following likelihood-based CMR implementations, stopping is modeled as a position-dependent hazard independent of current candidate support</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w:t>
      </w:r>
    </w:p>
    <w:p>
      <w:pPr>
        <w:pStyle w:val="BodyText"/>
      </w:pPr>
      <w:bookmarkStart w:id="58"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rPr>
              <m:sty m:val="p"/>
            </m:rPr>
            <m:t>.</m:t>
          </m:r>
          <m:r>
            <m:t>  </m:t>
          </m:r>
          <m:d>
            <m:dPr>
              <m:begChr m:val="("/>
              <m:sepChr m:val=""/>
              <m:endChr m:val=")"/>
              <m:grow/>
            </m:dPr>
            <m:e>
              <m:r>
                <m:t>10</m:t>
              </m:r>
            </m:e>
          </m:d>
        </m:oMath>
      </m:oMathPara>
      <w:bookmarkEnd w:id="58"/>
    </w:p>
    <w:p>
      <w:pPr>
        <w:pStyle w:val="FirstParagraph"/>
      </w:pPr>
      <w:r>
        <w:t xml:space="preserve">This value is bounded to remain a valid probability.</w:t>
      </w:r>
      <w:r>
        <w:t xml:space="preserve"> </w:t>
      </w:r>
      <w:r>
        <w:t xml:space="preserve">Because stopping is independent of candidate support, interference is read from the identity of sampled items.</w:t>
      </w:r>
      <w:r>
        <w:t xml:space="preserve"> </w:t>
      </w:r>
      <w:r>
        <w:t xml:space="preserve">A sampled task or filler item takes the place of a possible film sample.</w:t>
      </w:r>
    </w:p>
    <w:p>
      <w:pPr>
        <w:pStyle w:val="BodyText"/>
      </w:pPr>
      <w:r>
        <w:t xml:space="preserve">After a candidate is sampled, feature-to-context memory updates context toward the sampled item’s associated context:</w:t>
      </w:r>
    </w:p>
    <w:p>
      <w:pPr>
        <w:pStyle w:val="BodyText"/>
      </w:pPr>
      <w:bookmarkStart w:id="59"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sSub>
            <m:e>
              <m:r>
                <m:t>c</m:t>
              </m:r>
            </m:e>
            <m:sub>
              <m:r>
                <m:t>j</m:t>
              </m:r>
            </m:sub>
          </m:sSub>
          <m:r>
            <m:rPr>
              <m:sty m:val="p"/>
            </m:rPr>
            <m:t>+</m:t>
          </m:r>
          <m:sSub>
            <m:e>
              <m:r>
                <m:t>β</m:t>
              </m:r>
            </m:e>
            <m:sub>
              <m:r>
                <m:rPr>
                  <m:sty m:val="p"/>
                </m:rPr>
                <m:t>r</m:t>
              </m:r>
              <m:r>
                <m:rPr>
                  <m:sty m:val="p"/>
                </m:rPr>
                <m:t>e</m:t>
              </m:r>
              <m:r>
                <m:rPr>
                  <m:sty m:val="p"/>
                </m:rPr>
                <m:t>c</m:t>
              </m:r>
            </m:sub>
          </m:sSub>
          <m:acc>
            <m:accPr>
              <m:chr m:val="̂"/>
            </m:accPr>
            <m:e>
              <m:sSup>
                <m:e>
                  <m:r>
                    <m:t>M</m:t>
                  </m:r>
                </m:e>
                <m:sup>
                  <m:r>
                    <m:t>F</m:t>
                  </m:r>
                  <m:r>
                    <m:t>C</m:t>
                  </m:r>
                </m:sup>
              </m:sSup>
              <m:sSub>
                <m:e>
                  <m:r>
                    <m:t>f</m:t>
                  </m:r>
                </m:e>
                <m:sub>
                  <m:sSub>
                    <m:e>
                      <m:r>
                        <m:t>r</m:t>
                      </m:r>
                    </m:e>
                    <m:sub>
                      <m:r>
                        <m:t>j</m:t>
                      </m:r>
                    </m:sub>
                  </m:sSub>
                </m:sub>
              </m:sSub>
            </m:e>
          </m:acc>
          <m:r>
            <m:rPr>
              <m:sty m:val="p"/>
            </m:rPr>
            <m:t>.</m:t>
          </m:r>
          <m:r>
            <m:t>  </m:t>
          </m:r>
          <m:d>
            <m:dPr>
              <m:begChr m:val="("/>
              <m:sepChr m:val=""/>
              <m:endChr m:val=")"/>
              <m:grow/>
            </m:dPr>
            <m:e>
              <m:r>
                <m:t>11</m:t>
              </m:r>
            </m:e>
          </m:d>
        </m:oMath>
      </m:oMathPara>
      <w:bookmarkEnd w:id="59"/>
    </w:p>
    <w:p>
      <w:pPr>
        <w:pStyle w:val="FirstParagraph"/>
      </w:pPr>
      <w:r>
        <w:t xml:space="preserve">This update lets sampled material shape later search.</w:t>
      </w:r>
      <w:r>
        <w:t xml:space="preserve"> </w:t>
      </w:r>
      <w:r>
        <w:t xml:space="preserve">A sampled film item can keep later sampling near film-associated context.</w:t>
      </w:r>
      <w:r>
        <w:t xml:space="preserve"> </w:t>
      </w:r>
      <w:r>
        <w:t xml:space="preserve">A sampled task or filler item can pull later sampling toward non-film material.</w:t>
      </w:r>
    </w:p>
    <w:p>
      <w:pPr>
        <w:pStyle w:val="BodyText"/>
      </w:pPr>
      <w:r>
        <w:t xml:space="preserve">Test-phase film cues use the same feature-to-context operation without becoming recall outputs.</w:t>
      </w:r>
      <w:r>
        <w:t xml:space="preserve"> </w:t>
      </w:r>
      <w:r>
        <w:t xml:space="preserve">When a film cue</w:t>
      </w:r>
      <w:r>
        <w:t xml:space="preserve"> </w:t>
      </w:r>
      <m:oMath>
        <m:r>
          <m:t>q</m:t>
        </m:r>
      </m:oMath>
      <w:r>
        <w:t xml:space="preserve"> </w:t>
      </w:r>
      <w:r>
        <w:t xml:space="preserve">is presented, the cued item updates context through</w:t>
      </w:r>
      <w:r>
        <w:t xml:space="preserve"> </w:t>
      </w:r>
      <m:oMath>
        <m:sSup>
          <m:e>
            <m:r>
              <m:t>M</m:t>
            </m:r>
          </m:e>
          <m:sup>
            <m:r>
              <m:t>F</m:t>
            </m:r>
            <m:r>
              <m:t>C</m:t>
            </m:r>
          </m:sup>
        </m:sSup>
        <m:sSub>
          <m:e>
            <m:r>
              <m:t>f</m:t>
            </m:r>
          </m:e>
          <m:sub>
            <m:r>
              <m:t>q</m:t>
            </m:r>
          </m:sub>
        </m:sSub>
      </m:oMath>
      <w:r>
        <w:t xml:space="preserve">.</w:t>
      </w:r>
      <w:r>
        <w:t xml:space="preserve"> </w:t>
      </w:r>
      <w:r>
        <w:t xml:space="preserve">The cue is not counted as a recalled item, does not make the cued film item unavailable for later recall, and adds no new learning.</w:t>
      </w:r>
      <w:r>
        <w:t xml:space="preserve"> </w:t>
      </w:r>
      <w:r>
        <w:t xml:space="preserve">Film cues can therefore drive the retrieval context toward film-associated states while leaving recall dependent on candidate sampling from that context.</w:t>
      </w:r>
    </w:p>
    <w:bookmarkEnd w:id="60"/>
    <w:bookmarkStart w:id="61" w:name="deliberate-recall-control"/>
    <w:p>
      <w:pPr>
        <w:pStyle w:val="Heading2"/>
      </w:pPr>
      <w:r>
        <w:t xml:space="preserve">Deliberate Recall Control</w:t>
      </w:r>
    </w:p>
    <w:bookmarkEnd w:id="61"/>
    <w:bookmarkStart w:id="65" w:name="recognition-judgments"/>
    <w:p>
      <w:pPr>
        <w:pStyle w:val="Heading2"/>
      </w:pPr>
      <w:r>
        <w:t xml:space="preserve">Recognition Judgments</w:t>
      </w:r>
    </w:p>
    <w:p>
      <w:pPr>
        <w:pStyle w:val="FirstParagraph"/>
      </w:pPr>
      <w:r>
        <w:t xml:space="preserve">Unguided retrieval and deliberate recall use the same retrieval-support and choice rules in</w:t>
      </w:r>
      <w:r>
        <w:t xml:space="preserve"> </w:t>
      </w:r>
      <w:r>
        <w:rPr>
          <w:b/>
          <w:bCs/>
        </w:rPr>
        <w:t xml:space="preserve">?@eq-retrieval-support</w:t>
      </w:r>
      <w:r>
        <w:t xml:space="preserve"> </w:t>
      </w:r>
      <w:r>
        <w:t xml:space="preserve">and</w:t>
      </w:r>
      <w:r>
        <w:t xml:space="preserve"> </w:t>
      </w:r>
      <w:hyperlink w:anchor="eq-luce-choice">
        <w:r>
          <w:rPr>
            <w:rStyle w:val="Hyperlink"/>
          </w:rPr>
          <w:t xml:space="preserve">Equation 9</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start-of-film context reinstatement:</w:t>
      </w:r>
    </w:p>
    <w:p>
      <w:pPr>
        <w:pStyle w:val="BodyText"/>
      </w:pPr>
      <w:bookmarkStart w:id="62" w:name="eq-start-context-reinstatement"/>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12</m:t>
              </m:r>
            </m:e>
          </m:d>
        </m:oMath>
      </m:oMathPara>
      <w:bookmarkEnd w:id="62"/>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r>
        <w:rPr>
          <w:b/>
          <w:bCs/>
        </w:rPr>
        <w:t xml:space="preserve">?@eq-context-rho</w:t>
      </w:r>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start-of-film context reinstatement.</w:t>
      </w:r>
      <w:r>
        <w:t xml:space="preserve"> </w:t>
      </w:r>
      <w:r>
        <w:t xml:space="preserve">The second control setting is a maintained film-retrieval goal.</w:t>
      </w:r>
      <w:r>
        <w:t xml:space="preserve"> </w:t>
      </w:r>
      <w:r>
        <w:t xml:space="preserve">It is represented by the goal-match term</w:t>
      </w:r>
      <w:r>
        <w:t xml:space="preserve"> </w:t>
      </w:r>
      <m:oMath>
        <m:sSub>
          <m:e>
            <m:r>
              <m:t>ω</m:t>
            </m:r>
          </m:e>
          <m:sub>
            <m:r>
              <m:rPr>
                <m:sty m:val="p"/>
              </m:rPr>
              <m:t>g</m:t>
            </m:r>
            <m:r>
              <m:rPr>
                <m:sty m:val="p"/>
              </m:rPr>
              <m:t>o</m:t>
            </m:r>
            <m:r>
              <m:rPr>
                <m:sty m:val="p"/>
              </m:rPr>
              <m:t>a</m:t>
            </m:r>
            <m:r>
              <m:rPr>
                <m:sty m:val="p"/>
              </m:rPr>
              <m:t>l</m:t>
            </m:r>
          </m:sub>
        </m:sSub>
        <m:sSub>
          <m:e>
            <m:r>
              <m:t>g</m:t>
            </m:r>
          </m:e>
          <m:sub>
            <m:r>
              <m:t>i</m:t>
            </m:r>
          </m:sub>
        </m:sSub>
      </m:oMath>
      <w:r>
        <w:t xml:space="preserve"> </w:t>
      </w:r>
      <w:r>
        <w:t xml:space="preserve">in</w:t>
      </w:r>
      <w:r>
        <w:t xml:space="preserve"> </w:t>
      </w:r>
      <w:r>
        <w:rPr>
          <w:b/>
          <w:bCs/>
        </w:rPr>
        <w:t xml:space="preserve">?@eq-retrieval-support</w:t>
      </w:r>
      <w:r>
        <w:t xml:space="preserve">, so a film-directed goal contributes support to film candidates without giving the same support to task or filler candidates.</w:t>
      </w:r>
      <w:r>
        <w:t xml:space="preserve"> </w:t>
      </w:r>
      <w:r>
        <w:t xml:space="preserve">The third control setting is retrieval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Retrieval monitoring modifies the sampled-item context update in</w:t>
      </w:r>
      <w:r>
        <w:t xml:space="preserve"> </w:t>
      </w:r>
      <w:hyperlink w:anchor="eq-recall-context-update">
        <w:r>
          <w:rPr>
            <w:rStyle w:val="Hyperlink"/>
          </w:rPr>
          <w:t xml:space="preserve">Equation 11</w:t>
        </w:r>
      </w:hyperlink>
      <w:r>
        <w:t xml:space="preserve">.</w:t>
      </w:r>
      <w:r>
        <w:t xml:space="preserve"> </w:t>
      </w:r>
      <w:r>
        <w:t xml:space="preserve">With retrieval monitoring, the context update after sampled item</w:t>
      </w:r>
      <w:r>
        <w:t xml:space="preserve"> </w:t>
      </w:r>
      <m:oMath>
        <m:r>
          <m:t>i</m:t>
        </m:r>
      </m:oMath>
      <w:r>
        <w:t xml:space="preserve"> </w:t>
      </w:r>
      <w:r>
        <w:t xml:space="preserve">becomes:</w:t>
      </w:r>
    </w:p>
    <w:p>
      <w:pPr>
        <w:pStyle w:val="BodyText"/>
      </w:pPr>
      <w:bookmarkStart w:id="63"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13</m:t>
              </m:r>
            </m:e>
          </m:d>
        </m:oMath>
      </m:oMathPara>
      <w:bookmarkEnd w:id="63"/>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Recognition-like tests are not retrieval-control settings in this sense.</w:t>
      </w:r>
      <w:r>
        <w:t xml:space="preserve"> </w:t>
      </w:r>
      <w:r>
        <w:t xml:space="preserve">When a test presents a candidate film item, the item is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64"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14</m:t>
              </m:r>
            </m:e>
          </m:d>
        </m:oMath>
      </m:oMathPara>
      <w:bookmarkEnd w:id="64"/>
    </w:p>
    <w:p>
      <w:pPr>
        <w:pStyle w:val="FirstParagraph"/>
      </w:pPr>
      <w:r>
        <w:t xml:space="preserve">Candidate film items presented by the test therefore use the same feature-to-context operation as sampled and reminded items.</w:t>
      </w:r>
    </w:p>
    <w:bookmarkEnd w:id="65"/>
    <w:bookmarkStart w:id="69" w:name="source-context"/>
    <w:p>
      <w:pPr>
        <w:pStyle w:val="Heading2"/>
      </w:pPr>
      <w:r>
        <w:t xml:space="preserve">Source Context</w:t>
      </w:r>
    </w:p>
    <w:p>
      <w:pPr>
        <w:pStyle w:val="FirstParagraph"/>
      </w:pPr>
      <w:r>
        <w:t xml:space="preserve">The source-context pathway adapts the emotional/source-context machinery of eCMR and CMR3 to the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simplified film-source dimension fills the same architectural role: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66"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15</m:t>
              </m:r>
            </m:e>
          </m:d>
        </m:oMath>
      </m:oMathPara>
      <w:bookmarkEnd w:id="66"/>
    </w:p>
    <w:p>
      <w:pPr>
        <w:pStyle w:val="FirstParagraph"/>
      </w:pPr>
      <w:r>
        <w:t xml:space="preserve">Source-context-to-feature support begins at zero:</w:t>
      </w:r>
    </w:p>
    <w:p>
      <w:pPr>
        <w:pStyle w:val="BodyText"/>
      </w:pPr>
      <w:bookmarkStart w:id="67"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16</m:t>
              </m:r>
            </m:e>
          </m:d>
        </m:oMath>
      </m:oMathPara>
      <w:bookmarkEnd w:id="67"/>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68"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17</m:t>
              </m:r>
            </m:e>
          </m:d>
        </m:oMath>
      </m:oMathPara>
      <w:bookmarkEnd w:id="68"/>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r>
        <w:rPr>
          <w:b/>
          <w:bCs/>
        </w:rPr>
        <w:t xml:space="preserve">?@eq-retrieval-support</w:t>
      </w:r>
      <w:r>
        <w:t xml:space="preserve">.</w:t>
      </w:r>
      <w:r>
        <w:t xml:space="preserve"> </w:t>
      </w:r>
      <w:r>
        <w:t xml:space="preserve">Because</w:t>
      </w:r>
      <w:r>
        <w:t xml:space="preserve"> </w:t>
      </w:r>
      <m:oMath>
        <m:sSub>
          <m:e>
            <m:r>
              <m:t>η</m:t>
            </m:r>
          </m:e>
          <m:sub>
            <m:r>
              <m:t>s</m:t>
            </m:r>
          </m:sub>
        </m:sSub>
      </m:oMath>
      <w:r>
        <w:t xml:space="preserve"> </w:t>
      </w:r>
      <w:r>
        <w:t xml:space="preserve">is nonzero,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Retrieval begins with fixed partial reinstatement of the marked film-source context, governed by</w:t>
      </w:r>
      <w:r>
        <w:t xml:space="preserve"> </w:t>
      </w: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r>
        <w:t xml:space="preserve">.</w:t>
      </w:r>
      <w:r>
        <w:t xml:space="preserve"> </w:t>
      </w:r>
      <w:r>
        <w:t xml:space="preserve">This fixed source-context orientation represents the test setting orienting retrieval toward the film episode at the level of source context.</w:t>
      </w:r>
      <w:r>
        <w:t xml:space="preserve"> </w:t>
      </w:r>
      <w:r>
        <w:t xml:space="preserve">It is held constant across unguided and deliberate retrieval and is separate from the start-of-film context reinstatement manipulated in Simulation 2.</w:t>
      </w:r>
    </w:p>
    <w:p>
      <w:pPr>
        <w:pStyle w:val="BodyText"/>
      </w:pPr>
      <w:r>
        <w:t xml:space="preserve">These equations define the item-context architecture used in all simulations.</w:t>
      </w:r>
      <w:r>
        <w:t xml:space="preserve"> </w:t>
      </w:r>
      <w:r>
        <w:t xml:space="preserve">During retrieval, the model samples one candidate at a time until stopping.</w:t>
      </w:r>
      <w:r>
        <w:t xml:space="preserve"> </w:t>
      </w:r>
      <w:r>
        <w:t xml:space="preserve">Task competitors reduce film recall when they are sampled instead of film items, using retrieval attempts that could otherwise have returned film material. –&gt;</w:t>
      </w:r>
    </w:p>
    <w:bookmarkEnd w:id="69"/>
    <w:bookmarkEnd w:id="70"/>
    <w:bookmarkStart w:id="114"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reminder-linked task competition, retrieval-control consequences for deliberate recall, and recognition-like test-format consequences of bidirectional item-context associations.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The recognition simulation compares context-to-item recall with a test format in which a candidate film item is presented for judgment.</w:t>
      </w:r>
    </w:p>
    <w:bookmarkStart w:id="71" w:name="tbl-simulation-overview"/>
    <w:p>
      <w:pPr>
        <w:pStyle w:val="FigureTitle"/>
      </w:pPr>
      <w:r>
        <w:t xml:space="preserve">Table 1</w:t>
      </w:r>
    </w:p>
    <w:p>
      <w:pPr>
        <w:pStyle w:val="Caption"/>
      </w:pPr>
      <w:r>
        <w:t xml:space="preserve">Overview of what is held fixed, varied, and measured across simulations.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Simulation</w:t>
            </w:r>
          </w:p>
        </w:tc>
        <w:tc>
          <w:tcPr/>
          <w:p>
            <w:pPr>
              <w:pStyle w:val="Compact"/>
            </w:pPr>
            <w:r>
              <w:t xml:space="preserve">Main fixed structure</w:t>
            </w:r>
          </w:p>
        </w:tc>
        <w:tc>
          <w:tcPr/>
          <w:p>
            <w:pPr>
              <w:pStyle w:val="Compact"/>
            </w:pPr>
            <w:r>
              <w:t xml:space="preserve">Varied or compared</w:t>
            </w:r>
          </w:p>
        </w:tc>
        <w:tc>
          <w:tcPr/>
          <w:p>
            <w:pPr>
              <w:pStyle w:val="Compact"/>
            </w:pPr>
            <w:r>
              <w:t xml:space="preserve">Primary readout</w:t>
            </w:r>
          </w:p>
        </w:tc>
      </w:tr>
      <w:tr>
        <w:tc>
          <w:tcPr/>
          <w:p>
            <w:pPr>
              <w:pStyle w:val="Compact"/>
            </w:pPr>
            <w:r>
              <w:t xml:space="preserve">1</w:t>
            </w:r>
          </w:p>
        </w:tc>
        <w:tc>
          <w:tcPr/>
          <w:p>
            <w:pPr>
              <w:pStyle w:val="Compact"/>
            </w:pPr>
            <w:r>
              <w:t xml:space="preserve">Unguided retrieval settings; film, delay, task, and filler phases</w:t>
            </w:r>
          </w:p>
        </w:tc>
        <w:tc>
          <w:tcPr/>
          <w:p>
            <w:pPr>
              <w:pStyle w:val="Compact"/>
            </w:pPr>
            <w:r>
              <w:t xml:space="preserve">No-reminder versus with-reminder task encoding; task encoding multiplier</w:t>
            </w:r>
          </w:p>
        </w:tc>
        <w:tc>
          <w:tcPr/>
          <w:p>
            <w:pPr>
              <w:pStyle w:val="Compact"/>
            </w:pPr>
            <w:r>
              <w:t xml:space="preserve">Film and task recall by encoded position; film-task context overlap</w:t>
            </w:r>
          </w:p>
        </w:tc>
      </w:tr>
      <w:tr>
        <w:tc>
          <w:tcPr/>
          <w:p>
            <w:pPr>
              <w:pStyle w:val="Compact"/>
            </w:pPr>
            <w:r>
              <w:t xml:space="preserve">2</w:t>
            </w:r>
          </w:p>
        </w:tc>
        <w:tc>
          <w:tcPr/>
          <w:p>
            <w:pPr>
              <w:pStyle w:val="Compact"/>
            </w:pPr>
            <w:r>
              <w:t xml:space="preserve">Reminder condition and task encoding strength crossed as in Simulation 1</w:t>
            </w:r>
          </w:p>
        </w:tc>
        <w:tc>
          <w:tcPr/>
          <w:p>
            <w:pPr>
              <w:pStyle w:val="Compact"/>
            </w:pPr>
            <w:r>
              <w:t xml:space="preserve">Unguided retrieval versus deliberate recall; start-of-film context reinstatement, maintained film-retrieval goal, and retrieval monitoring</w:t>
            </w:r>
          </w:p>
        </w:tc>
        <w:tc>
          <w:tcPr/>
          <w:p>
            <w:pPr>
              <w:pStyle w:val="Compact"/>
            </w:pPr>
            <w:r>
              <w:t xml:space="preserve">Film recall across retrieval modes; endpoint differences across control settings; recall initiation and film return after off-target samples</w:t>
            </w:r>
          </w:p>
        </w:tc>
      </w:tr>
      <w:tr>
        <w:tc>
          <w:tcPr/>
          <w:p>
            <w:pPr>
              <w:pStyle w:val="Compact"/>
            </w:pPr>
            <w:r>
              <w:t xml:space="preserve">Recognition</w:t>
            </w:r>
          </w:p>
        </w:tc>
        <w:tc>
          <w:tcPr/>
          <w:p>
            <w:pPr>
              <w:pStyle w:val="Compact"/>
            </w:pPr>
            <w:r>
              <w:t xml:space="preserve">Same reminder and task-encoding conditions used in recall simulations, without a full recognition-decision model</w:t>
            </w:r>
          </w:p>
        </w:tc>
        <w:tc>
          <w:tcPr/>
          <w:p>
            <w:pPr>
              <w:pStyle w:val="Compact"/>
            </w:pPr>
            <w:r>
              <w:t xml:space="preserve">Context-to-item recall versus candidate film items presented for judgment</w:t>
            </w:r>
          </w:p>
        </w:tc>
        <w:tc>
          <w:tcPr/>
          <w:p>
            <w:pPr>
              <w:pStyle w:val="Compact"/>
            </w:pPr>
            <w:r>
              <w:t xml:space="preserve">Whether item-to-context access changes where interference enters retrieval</w:t>
            </w:r>
          </w:p>
        </w:tc>
      </w:tr>
    </w:tbl>
    <w:bookmarkEnd w:id="71"/>
    <w:bookmarkStart w:id="73"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these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2</w:t>
        </w:r>
      </w:hyperlink>
      <w:r>
        <w:t xml:space="preserve"> </w:t>
      </w:r>
      <w:r>
        <w:t xml:space="preserve">gives the default numerical values used in the simulations.</w:t>
      </w:r>
    </w:p>
    <w:bookmarkStart w:id="72" w:name="tbl-simulation-parameters"/>
    <w:p>
      <w:pPr>
        <w:pStyle w:val="FigureTitle"/>
      </w:pPr>
      <w:r>
        <w:t xml:space="preserve">Table 2</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72"/>
    <w:p>
      <w:pPr>
        <w:pStyle w:val="AfterWithoutNote"/>
      </w:pPr>
      <w:r>
        <w:t xml:space="preserve">The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candidate film items presented by the test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present candidate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retrieval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9</w:t>
        </w:r>
      </w:hyperlink>
      <w:r>
        <w:t xml:space="preserve"> </w:t>
      </w:r>
      <w:r>
        <w:t xml:space="preserve">and</w:t>
      </w:r>
      <w:r>
        <w:t xml:space="preserve"> </w:t>
      </w:r>
      <w:hyperlink w:anchor="eq-stopping">
        <w:r>
          <w:rPr>
            <w:rStyle w:val="Hyperlink"/>
          </w:rPr>
          <w:t xml:space="preserve">Equation 10</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73"/>
    <w:bookmarkStart w:id="87"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r>
        <w:rPr>
          <w:b/>
          <w:bCs/>
        </w:rPr>
        <w:t xml:space="preserve">?@eq-mcf-learning</w:t>
      </w:r>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r>
        <w:rPr>
          <w:b/>
          <w:bCs/>
        </w:rPr>
        <w:t xml:space="preserve">?@eq-mfc-learning</w:t>
      </w:r>
      <w:r>
        <w:t xml:space="preserve"> </w:t>
      </w:r>
      <w:r>
        <w:t xml:space="preserve">or</w:t>
      </w:r>
      <w:r>
        <w:t xml:space="preserve"> </w:t>
      </w:r>
      <w:r>
        <w:rPr>
          <w:b/>
          <w:bCs/>
        </w:rPr>
        <w:t xml:space="preserve">?@eq-mcf-learning</w:t>
      </w:r>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r>
        <w:t xml:space="preserve">Simulation 1 first isolates the unguided side of the effect summarized in</w:t>
      </w:r>
      <w:r>
        <w:t xml:space="preserve"> </w:t>
      </w:r>
      <w:hyperlink w:anchor="fig-empirical-target">
        <w:r>
          <w:rPr>
            <w:rStyle w:val="Hyperlink"/>
          </w:rPr>
          <w:t xml:space="preserve">Figure 1</w:t>
        </w:r>
      </w:hyperlink>
      <w:r>
        <w:t xml:space="preserve">.</w:t>
      </w:r>
      <w:r>
        <w:t xml:space="preserve"> </w:t>
      </w:r>
      <w:r>
        <w:t xml:space="preserve">It implements the empirical task contrast as a manipulation of task encoding strength, crossed with whether a film reminder precedes task encoding.</w:t>
      </w:r>
      <w:r>
        <w:t xml:space="preserve"> </w:t>
      </w:r>
      <w:r>
        <w:t xml:space="preserve">In the fixed-cue version shown in</w:t>
      </w:r>
      <w:r>
        <w:t xml:space="preserve"> </w:t>
      </w:r>
      <w:hyperlink w:anchor="fig-simulation1-unguided-sequence">
        <w:r>
          <w:rPr>
            <w:rStyle w:val="Hyperlink"/>
          </w:rPr>
          <w:t xml:space="preserve">Figure 5</w:t>
        </w:r>
      </w:hyperlink>
      <w:r>
        <w:t xml:space="preserve">, weak film cues are supplied periodically during recall in all conditions.</w:t>
      </w:r>
    </w:p>
    <w:bookmarkStart w:id="77"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5" name="Picture"/>
            <a:graphic>
              <a:graphicData uri="http://schemas.openxmlformats.org/drawingml/2006/picture">
                <pic:pic>
                  <pic:nvPicPr>
                    <pic:cNvPr descr="work/simulation1_unguided_cued/simulation1_unguided_cued_sequence_summary.png" id="76" name="Picture"/>
                    <pic:cNvPicPr>
                      <a:picLocks noChangeArrowheads="1" noChangeAspect="1"/>
                    </pic:cNvPicPr>
                  </pic:nvPicPr>
                  <pic:blipFill>
                    <a:blip r:embed="rId74"/>
                    <a:stretch>
                      <a:fillRect/>
                    </a:stretch>
                  </pic:blipFill>
                  <pic:spPr bwMode="auto">
                    <a:xfrm>
                      <a:off x="0" y="0"/>
                      <a:ext cx="5943600" cy="5248831"/>
                    </a:xfrm>
                    <a:prstGeom prst="rect">
                      <a:avLst/>
                    </a:prstGeom>
                    <a:noFill/>
                    <a:ln w="9525">
                      <a:noFill/>
                      <a:headEnd/>
                      <a:tailEnd/>
                    </a:ln>
                  </pic:spPr>
                </pic:pic>
              </a:graphicData>
            </a:graphic>
          </wp:inline>
        </w:drawing>
      </w:r>
    </w:p>
    <w:bookmarkEnd w:id="77"/>
    <w:p>
      <w:pPr>
        <w:pStyle w:val="AfterWithoutNote"/>
      </w:pPr>
      <w:r>
        <w:t xml:space="preserve">These aggregate results establish the unguided interference component.</w:t>
      </w:r>
      <w:r>
        <w:t xml:space="preserve"> </w:t>
      </w:r>
      <w:r>
        <w:t xml:space="preserve">The diagnostics below first show how this redistribution appears across encoded positions, then examine how it follows from context overlap; Simulation 2 then asks which deliberate-retrieval controls attenuate this loss.</w:t>
      </w:r>
      <w:r>
        <w:t xml:space="preserve"> </w:t>
      </w:r>
      <w:hyperlink w:anchor="tbl-simulation1-phase-settings">
        <w:r>
          <w:rPr>
            <w:rStyle w:val="Hyperlink"/>
          </w:rPr>
          <w:t xml:space="preserve">Table 3</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strength, serial-position curves show retrieval-test outcomes sorted by where each item appeared in the encoded sequence.</w:t>
      </w:r>
      <w:r>
        <w:t xml:space="preserve"> </w:t>
      </w:r>
      <w:hyperlink w:anchor="fig-simulation1-context-overlap">
        <w:r>
          <w:rPr>
            <w:rStyle w:val="Hyperlink"/>
          </w:rPr>
          <w:t xml:space="preserve">Figure 7</w:t>
        </w:r>
      </w:hyperlink>
      <w:r>
        <w:t xml:space="preserve"> </w:t>
      </w:r>
      <w:r>
        <w:t xml:space="preserve">inspects the context-overlap structure that helps explain the aggregate film and task output in</w:t>
      </w:r>
      <w:r>
        <w:t xml:space="preserve"> </w:t>
      </w:r>
      <w:hyperlink w:anchor="fig-simulation1-unguided-sequence">
        <w:r>
          <w:rPr>
            <w:rStyle w:val="Hyperlink"/>
          </w:rPr>
          <w:t xml:space="preserve">Figure 5</w:t>
        </w:r>
      </w:hyperlink>
      <w:r>
        <w:t xml:space="preserve">.</w:t>
      </w:r>
      <w:r>
        <w:t xml:space="preserve"> </w:t>
      </w:r>
      <w:r>
        <w:t xml:space="preserve">The context-similarity analysis asks how similar each film-encoding context is to the contexts active while task items are encoded, using cosine similarity over unit-normalized temporal context states.</w:t>
      </w:r>
    </w:p>
    <w:bookmarkStart w:id="78" w:name="tbl-simulation1-phase-settings"/>
    <w:p>
      <w:pPr>
        <w:pStyle w:val="FigureTitle"/>
      </w:pPr>
      <w:r>
        <w:t xml:space="preserve">Table 3</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1.0 or 2.0</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78"/>
    <w:p>
      <w:pPr>
        <w:pStyle w:val="AfterWithoutNote"/>
      </w:pPr>
      <w:r>
        <w:t xml:space="preserve"> </w:t>
      </w:r>
    </w:p>
    <w:bookmarkStart w:id="82"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80" name="Picture"/>
            <a:graphic>
              <a:graphicData uri="http://schemas.openxmlformats.org/drawingml/2006/picture">
                <pic:pic>
                  <pic:nvPicPr>
                    <pic:cNvPr descr="work/simulation1_unguided_cued/simulation1_unguided_cued_recall_distributions.png" id="81" name="Picture"/>
                    <pic:cNvPicPr>
                      <a:picLocks noChangeArrowheads="1" noChangeAspect="1"/>
                    </pic:cNvPicPr>
                  </pic:nvPicPr>
                  <pic:blipFill>
                    <a:blip r:embed="rId79"/>
                    <a:stretch>
                      <a:fillRect/>
                    </a:stretch>
                  </pic:blipFill>
                  <pic:spPr bwMode="auto">
                    <a:xfrm>
                      <a:off x="0" y="0"/>
                      <a:ext cx="5943600" cy="5583695"/>
                    </a:xfrm>
                    <a:prstGeom prst="rect">
                      <a:avLst/>
                    </a:prstGeom>
                    <a:noFill/>
                    <a:ln w="9525">
                      <a:noFill/>
                      <a:headEnd/>
                      <a:tailEnd/>
                    </a:ln>
                  </pic:spPr>
                </pic:pic>
              </a:graphicData>
            </a:graphic>
          </wp:inline>
        </w:drawing>
      </w:r>
    </w:p>
    <w:bookmarkEnd w:id="82"/>
    <w:p>
      <w:pPr>
        <w:pStyle w:val="AfterWithoutNote"/>
      </w:pPr>
      <w:r>
        <w:t xml:space="preserve">Without a pre-task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The condition with a pre-task film reminder therefore shows that task encoding strength matters most when task items are encoded in a film-related context state.</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86"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4" name="Picture"/>
            <a:graphic>
              <a:graphicData uri="http://schemas.openxmlformats.org/drawingml/2006/picture">
                <pic:pic>
                  <pic:nvPicPr>
                    <pic:cNvPr descr="work/simulation1_unguided_cued/simulation1_unguided_cued_context_overlap.png" id="85" name="Picture"/>
                    <pic:cNvPicPr>
                      <a:picLocks noChangeArrowheads="1" noChangeAspect="1"/>
                    </pic:cNvPicPr>
                  </pic:nvPicPr>
                  <pic:blipFill>
                    <a:blip r:embed="rId83"/>
                    <a:stretch>
                      <a:fillRect/>
                    </a:stretch>
                  </pic:blipFill>
                  <pic:spPr bwMode="auto">
                    <a:xfrm>
                      <a:off x="0" y="0"/>
                      <a:ext cx="5943600" cy="5653668"/>
                    </a:xfrm>
                    <a:prstGeom prst="rect">
                      <a:avLst/>
                    </a:prstGeom>
                    <a:noFill/>
                    <a:ln w="9525">
                      <a:noFill/>
                      <a:headEnd/>
                      <a:tailEnd/>
                    </a:ln>
                  </pic:spPr>
                </pic:pic>
              </a:graphicData>
            </a:graphic>
          </wp:inline>
        </w:drawing>
      </w:r>
    </w:p>
    <w:bookmarkEnd w:id="86"/>
    <w:p>
      <w:pPr>
        <w:pStyle w:val="AfterWithoutNote"/>
      </w:pPr>
      <w:hyperlink w:anchor="fig-simulation1-context-overlap">
        <w:r>
          <w:rPr>
            <w:rStyle w:val="Hyperlink"/>
          </w:rPr>
          <w:t xml:space="preserve">Figure 7</w:t>
        </w:r>
      </w:hyperlink>
      <w:r>
        <w:t xml:space="preserve"> </w:t>
      </w:r>
      <w:r>
        <w:t xml:space="preserve">explains why the no-reminder and with-reminder curves diverge.</w:t>
      </w:r>
      <w:r>
        <w:t xml:space="preserve"> </w:t>
      </w:r>
      <w:r>
        <w:t xml:space="preserve">Panel A summarizes temporal-context overlap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B shows the corresponding film-position by task-position overlap matrix.</w:t>
      </w:r>
      <w:r>
        <w:t xml:space="preserve"> </w:t>
      </w:r>
      <w:r>
        <w:t xml:space="preserve">Task encoding strength then determines how strongly task items are bound to these overlapping task-encoding contexts, while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through start-of-film context reinstatement, a maintained film-retrieval goal, and retrieval monitoring.</w:t>
      </w:r>
    </w:p>
    <w:bookmarkEnd w:id="87"/>
    <w:bookmarkStart w:id="108"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examines when deliberate film recall remains protected as reminder condition and task encoding strength are crossed.</w:t>
      </w:r>
      <w:r>
        <w:t xml:space="preserve"> </w:t>
      </w:r>
      <w:r>
        <w:t xml:space="preserve">The deliberate-recall setting combines three control mechanisms: start-of-film context reinstatement, a maintained film-retrieval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film-retrieval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91"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film-retrieval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89" name="Picture"/>
            <a:graphic>
              <a:graphicData uri="http://schemas.openxmlformats.org/drawingml/2006/picture">
                <pic:pic>
                  <pic:nvPicPr>
                    <pic:cNvPr descr="work/simulation2_control_cued_behavioral/simulation2_control_cued_behavioral.png" id="90" name="Picture"/>
                    <pic:cNvPicPr>
                      <a:picLocks noChangeArrowheads="1" noChangeAspect="1"/>
                    </pic:cNvPicPr>
                  </pic:nvPicPr>
                  <pic:blipFill>
                    <a:blip r:embed="rId88"/>
                    <a:stretch>
                      <a:fillRect/>
                    </a:stretch>
                  </pic:blipFill>
                  <pic:spPr bwMode="auto">
                    <a:xfrm>
                      <a:off x="0" y="0"/>
                      <a:ext cx="5943600" cy="3596194"/>
                    </a:xfrm>
                    <a:prstGeom prst="rect">
                      <a:avLst/>
                    </a:prstGeom>
                    <a:noFill/>
                    <a:ln w="9525">
                      <a:noFill/>
                      <a:headEnd/>
                      <a:tailEnd/>
                    </a:ln>
                  </pic:spPr>
                </pic:pic>
              </a:graphicData>
            </a:graphic>
          </wp:inline>
        </w:drawing>
      </w:r>
    </w:p>
    <w:bookmarkEnd w:id="91"/>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95"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93" name="Picture"/>
            <a:graphic>
              <a:graphicData uri="http://schemas.openxmlformats.org/drawingml/2006/picture">
                <pic:pic>
                  <pic:nvPicPr>
                    <pic:cNvPr descr="work/simulation2_retrieval_control_decomposition/simulation2_retrieval_control_decomposition.png" id="94" name="Picture"/>
                    <pic:cNvPicPr>
                      <a:picLocks noChangeArrowheads="1" noChangeAspect="1"/>
                    </pic:cNvPicPr>
                  </pic:nvPicPr>
                  <pic:blipFill>
                    <a:blip r:embed="rId92"/>
                    <a:stretch>
                      <a:fillRect/>
                    </a:stretch>
                  </pic:blipFill>
                  <pic:spPr bwMode="auto">
                    <a:xfrm>
                      <a:off x="0" y="0"/>
                      <a:ext cx="5943600" cy="2657138"/>
                    </a:xfrm>
                    <a:prstGeom prst="rect">
                      <a:avLst/>
                    </a:prstGeom>
                    <a:noFill/>
                    <a:ln w="9525">
                      <a:noFill/>
                      <a:headEnd/>
                      <a:tailEnd/>
                    </a:ln>
                  </pic:spPr>
                </pic:pic>
              </a:graphicData>
            </a:graphic>
          </wp:inline>
        </w:drawing>
      </w:r>
    </w:p>
    <w:bookmarkEnd w:id="95"/>
    <w:p>
      <w:pPr>
        <w:pStyle w:val="AfterWithoutNote"/>
      </w:pPr>
      <w:r>
        <w:t xml:space="preserve">Figure</w:t>
      </w:r>
      <w:r>
        <w:t xml:space="preserve"> </w:t>
      </w:r>
      <w:hyperlink w:anchor="X3f1d862adb125e692948a0e1917736f72c3ad35">
        <w:r>
          <w:rPr>
            <w:rStyle w:val="Hyperlink"/>
          </w:rPr>
          <w:t xml:space="preserve">Figure 9</w:t>
        </w:r>
      </w:hyperlink>
      <w:r>
        <w:t xml:space="preserve"> </w:t>
      </w:r>
      <w:r>
        <w:t xml:space="preserve">shows that endpoint loss remains large when the film-retrieval goal is absent.</w:t>
      </w:r>
      <w:r>
        <w:t xml:space="preserve"> </w:t>
      </w:r>
      <w:r>
        <w:t xml:space="preserve">Start-of-film reinstatement and retrieval monitoring increase film recall in some conditions, yet the smallest endpoint differences occur in the goal-present conditions.</w:t>
      </w:r>
      <w:r>
        <w:t xml:space="preserve"> </w:t>
      </w:r>
      <w:r>
        <w:t xml:space="preserve">The key protection comes from film-directed support that task competitors do not receive.</w:t>
      </w:r>
    </w:p>
    <w:bookmarkStart w:id="99" w:name="X6daa0b906c5e98f8ec58936bb9080f274712771"/>
    <w:p>
      <w:pPr>
        <w:pStyle w:val="FigureTitle"/>
      </w:pPr>
      <w:r>
        <w:t xml:space="preserve">Figure 10</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an internally maintained retrieval state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adds the film-retrieval goal to the film-directed retrieval cue.</w:t>
      </w:r>
      <w:r>
        <w:t xml:space="preserve"> </w:t>
      </w:r>
      <w:r>
        <w:t xml:space="preserve">Brighter cells indicate greater overlap with task-encoding context.</w:t>
      </w:r>
      <w:r>
        <w:t xml:space="preserve"> </w:t>
      </w:r>
      <w:r>
        <w:t xml:space="preserve">Adding the film-retrieval goal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97" name="Picture"/>
            <a:graphic>
              <a:graphicData uri="http://schemas.openxmlformats.org/drawingml/2006/picture">
                <pic:pic>
                  <pic:nvPicPr>
                    <pic:cNvPr descr="work/simulation2_film_retrieval_goal_context_overlap/simulation2_film_retrieval_goal_context_overlap.png" id="98" name="Picture"/>
                    <pic:cNvPicPr>
                      <a:picLocks noChangeArrowheads="1" noChangeAspect="1"/>
                    </pic:cNvPicPr>
                  </pic:nvPicPr>
                  <pic:blipFill>
                    <a:blip r:embed="rId96"/>
                    <a:stretch>
                      <a:fillRect/>
                    </a:stretch>
                  </pic:blipFill>
                  <pic:spPr bwMode="auto">
                    <a:xfrm>
                      <a:off x="0" y="0"/>
                      <a:ext cx="5943600" cy="5653668"/>
                    </a:xfrm>
                    <a:prstGeom prst="rect">
                      <a:avLst/>
                    </a:prstGeom>
                    <a:noFill/>
                    <a:ln w="9525">
                      <a:noFill/>
                      <a:headEnd/>
                      <a:tailEnd/>
                    </a:ln>
                  </pic:spPr>
                </pic:pic>
              </a:graphicData>
            </a:graphic>
          </wp:inline>
        </w:drawing>
      </w:r>
    </w:p>
    <w:bookmarkEnd w:id="99"/>
    <w:p>
      <w:pPr>
        <w:pStyle w:val="AfterWithoutNote"/>
      </w:pPr>
      <w:r>
        <w:t xml:space="preserve">Figure</w:t>
      </w:r>
      <w:r>
        <w:t xml:space="preserve"> </w:t>
      </w:r>
      <w:hyperlink w:anchor="X6daa0b906c5e98f8ec58936bb9080f274712771">
        <w:r>
          <w:rPr>
            <w:rStyle w:val="Hyperlink"/>
          </w:rPr>
          <w:t xml:space="preserve">Figure 10</w:t>
        </w:r>
      </w:hyperlink>
      <w:r>
        <w:t xml:space="preserve"> </w:t>
      </w:r>
      <w:r>
        <w:t xml:space="preserve">explains why the goal-present conditions are less affected by reminder-linked task encoding.</w:t>
      </w:r>
      <w:r>
        <w:t xml:space="preserve"> </w:t>
      </w:r>
      <w:r>
        <w:t xml:space="preserve">Adding the goal lowers task overlap with film-directed retrieval cues, so deliberate recall can favor film items without relying as strongly on temporal context that also supports task competitors.</w:t>
      </w:r>
    </w:p>
    <w:p>
      <w:pPr>
        <w:pStyle w:val="BodyText"/>
      </w:pPr>
      <w:r>
        <w:t xml:space="preserve">The remaining diagnostics show how the other controls help without providing the same broad protection.</w:t>
      </w:r>
      <w:r>
        <w:t xml:space="preserve"> </w:t>
      </w:r>
      <w:r>
        <w:t xml:space="preserve">Start-of-film context reinstatement changes where search begins, so its benefits are concentrated around early film positions.</w:t>
      </w:r>
    </w:p>
    <w:bookmarkStart w:id="103"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101" name="Picture"/>
            <a:graphic>
              <a:graphicData uri="http://schemas.openxmlformats.org/drawingml/2006/picture">
                <pic:pic>
                  <pic:nvPicPr>
                    <pic:cNvPr descr="work/simulation2_start_context_reinstatement/simulation2_start_context_reinstatement.png" id="102" name="Picture"/>
                    <pic:cNvPicPr>
                      <a:picLocks noChangeArrowheads="1" noChangeAspect="1"/>
                    </pic:cNvPicPr>
                  </pic:nvPicPr>
                  <pic:blipFill>
                    <a:blip r:embed="rId100"/>
                    <a:stretch>
                      <a:fillRect/>
                    </a:stretch>
                  </pic:blipFill>
                  <pic:spPr bwMode="auto">
                    <a:xfrm>
                      <a:off x="0" y="0"/>
                      <a:ext cx="5943600" cy="5612321"/>
                    </a:xfrm>
                    <a:prstGeom prst="rect">
                      <a:avLst/>
                    </a:prstGeom>
                    <a:noFill/>
                    <a:ln w="9525">
                      <a:noFill/>
                      <a:headEnd/>
                      <a:tailEnd/>
                    </a:ln>
                  </pic:spPr>
                </pic:pic>
              </a:graphicData>
            </a:graphic>
          </wp:inline>
        </w:drawing>
      </w:r>
    </w:p>
    <w:bookmarkEnd w:id="103"/>
    <w:p>
      <w:pPr>
        <w:pStyle w:val="AfterWithoutNote"/>
      </w:pPr>
      <w:r>
        <w:t xml:space="preserve">Retrieval monitoring addresses a later part of the retrieval sequence.</w:t>
      </w:r>
      <w:r>
        <w:t xml:space="preserve"> </w:t>
      </w:r>
      <w:r>
        <w:t xml:space="preserve">When search samples a non-film item, monitoring limits how strongly that sample redirects subsequent retrieval.</w:t>
      </w:r>
    </w:p>
    <w:bookmarkStart w:id="107"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105" name="Picture"/>
            <a:graphic>
              <a:graphicData uri="http://schemas.openxmlformats.org/drawingml/2006/picture">
                <pic:pic>
                  <pic:nvPicPr>
                    <pic:cNvPr descr="work/simulation2_target_monitoring_diagnostic/simulation2_target_monitoring_diagnostic.png" id="106" name="Picture"/>
                    <pic:cNvPicPr>
                      <a:picLocks noChangeArrowheads="1" noChangeAspect="1"/>
                    </pic:cNvPicPr>
                  </pic:nvPicPr>
                  <pic:blipFill>
                    <a:blip r:embed="rId104"/>
                    <a:stretch>
                      <a:fillRect/>
                    </a:stretch>
                  </pic:blipFill>
                  <pic:spPr bwMode="auto">
                    <a:xfrm>
                      <a:off x="0" y="0"/>
                      <a:ext cx="5943600" cy="5638967"/>
                    </a:xfrm>
                    <a:prstGeom prst="rect">
                      <a:avLst/>
                    </a:prstGeom>
                    <a:noFill/>
                    <a:ln w="9525">
                      <a:noFill/>
                      <a:headEnd/>
                      <a:tailEnd/>
                    </a:ln>
                  </pic:spPr>
                </pic:pic>
              </a:graphicData>
            </a:graphic>
          </wp:inline>
        </w:drawing>
      </w:r>
    </w:p>
    <w:bookmarkEnd w:id="107"/>
    <w:bookmarkEnd w:id="108"/>
    <w:bookmarkStart w:id="113" w:name="recognition-like-test-format"/>
    <w:p>
      <w:pPr>
        <w:pStyle w:val="Heading2"/>
      </w:pPr>
      <w:r>
        <w:t xml:space="preserve">Recognition-Like Test Format</w:t>
      </w:r>
    </w:p>
    <w:p>
      <w:pPr>
        <w:pStyle w:val="FirstParagraph"/>
      </w:pPr>
      <w:r>
        <w:t xml:space="preserve">Recognition tests in the trauma-film literature present candidate film stills or statements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Here, the model isolates the access step that recognition provides.</w:t>
      </w:r>
      <w:r>
        <w:t xml:space="preserve"> </w:t>
      </w:r>
      <w:r>
        <w:t xml:space="preserve">The candidate film item is available first and can reinstate associated context before any need for that item to win a context-to-item recall competition.</w:t>
      </w:r>
      <w:r>
        <w:t xml:space="preserve"> </w:t>
      </w:r>
      <w:r>
        <w:t xml:space="preserve">This analysis does not model decision criteria, confidence, or complete foil processing.</w:t>
      </w:r>
      <w:r>
        <w:t xml:space="preserve"> </w:t>
      </w:r>
      <w:r>
        <w:t xml:space="preserve">It asks whether presenting the candidate item changes where reminder-linked task competition enters retrieval.</w:t>
      </w:r>
    </w:p>
    <w:bookmarkStart w:id="112"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available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reminder-linked task items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tested film item is already available.</w:t>
      </w:r>
      <w:r>
        <w:t xml:space="preserve"> </w:t>
      </w:r>
      <w:r>
        <w:t xml:space="preserve">The item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Film recognition accuracy is plotted across the same reminder and task-encoding conditions used in the recall simulations.</w:t>
      </w:r>
      <w:r>
        <w:t xml:space="preserve"> </w:t>
      </w:r>
      <w:r>
        <w:t xml:space="preserve">Accuracy is hit rate minus false-alarm rate for unstudied film-like lures.</w:t>
      </w:r>
      <w:r>
        <w:t xml:space="preserve"> </w:t>
      </w:r>
      <w:r>
        <w:t xml:space="preserve">The reminder-plus-strong-task condition does not produce a corresponding reduction in recognition accuracy.</w:t>
      </w:r>
    </w:p>
    <w:p>
      <w:pPr>
        <w:pStyle w:val="FigureWithoutNote"/>
      </w:pPr>
      <w:r>
        <w:drawing>
          <wp:inline>
            <wp:extent cx="5943600" cy="4316185"/>
            <wp:effectExtent b="0" l="0" r="0" t="0"/>
            <wp:docPr descr="" title="" id="110" name="Picture"/>
            <a:graphic>
              <a:graphicData uri="http://schemas.openxmlformats.org/drawingml/2006/picture">
                <pic:pic>
                  <pic:nvPicPr>
                    <pic:cNvPr descr="work/simulation4_recognition_full_figure/item_context_recognition.png" id="111" name="Picture"/>
                    <pic:cNvPicPr>
                      <a:picLocks noChangeArrowheads="1" noChangeAspect="1"/>
                    </pic:cNvPicPr>
                  </pic:nvPicPr>
                  <pic:blipFill>
                    <a:blip r:embed="rId109"/>
                    <a:stretch>
                      <a:fillRect/>
                    </a:stretch>
                  </pic:blipFill>
                  <pic:spPr bwMode="auto">
                    <a:xfrm>
                      <a:off x="0" y="0"/>
                      <a:ext cx="5943600" cy="4316185"/>
                    </a:xfrm>
                    <a:prstGeom prst="rect">
                      <a:avLst/>
                    </a:prstGeom>
                    <a:noFill/>
                    <a:ln w="9525">
                      <a:noFill/>
                      <a:headEnd/>
                      <a:tailEnd/>
                    </a:ln>
                  </pic:spPr>
                </pic:pic>
              </a:graphicData>
            </a:graphic>
          </wp:inline>
        </w:drawing>
      </w:r>
    </w:p>
    <w:bookmarkEnd w:id="112"/>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In context-guided recall, reminder-linked task items can compete when the current context supports both film and task candidates.</w:t>
      </w:r>
      <w:r>
        <w:t xml:space="preserve"> </w:t>
      </w:r>
      <w:r>
        <w:t xml:space="preserve">In recognition-like tests, the presented candidate item reinstates context directly.</w:t>
      </w:r>
      <w:r>
        <w:t xml:space="preserve"> </w:t>
      </w:r>
      <w:r>
        <w:t xml:space="preserve">The task items created by reminder-linked encoding therefore have less opportunity to compete at the initial access step, even though the same learned associations are present in memory.</w:t>
      </w:r>
    </w:p>
    <w:bookmarkEnd w:id="113"/>
    <w:bookmarkEnd w:id="114"/>
    <w:bookmarkStart w:id="115" w:name="general-discussion"/>
    <w:p>
      <w:pPr>
        <w:pStyle w:val="Heading1"/>
      </w:pPr>
      <w:r>
        <w:t xml:space="preserve">General Discussion</w:t>
      </w:r>
    </w:p>
    <w:bookmarkEnd w:id="115"/>
    <w:bookmarkStart w:id="247" w:name="references"/>
    <w:p>
      <w:pPr>
        <w:pStyle w:val="Heading1"/>
      </w:pPr>
      <w:r>
        <w:t xml:space="preserve">References</w:t>
      </w:r>
    </w:p>
    <w:bookmarkStart w:id="246" w:name="refs"/>
    <w:bookmarkStart w:id="117"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6">
        <w:r>
          <w:rPr>
            <w:rStyle w:val="Hyperlink"/>
          </w:rPr>
          <w:t xml:space="preserve">https://doi.org/10.1016/j.jbtep.2023.101920</w:t>
        </w:r>
      </w:hyperlink>
    </w:p>
    <w:bookmarkEnd w:id="117"/>
    <w:bookmarkStart w:id="119"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8">
        <w:r>
          <w:rPr>
            <w:rStyle w:val="Hyperlink"/>
          </w:rPr>
          <w:t xml:space="preserve">https://doi.org/10.1016/j.jpsychires.2023.01.028</w:t>
        </w:r>
      </w:hyperlink>
    </w:p>
    <w:bookmarkEnd w:id="119"/>
    <w:bookmarkStart w:id="121"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20">
        <w:r>
          <w:rPr>
            <w:rStyle w:val="Hyperlink"/>
          </w:rPr>
          <w:t xml:space="preserve">https://doi.org/10.1037/0096-3445.129.1.126</w:t>
        </w:r>
      </w:hyperlink>
    </w:p>
    <w:bookmarkEnd w:id="121"/>
    <w:bookmarkStart w:id="123"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22">
        <w:r>
          <w:rPr>
            <w:rStyle w:val="Hyperlink"/>
          </w:rPr>
          <w:t xml:space="preserve">https://doi.org/10.1016/s2215-0366(25)00397-9</w:t>
        </w:r>
      </w:hyperlink>
    </w:p>
    <w:bookmarkEnd w:id="123"/>
    <w:bookmarkStart w:id="125"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4">
        <w:r>
          <w:rPr>
            <w:rStyle w:val="Hyperlink"/>
          </w:rPr>
          <w:t xml:space="preserve">https://doi.org/10.1037/a0033722</w:t>
        </w:r>
      </w:hyperlink>
    </w:p>
    <w:bookmarkEnd w:id="125"/>
    <w:bookmarkStart w:id="127"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6">
        <w:r>
          <w:rPr>
            <w:rStyle w:val="Hyperlink"/>
          </w:rPr>
          <w:t xml:space="preserve">https://doi.org/10.1037/0033-295X.103.4.670</w:t>
        </w:r>
      </w:hyperlink>
    </w:p>
    <w:bookmarkEnd w:id="127"/>
    <w:bookmarkStart w:id="129"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28">
        <w:r>
          <w:rPr>
            <w:rStyle w:val="Hyperlink"/>
          </w:rPr>
          <w:t xml:space="preserve">https://doi.org/10.1037/a0018113</w:t>
        </w:r>
      </w:hyperlink>
    </w:p>
    <w:bookmarkEnd w:id="129"/>
    <w:bookmarkStart w:id="131" w:name="ref-busemeyer2000model"/>
    <w:p>
      <w:pPr>
        <w:pStyle w:val="Bibliography"/>
      </w:pPr>
      <w:r>
        <w:t xml:space="preserve">Busemeyer, J. R., &amp; Wang, Y.-M. (2000). Model comparisons and model selections based on generalization criterion methodology.</w:t>
      </w:r>
      <w:r>
        <w:t xml:space="preserve"> </w:t>
      </w:r>
      <w:r>
        <w:rPr>
          <w:i/>
          <w:iCs/>
        </w:rPr>
        <w:t xml:space="preserve">Journal of Mathematical Psychology</w:t>
      </w:r>
      <w:r>
        <w:t xml:space="preserve">,</w:t>
      </w:r>
      <w:r>
        <w:t xml:space="preserve"> </w:t>
      </w:r>
      <w:r>
        <w:rPr>
          <w:i/>
          <w:iCs/>
        </w:rPr>
        <w:t xml:space="preserve">44</w:t>
      </w:r>
      <w:r>
        <w:t xml:space="preserve">(1), 171–189.</w:t>
      </w:r>
      <w:r>
        <w:t xml:space="preserve"> </w:t>
      </w:r>
      <w:hyperlink r:id="rId130">
        <w:r>
          <w:rPr>
            <w:rStyle w:val="Hyperlink"/>
          </w:rPr>
          <w:t xml:space="preserve">https://doi.org/10.1006/jmps.1999.1282</w:t>
        </w:r>
      </w:hyperlink>
    </w:p>
    <w:bookmarkEnd w:id="131"/>
    <w:bookmarkStart w:id="133"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32">
        <w:r>
          <w:rPr>
            <w:rStyle w:val="Hyperlink"/>
          </w:rPr>
          <w:t xml:space="preserve">https://doi.org/10.1037/rev0000334</w:t>
        </w:r>
      </w:hyperlink>
    </w:p>
    <w:bookmarkEnd w:id="133"/>
    <w:bookmarkStart w:id="135"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34">
        <w:r>
          <w:rPr>
            <w:rStyle w:val="Hyperlink"/>
          </w:rPr>
          <w:t xml:space="preserve">https://doi.org/10.1016/j.jbtep.2011.10.008</w:t>
        </w:r>
      </w:hyperlink>
    </w:p>
    <w:bookmarkEnd w:id="135"/>
    <w:bookmarkStart w:id="136"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6"/>
    <w:bookmarkStart w:id="138"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7">
        <w:r>
          <w:rPr>
            <w:rStyle w:val="Hyperlink"/>
          </w:rPr>
          <w:t xml:space="preserve">https://doi.org/10.1016/S0005-7967(99)00123-0</w:t>
        </w:r>
      </w:hyperlink>
    </w:p>
    <w:bookmarkEnd w:id="138"/>
    <w:bookmarkStart w:id="140" w:name="ref-healey2014memory"/>
    <w:p>
      <w:pPr>
        <w:pStyle w:val="Bibliography"/>
      </w:pPr>
      <w:r>
        <w:t xml:space="preserve">Healey, M. K., &amp; Kahana, M. J. (2014). Is memory search governed by universal principles or idiosyncratic strategies?</w:t>
      </w:r>
      <w:r>
        <w:t xml:space="preserve"> </w:t>
      </w:r>
      <w:r>
        <w:rPr>
          <w:i/>
          <w:iCs/>
        </w:rPr>
        <w:t xml:space="preserve">Journal of Experimental Psychology: General</w:t>
      </w:r>
      <w:r>
        <w:t xml:space="preserve">,</w:t>
      </w:r>
      <w:r>
        <w:t xml:space="preserve"> </w:t>
      </w:r>
      <w:r>
        <w:rPr>
          <w:i/>
          <w:iCs/>
        </w:rPr>
        <w:t xml:space="preserve">143</w:t>
      </w:r>
      <w:r>
        <w:t xml:space="preserve">(2), 575–596.</w:t>
      </w:r>
      <w:r>
        <w:t xml:space="preserve"> </w:t>
      </w:r>
      <w:hyperlink r:id="rId139">
        <w:r>
          <w:rPr>
            <w:rStyle w:val="Hyperlink"/>
          </w:rPr>
          <w:t xml:space="preserve">https://doi.org/10.1037/a0033715</w:t>
        </w:r>
      </w:hyperlink>
    </w:p>
    <w:bookmarkEnd w:id="140"/>
    <w:bookmarkStart w:id="142"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41">
        <w:r>
          <w:rPr>
            <w:rStyle w:val="Hyperlink"/>
          </w:rPr>
          <w:t xml:space="preserve">https://doi.org/10.1037/rev0000015</w:t>
        </w:r>
      </w:hyperlink>
    </w:p>
    <w:bookmarkEnd w:id="142"/>
    <w:bookmarkStart w:id="144" w:name="ref-healey2024peppr"/>
    <w:p>
      <w:pPr>
        <w:pStyle w:val="Bibliography"/>
      </w:pPr>
      <w:r>
        <w:t xml:space="preserve">Healey, M. K., &amp; Wahlheim, C. N. (2024).</w:t>
      </w:r>
      <w:r>
        <w:t xml:space="preserve"> </w:t>
      </w:r>
      <w:r>
        <w:t xml:space="preserve">PEPPR</w:t>
      </w:r>
      <w:r>
        <w:t xml:space="preserve">: A post-encoding pre-production reinstatement model of dual-list free recall.</w:t>
      </w:r>
      <w:r>
        <w:t xml:space="preserve"> </w:t>
      </w:r>
      <w:r>
        <w:rPr>
          <w:i/>
          <w:iCs/>
        </w:rPr>
        <w:t xml:space="preserve">Memory &amp; Cognition</w:t>
      </w:r>
      <w:r>
        <w:t xml:space="preserve">,</w:t>
      </w:r>
      <w:r>
        <w:t xml:space="preserve"> </w:t>
      </w:r>
      <w:r>
        <w:rPr>
          <w:i/>
          <w:iCs/>
        </w:rPr>
        <w:t xml:space="preserve">52</w:t>
      </w:r>
      <w:r>
        <w:t xml:space="preserve">(1), 163–181.</w:t>
      </w:r>
      <w:r>
        <w:t xml:space="preserve"> </w:t>
      </w:r>
      <w:hyperlink r:id="rId143">
        <w:r>
          <w:rPr>
            <w:rStyle w:val="Hyperlink"/>
          </w:rPr>
          <w:t xml:space="preserve">https://doi.org/10.3758/s13421-023-01453-z</w:t>
        </w:r>
      </w:hyperlink>
    </w:p>
    <w:bookmarkEnd w:id="144"/>
    <w:bookmarkStart w:id="146"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45">
        <w:r>
          <w:rPr>
            <w:rStyle w:val="Hyperlink"/>
          </w:rPr>
          <w:t xml:space="preserve">https://doi.org/10.1016/j.jbtep.2023.101858</w:t>
        </w:r>
      </w:hyperlink>
    </w:p>
    <w:bookmarkEnd w:id="146"/>
    <w:bookmarkStart w:id="148" w:name="ref-herrema2024first"/>
    <w:p>
      <w:pPr>
        <w:pStyle w:val="Bibliography"/>
      </w:pPr>
      <w:r>
        <w:t xml:space="preserve">Herrema, H. G., &amp; Kahana, M. J. (2024).</w:t>
      </w:r>
      <w:r>
        <w:t xml:space="preserve"> </w:t>
      </w:r>
      <w:r>
        <w:rPr>
          <w:i/>
          <w:iCs/>
        </w:rPr>
        <w:t xml:space="preserve">First recall costs and benefits</w:t>
      </w:r>
      <w:r>
        <w:t xml:space="preserve">. PsyArXiv.</w:t>
      </w:r>
      <w:r>
        <w:t xml:space="preserve"> </w:t>
      </w:r>
      <w:hyperlink r:id="rId147">
        <w:r>
          <w:rPr>
            <w:rStyle w:val="Hyperlink"/>
          </w:rPr>
          <w:t xml:space="preserve">https://doi.org/10.31234/osf.io/sm3fw</w:t>
        </w:r>
      </w:hyperlink>
    </w:p>
    <w:bookmarkEnd w:id="148"/>
    <w:bookmarkStart w:id="150"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49">
        <w:r>
          <w:rPr>
            <w:rStyle w:val="Hyperlink"/>
          </w:rPr>
          <w:t xml:space="preserve">https://doi.org/10.1016/j.actpsy.2007.11.002</w:t>
        </w:r>
      </w:hyperlink>
    </w:p>
    <w:bookmarkEnd w:id="150"/>
    <w:bookmarkStart w:id="152"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51">
        <w:r>
          <w:rPr>
            <w:rStyle w:val="Hyperlink"/>
          </w:rPr>
          <w:t xml:space="preserve">https://doi.org/10.1037/0096-3445.133.1.3</w:t>
        </w:r>
      </w:hyperlink>
    </w:p>
    <w:bookmarkEnd w:id="152"/>
    <w:bookmarkStart w:id="154"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53">
        <w:r>
          <w:rPr>
            <w:rStyle w:val="Hyperlink"/>
          </w:rPr>
          <w:t xml:space="preserve">https://doi.org/10.1371/journal.pone.0004153</w:t>
        </w:r>
      </w:hyperlink>
    </w:p>
    <w:bookmarkEnd w:id="154"/>
    <w:bookmarkStart w:id="156"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55">
        <w:r>
          <w:rPr>
            <w:rStyle w:val="Hyperlink"/>
          </w:rPr>
          <w:t xml:space="preserve">https://doi.org/10.1371/journal.pone.0013706</w:t>
        </w:r>
      </w:hyperlink>
    </w:p>
    <w:bookmarkEnd w:id="156"/>
    <w:bookmarkStart w:id="158"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57">
        <w:r>
          <w:rPr>
            <w:rStyle w:val="Hyperlink"/>
          </w:rPr>
          <w:t xml:space="preserve">https://doi.org/10.1016/j.brat.2017.03.018</w:t>
        </w:r>
      </w:hyperlink>
    </w:p>
    <w:bookmarkEnd w:id="158"/>
    <w:bookmarkStart w:id="160" w:name="ref-howard1999contextual"/>
    <w:p>
      <w:pPr>
        <w:pStyle w:val="Bibliography"/>
      </w:pPr>
      <w:r>
        <w:t xml:space="preserve">Howard, M. W., &amp; Kahana, M. J. (1999). Contextual variability and serial position effects in free recall.</w:t>
      </w:r>
      <w:r>
        <w:t xml:space="preserve"> </w:t>
      </w:r>
      <w:r>
        <w:rPr>
          <w:i/>
          <w:iCs/>
        </w:rPr>
        <w:t xml:space="preserve">Journal of Experimental Psychology: Learning, Memory, and Cognition</w:t>
      </w:r>
      <w:r>
        <w:t xml:space="preserve">,</w:t>
      </w:r>
      <w:r>
        <w:t xml:space="preserve"> </w:t>
      </w:r>
      <w:r>
        <w:rPr>
          <w:i/>
          <w:iCs/>
        </w:rPr>
        <w:t xml:space="preserve">25</w:t>
      </w:r>
      <w:r>
        <w:t xml:space="preserve">(4), 923–941.</w:t>
      </w:r>
      <w:r>
        <w:t xml:space="preserve"> </w:t>
      </w:r>
      <w:hyperlink r:id="rId159">
        <w:r>
          <w:rPr>
            <w:rStyle w:val="Hyperlink"/>
          </w:rPr>
          <w:t xml:space="preserve">https://doi.org/10.1037/0278-7393.25.4.923</w:t>
        </w:r>
      </w:hyperlink>
    </w:p>
    <w:bookmarkEnd w:id="160"/>
    <w:bookmarkStart w:id="162"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61">
        <w:r>
          <w:rPr>
            <w:rStyle w:val="Hyperlink"/>
          </w:rPr>
          <w:t xml:space="preserve">https://doi.org/10.1006/jmps.2001.1388</w:t>
        </w:r>
      </w:hyperlink>
    </w:p>
    <w:bookmarkEnd w:id="162"/>
    <w:bookmarkStart w:id="163"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63"/>
    <w:bookmarkStart w:id="165"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64">
        <w:r>
          <w:rPr>
            <w:rStyle w:val="Hyperlink"/>
          </w:rPr>
          <w:t xml:space="preserve">https://doi.org/10.1101/lm.1022308</w:t>
        </w:r>
      </w:hyperlink>
    </w:p>
    <w:bookmarkEnd w:id="165"/>
    <w:bookmarkStart w:id="167"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66">
        <w:r>
          <w:rPr>
            <w:rStyle w:val="Hyperlink"/>
          </w:rPr>
          <w:t xml:space="preserve">https://doi.org/10.1038/mp.2017.23</w:t>
        </w:r>
      </w:hyperlink>
    </w:p>
    <w:bookmarkEnd w:id="167"/>
    <w:bookmarkStart w:id="169"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68">
        <w:r>
          <w:rPr>
            <w:rStyle w:val="Hyperlink"/>
          </w:rPr>
          <w:t xml:space="preserve">https://doi.org/10.1038/s41398-023-02578-0</w:t>
        </w:r>
      </w:hyperlink>
    </w:p>
    <w:bookmarkEnd w:id="169"/>
    <w:bookmarkStart w:id="171"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70">
        <w:r>
          <w:rPr>
            <w:rStyle w:val="Hyperlink"/>
          </w:rPr>
          <w:t xml:space="preserve">https://doi.org/10.1016/j.cpr.2018.08.005</w:t>
        </w:r>
      </w:hyperlink>
    </w:p>
    <w:bookmarkEnd w:id="171"/>
    <w:bookmarkStart w:id="173"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72">
        <w:r>
          <w:rPr>
            <w:rStyle w:val="Hyperlink"/>
          </w:rPr>
          <w:t xml:space="preserve">https://doi.org/10.1177/0956797615583071</w:t>
        </w:r>
      </w:hyperlink>
    </w:p>
    <w:bookmarkEnd w:id="173"/>
    <w:bookmarkStart w:id="175"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74">
        <w:r>
          <w:rPr>
            <w:rStyle w:val="Hyperlink"/>
          </w:rPr>
          <w:t xml:space="preserve">https://doi.org/10.1016/j.cpr.2016.04.010</w:t>
        </w:r>
      </w:hyperlink>
    </w:p>
    <w:bookmarkEnd w:id="175"/>
    <w:bookmarkStart w:id="177" w:name="ref-jin2024theory"/>
    <w:p>
      <w:pPr>
        <w:pStyle w:val="Bibliography"/>
      </w:pPr>
      <w:r>
        <w:t xml:space="preserve">Jin, B. J., Halpern, D. J., &amp; Kahana, M. J. (2024).</w:t>
      </w:r>
      <w:r>
        <w:t xml:space="preserve"> </w:t>
      </w:r>
      <w:r>
        <w:rPr>
          <w:i/>
          <w:iCs/>
        </w:rPr>
        <w:t xml:space="preserve">A theory of memory for items and associations</w:t>
      </w:r>
      <w:r>
        <w:t xml:space="preserve">.</w:t>
      </w:r>
      <w:r>
        <w:t xml:space="preserve"> </w:t>
      </w:r>
      <w:hyperlink r:id="rId176">
        <w:r>
          <w:rPr>
            <w:rStyle w:val="Hyperlink"/>
          </w:rPr>
          <w:t xml:space="preserve">https://memory.psych.upenn.edu/files/pubs/JinEtal24.pdf</w:t>
        </w:r>
      </w:hyperlink>
    </w:p>
    <w:bookmarkEnd w:id="177"/>
    <w:bookmarkStart w:id="178"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78"/>
    <w:bookmarkStart w:id="180"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79">
        <w:r>
          <w:rPr>
            <w:rStyle w:val="Hyperlink"/>
          </w:rPr>
          <w:t xml:space="preserve">https://doi.org/10.1146/annurev-psych-010418-103358</w:t>
        </w:r>
      </w:hyperlink>
    </w:p>
    <w:bookmarkEnd w:id="180"/>
    <w:bookmarkStart w:id="182"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81">
        <w:r>
          <w:rPr>
            <w:rStyle w:val="Hyperlink"/>
          </w:rPr>
          <w:t xml:space="preserve">https://doi.org/10.1002/cpp.2489</w:t>
        </w:r>
      </w:hyperlink>
    </w:p>
    <w:bookmarkEnd w:id="182"/>
    <w:bookmarkStart w:id="184"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83">
        <w:r>
          <w:rPr>
            <w:rStyle w:val="Hyperlink"/>
          </w:rPr>
          <w:t xml:space="preserve">https://doi.org/10.1186/s12916-024-03569-8</w:t>
        </w:r>
      </w:hyperlink>
    </w:p>
    <w:bookmarkEnd w:id="184"/>
    <w:bookmarkStart w:id="186"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85">
        <w:r>
          <w:rPr>
            <w:rStyle w:val="Hyperlink"/>
          </w:rPr>
          <w:t xml:space="preserve">https://doi.org/10.1016/j.jbtep.2019.01.006</w:t>
        </w:r>
      </w:hyperlink>
    </w:p>
    <w:bookmarkEnd w:id="186"/>
    <w:bookmarkStart w:id="188"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87">
        <w:r>
          <w:rPr>
            <w:rStyle w:val="Hyperlink"/>
          </w:rPr>
          <w:t xml:space="preserve">https://doi.org/10.1038/nn.2271</w:t>
        </w:r>
      </w:hyperlink>
    </w:p>
    <w:bookmarkEnd w:id="188"/>
    <w:bookmarkStart w:id="190"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89">
        <w:r>
          <w:rPr>
            <w:rStyle w:val="Hyperlink"/>
          </w:rPr>
          <w:t xml:space="preserve">https://doi.org/10.1523/JNEUROSCI.3378-14.2015</w:t>
        </w:r>
      </w:hyperlink>
    </w:p>
    <w:bookmarkEnd w:id="190"/>
    <w:bookmarkStart w:id="192"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91">
        <w:r>
          <w:rPr>
            <w:rStyle w:val="Hyperlink"/>
          </w:rPr>
          <w:t xml:space="preserve">https://doi.org/10.1002/acp.1611</w:t>
        </w:r>
      </w:hyperlink>
    </w:p>
    <w:bookmarkEnd w:id="192"/>
    <w:bookmarkStart w:id="194"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93">
        <w:r>
          <w:rPr>
            <w:rStyle w:val="Hyperlink"/>
          </w:rPr>
          <w:t xml:space="preserve">https://doi.org/10.1037/xge0000598</w:t>
        </w:r>
      </w:hyperlink>
    </w:p>
    <w:bookmarkEnd w:id="194"/>
    <w:bookmarkStart w:id="196"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95">
        <w:r>
          <w:rPr>
            <w:rStyle w:val="Hyperlink"/>
          </w:rPr>
          <w:t xml:space="preserve">https://doi.org/10.1177/2167702621998315</w:t>
        </w:r>
      </w:hyperlink>
    </w:p>
    <w:bookmarkEnd w:id="196"/>
    <w:bookmarkStart w:id="198" w:name="ref-lohnas2023event"/>
    <w:p>
      <w:pPr>
        <w:pStyle w:val="Bibliography"/>
      </w:pPr>
      <w:r>
        <w:t xml:space="preserve">Lohnas, L. J., Healey, M. K., &amp; Davachi, L. (2023). Neural temporal context reinstatement of event structure during memory recall.</w:t>
      </w:r>
      <w:r>
        <w:t xml:space="preserve"> </w:t>
      </w:r>
      <w:r>
        <w:rPr>
          <w:i/>
          <w:iCs/>
        </w:rPr>
        <w:t xml:space="preserve">Journal of Experimental Psychology: General</w:t>
      </w:r>
      <w:r>
        <w:t xml:space="preserve">,</w:t>
      </w:r>
      <w:r>
        <w:t xml:space="preserve"> </w:t>
      </w:r>
      <w:r>
        <w:rPr>
          <w:i/>
          <w:iCs/>
        </w:rPr>
        <w:t xml:space="preserve">152</w:t>
      </w:r>
      <w:r>
        <w:t xml:space="preserve">(7), 1840–1872.</w:t>
      </w:r>
      <w:r>
        <w:t xml:space="preserve"> </w:t>
      </w:r>
      <w:hyperlink r:id="rId197">
        <w:r>
          <w:rPr>
            <w:rStyle w:val="Hyperlink"/>
          </w:rPr>
          <w:t xml:space="preserve">https://doi.org/10.1037/xge0001354</w:t>
        </w:r>
      </w:hyperlink>
    </w:p>
    <w:bookmarkEnd w:id="198"/>
    <w:bookmarkStart w:id="200"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99">
        <w:r>
          <w:rPr>
            <w:rStyle w:val="Hyperlink"/>
          </w:rPr>
          <w:t xml:space="preserve">https://doi.org/10.1037/a0039036</w:t>
        </w:r>
      </w:hyperlink>
    </w:p>
    <w:bookmarkEnd w:id="200"/>
    <w:bookmarkStart w:id="202" w:name="ref-lohnas2026specialized"/>
    <w:p>
      <w:pPr>
        <w:pStyle w:val="Bibliography"/>
      </w:pPr>
      <w:r>
        <w:t xml:space="preserve">Lohnas, L. J., Polyn, S. M., &amp; Kahana, M. J. (2026). Specialized recall procedures.</w:t>
      </w:r>
      <w:r>
        <w:t xml:space="preserve"> </w:t>
      </w:r>
      <w:r>
        <w:rPr>
          <w:i/>
          <w:iCs/>
        </w:rPr>
        <w:t xml:space="preserve">Psychonomic Bulletin &amp; Review</w:t>
      </w:r>
      <w:r>
        <w:t xml:space="preserve">,</w:t>
      </w:r>
      <w:r>
        <w:t xml:space="preserve"> </w:t>
      </w:r>
      <w:r>
        <w:rPr>
          <w:i/>
          <w:iCs/>
        </w:rPr>
        <w:t xml:space="preserve">33</w:t>
      </w:r>
      <w:r>
        <w:t xml:space="preserve">(3), 96.</w:t>
      </w:r>
      <w:r>
        <w:t xml:space="preserve"> </w:t>
      </w:r>
      <w:hyperlink r:id="rId201">
        <w:r>
          <w:rPr>
            <w:rStyle w:val="Hyperlink"/>
          </w:rPr>
          <w:t xml:space="preserve">https://doi.org/10.3758/s13423-025-02744-z</w:t>
        </w:r>
      </w:hyperlink>
    </w:p>
    <w:bookmarkEnd w:id="202"/>
    <w:bookmarkStart w:id="203" w:name="ref-luce1959individual"/>
    <w:p>
      <w:pPr>
        <w:pStyle w:val="Bibliography"/>
      </w:pPr>
      <w:r>
        <w:t xml:space="preserve">Luce, R. D. (1959).</w:t>
      </w:r>
      <w:r>
        <w:t xml:space="preserve"> </w:t>
      </w:r>
      <w:r>
        <w:rPr>
          <w:i/>
          <w:iCs/>
        </w:rPr>
        <w:t xml:space="preserve">Individual choice behavior: A theoretical analysis</w:t>
      </w:r>
      <w:r>
        <w:t xml:space="preserve">. Wiley.</w:t>
      </w:r>
    </w:p>
    <w:bookmarkEnd w:id="203"/>
    <w:bookmarkStart w:id="205"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204">
        <w:r>
          <w:rPr>
            <w:rStyle w:val="Hyperlink"/>
          </w:rPr>
          <w:t xml:space="preserve">https://osf.io/preprints/psyarxiv/m3pnz_v1/</w:t>
        </w:r>
      </w:hyperlink>
    </w:p>
    <w:bookmarkEnd w:id="205"/>
    <w:bookmarkStart w:id="207"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206">
        <w:r>
          <w:rPr>
            <w:rStyle w:val="Hyperlink"/>
          </w:rPr>
          <w:t xml:space="preserve">https://doi.org/10.1016/j.jml.2015.10.002</w:t>
        </w:r>
      </w:hyperlink>
    </w:p>
    <w:bookmarkEnd w:id="207"/>
    <w:bookmarkStart w:id="209" w:name="ref-norman2017neuronal"/>
    <w:p>
      <w:pPr>
        <w:pStyle w:val="Bibliography"/>
      </w:pPr>
      <w:r>
        <w:t xml:space="preserve">Norman, Y., Yeagle, E. M., Harel, M., Mehta, A. D., &amp; Malach, R. (2017). Neuronal baseline shifts underlying boundary setting during free recall.</w:t>
      </w:r>
      <w:r>
        <w:t xml:space="preserve"> </w:t>
      </w:r>
      <w:r>
        <w:rPr>
          <w:i/>
          <w:iCs/>
        </w:rPr>
        <w:t xml:space="preserve">Nature Communications</w:t>
      </w:r>
      <w:r>
        <w:t xml:space="preserve">,</w:t>
      </w:r>
      <w:r>
        <w:t xml:space="preserve"> </w:t>
      </w:r>
      <w:r>
        <w:rPr>
          <w:i/>
          <w:iCs/>
        </w:rPr>
        <w:t xml:space="preserve">8</w:t>
      </w:r>
      <w:r>
        <w:t xml:space="preserve">(1), 1301.</w:t>
      </w:r>
      <w:r>
        <w:t xml:space="preserve"> </w:t>
      </w:r>
      <w:hyperlink r:id="rId208">
        <w:r>
          <w:rPr>
            <w:rStyle w:val="Hyperlink"/>
          </w:rPr>
          <w:t xml:space="preserve">https://doi.org/10.1038/s41467-017-01184-1</w:t>
        </w:r>
      </w:hyperlink>
    </w:p>
    <w:bookmarkEnd w:id="209"/>
    <w:bookmarkStart w:id="211" w:name="ref-polyn2011semantic"/>
    <w:p>
      <w:pPr>
        <w:pStyle w:val="Bibliography"/>
      </w:pPr>
      <w:r>
        <w:t xml:space="preserve">Polyn, S. M., Erlikhman, G., &amp; Kahana, M. J. (2011). Semantic cuing and the scale insensitivity of recency and contiguity.</w:t>
      </w:r>
      <w:r>
        <w:t xml:space="preserve"> </w:t>
      </w:r>
      <w:r>
        <w:rPr>
          <w:i/>
          <w:iCs/>
        </w:rPr>
        <w:t xml:space="preserve">Journal of Experimental Psychology: Learning, Memory, and Cognition</w:t>
      </w:r>
      <w:r>
        <w:t xml:space="preserve">,</w:t>
      </w:r>
      <w:r>
        <w:t xml:space="preserve"> </w:t>
      </w:r>
      <w:r>
        <w:rPr>
          <w:i/>
          <w:iCs/>
        </w:rPr>
        <w:t xml:space="preserve">37</w:t>
      </w:r>
      <w:r>
        <w:t xml:space="preserve">(3), 766–775.</w:t>
      </w:r>
      <w:r>
        <w:t xml:space="preserve"> </w:t>
      </w:r>
      <w:hyperlink r:id="rId210">
        <w:r>
          <w:rPr>
            <w:rStyle w:val="Hyperlink"/>
          </w:rPr>
          <w:t xml:space="preserve">https://doi.org/10.1037/a0022475</w:t>
        </w:r>
      </w:hyperlink>
    </w:p>
    <w:bookmarkEnd w:id="211"/>
    <w:bookmarkStart w:id="213" w:name="ref-polyn2012neural"/>
    <w:p>
      <w:pPr>
        <w:pStyle w:val="Bibliography"/>
      </w:pPr>
      <w:r>
        <w:t xml:space="preserve">Polyn, S. M., Kragel, J. E., Morton, N. W., McCluey, J. D., &amp; Cohen, Z. D. (2012). The neural dynamics of task context in free recall.</w:t>
      </w:r>
      <w:r>
        <w:t xml:space="preserve"> </w:t>
      </w:r>
      <w:r>
        <w:rPr>
          <w:i/>
          <w:iCs/>
        </w:rPr>
        <w:t xml:space="preserve">Neuropsychologia</w:t>
      </w:r>
      <w:r>
        <w:t xml:space="preserve">,</w:t>
      </w:r>
      <w:r>
        <w:t xml:space="preserve"> </w:t>
      </w:r>
      <w:r>
        <w:rPr>
          <w:i/>
          <w:iCs/>
        </w:rPr>
        <w:t xml:space="preserve">50</w:t>
      </w:r>
      <w:r>
        <w:t xml:space="preserve">(4), 447–457.</w:t>
      </w:r>
      <w:r>
        <w:t xml:space="preserve"> </w:t>
      </w:r>
      <w:hyperlink r:id="rId212">
        <w:r>
          <w:rPr>
            <w:rStyle w:val="Hyperlink"/>
          </w:rPr>
          <w:t xml:space="preserve">https://doi.org/10.1016/j.neuropsychologia.2011.08.025</w:t>
        </w:r>
      </w:hyperlink>
    </w:p>
    <w:bookmarkEnd w:id="213"/>
    <w:bookmarkStart w:id="215"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214">
        <w:r>
          <w:rPr>
            <w:rStyle w:val="Hyperlink"/>
          </w:rPr>
          <w:t xml:space="preserve">https://doi.org/10.1037/a0014420</w:t>
        </w:r>
      </w:hyperlink>
    </w:p>
    <w:bookmarkEnd w:id="215"/>
    <w:bookmarkStart w:id="217"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216">
        <w:r>
          <w:rPr>
            <w:rStyle w:val="Hyperlink"/>
          </w:rPr>
          <w:t xml:space="preserve">https://doi.org/10.1016/j.neuropsychologia.2009.02.013</w:t>
        </w:r>
      </w:hyperlink>
    </w:p>
    <w:bookmarkEnd w:id="217"/>
    <w:bookmarkStart w:id="219" w:name="ref-raaijmakers1980sam"/>
    <w:p>
      <w:pPr>
        <w:pStyle w:val="Bibliography"/>
      </w:pPr>
      <w:r>
        <w:t xml:space="preserve">Raaijmakers, J. G. W., &amp; Shiffrin, R. M. (1980).</w:t>
      </w:r>
      <w:r>
        <w:t xml:space="preserve"> </w:t>
      </w:r>
      <w:r>
        <w:t xml:space="preserve">SAM</w:t>
      </w:r>
      <w:r>
        <w:t xml:space="preserve">: A theory of probabilistic search of associative memory. In G. H. Bower (Ed.),</w:t>
      </w:r>
      <w:r>
        <w:t xml:space="preserve"> </w:t>
      </w:r>
      <w:r>
        <w:rPr>
          <w:i/>
          <w:iCs/>
        </w:rPr>
        <w:t xml:space="preserve">The psychology of learning and motivation: Advances in research and theory</w:t>
      </w:r>
      <w:r>
        <w:t xml:space="preserve"> </w:t>
      </w:r>
      <w:r>
        <w:t xml:space="preserve">(Vol. 14, pp. 207–262). Academic Press.</w:t>
      </w:r>
      <w:r>
        <w:t xml:space="preserve"> </w:t>
      </w:r>
      <w:hyperlink r:id="rId218">
        <w:r>
          <w:rPr>
            <w:rStyle w:val="Hyperlink"/>
          </w:rPr>
          <w:t xml:space="preserve">https://doi.org/10.1016/S0079-7421(08)60162-0</w:t>
        </w:r>
      </w:hyperlink>
    </w:p>
    <w:bookmarkEnd w:id="219"/>
    <w:bookmarkStart w:id="221"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220">
        <w:r>
          <w:rPr>
            <w:rStyle w:val="Hyperlink"/>
          </w:rPr>
          <w:t xml:space="preserve">https://doi.org/10.1038/s41380-023-02062-7</w:t>
        </w:r>
      </w:hyperlink>
    </w:p>
    <w:bookmarkEnd w:id="221"/>
    <w:bookmarkStart w:id="223"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222">
        <w:r>
          <w:rPr>
            <w:rStyle w:val="Hyperlink"/>
          </w:rPr>
          <w:t xml:space="preserve">https://doi.org/10.1111/j.1467-9280.2005.01634.x</w:t>
        </w:r>
      </w:hyperlink>
    </w:p>
    <w:bookmarkEnd w:id="223"/>
    <w:bookmarkStart w:id="225"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224">
        <w:r>
          <w:rPr>
            <w:rStyle w:val="Hyperlink"/>
          </w:rPr>
          <w:t xml:space="preserve">https://doi.org/10.3758/s13423-011-0086-9</w:t>
        </w:r>
      </w:hyperlink>
    </w:p>
    <w:bookmarkEnd w:id="225"/>
    <w:bookmarkStart w:id="227"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226">
        <w:r>
          <w:rPr>
            <w:rStyle w:val="Hyperlink"/>
          </w:rPr>
          <w:t xml:space="preserve">https://doi.org/10.1037/a0013396</w:t>
        </w:r>
      </w:hyperlink>
    </w:p>
    <w:bookmarkEnd w:id="227"/>
    <w:bookmarkStart w:id="229" w:name="ref-talmi2013enhanced"/>
    <w:p>
      <w:pPr>
        <w:pStyle w:val="Bibliography"/>
      </w:pPr>
      <w:r>
        <w:t xml:space="preserve">Talmi, D. (2013). Enhanced emotional memory: Cognitive and neural mechanisms.</w:t>
      </w:r>
      <w:r>
        <w:t xml:space="preserve"> </w:t>
      </w:r>
      <w:r>
        <w:rPr>
          <w:i/>
          <w:iCs/>
        </w:rPr>
        <w:t xml:space="preserve">Current Directions in Psychological Science</w:t>
      </w:r>
      <w:r>
        <w:t xml:space="preserve">,</w:t>
      </w:r>
      <w:r>
        <w:t xml:space="preserve"> </w:t>
      </w:r>
      <w:r>
        <w:rPr>
          <w:i/>
          <w:iCs/>
        </w:rPr>
        <w:t xml:space="preserve">22</w:t>
      </w:r>
      <w:r>
        <w:t xml:space="preserve">(6), 430–436.</w:t>
      </w:r>
      <w:r>
        <w:t xml:space="preserve"> </w:t>
      </w:r>
      <w:hyperlink r:id="rId228">
        <w:r>
          <w:rPr>
            <w:rStyle w:val="Hyperlink"/>
          </w:rPr>
          <w:t xml:space="preserve">https://doi.org/10.1177/0963721413498893</w:t>
        </w:r>
      </w:hyperlink>
    </w:p>
    <w:bookmarkEnd w:id="229"/>
    <w:bookmarkStart w:id="231"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30">
        <w:r>
          <w:rPr>
            <w:rStyle w:val="Hyperlink"/>
          </w:rPr>
          <w:t xml:space="preserve">https://doi.org/10.1037/rev0000132</w:t>
        </w:r>
      </w:hyperlink>
    </w:p>
    <w:bookmarkEnd w:id="231"/>
    <w:bookmarkStart w:id="233" w:name="ref-talmi2007contribution"/>
    <w:p>
      <w:pPr>
        <w:pStyle w:val="Bibliography"/>
      </w:pPr>
      <w:r>
        <w:t xml:space="preserve">Talmi, D., Luk, B. T. C., McGarry, L. M., &amp; Moscovitch, M. (2007). The contribution of relatedness and distinctiveness to emotionally-enhanced memory.</w:t>
      </w:r>
      <w:r>
        <w:t xml:space="preserve"> </w:t>
      </w:r>
      <w:r>
        <w:rPr>
          <w:i/>
          <w:iCs/>
        </w:rPr>
        <w:t xml:space="preserve">Journal of Memory and Language</w:t>
      </w:r>
      <w:r>
        <w:t xml:space="preserve">,</w:t>
      </w:r>
      <w:r>
        <w:t xml:space="preserve"> </w:t>
      </w:r>
      <w:r>
        <w:rPr>
          <w:i/>
          <w:iCs/>
        </w:rPr>
        <w:t xml:space="preserve">56</w:t>
      </w:r>
      <w:r>
        <w:t xml:space="preserve">(4), 555–574.</w:t>
      </w:r>
      <w:r>
        <w:t xml:space="preserve"> </w:t>
      </w:r>
      <w:hyperlink r:id="rId232">
        <w:r>
          <w:rPr>
            <w:rStyle w:val="Hyperlink"/>
          </w:rPr>
          <w:t xml:space="preserve">https://doi.org/10.1016/j.jml.2007.01.002</w:t>
        </w:r>
      </w:hyperlink>
    </w:p>
    <w:bookmarkEnd w:id="233"/>
    <w:bookmarkStart w:id="235" w:name="ref-talmi2004semantic"/>
    <w:p>
      <w:pPr>
        <w:pStyle w:val="Bibliography"/>
      </w:pPr>
      <w:r>
        <w:t xml:space="preserve">Talmi, D., &amp; Moscovitch, M. (2004). Can semantic relatedness explain the enhancement of memory for emotional words?</w:t>
      </w:r>
      <w:r>
        <w:t xml:space="preserve"> </w:t>
      </w:r>
      <w:r>
        <w:rPr>
          <w:i/>
          <w:iCs/>
        </w:rPr>
        <w:t xml:space="preserve">Memory &amp; Cognition</w:t>
      </w:r>
      <w:r>
        <w:t xml:space="preserve">,</w:t>
      </w:r>
      <w:r>
        <w:t xml:space="preserve"> </w:t>
      </w:r>
      <w:r>
        <w:rPr>
          <w:i/>
          <w:iCs/>
        </w:rPr>
        <w:t xml:space="preserve">32</w:t>
      </w:r>
      <w:r>
        <w:t xml:space="preserve">(5), 742–751.</w:t>
      </w:r>
      <w:r>
        <w:t xml:space="preserve"> </w:t>
      </w:r>
      <w:hyperlink r:id="rId234">
        <w:r>
          <w:rPr>
            <w:rStyle w:val="Hyperlink"/>
          </w:rPr>
          <w:t xml:space="preserve">https://doi.org/10.3758/bf03195864</w:t>
        </w:r>
      </w:hyperlink>
    </w:p>
    <w:bookmarkEnd w:id="235"/>
    <w:bookmarkStart w:id="237" w:name="ref-unsworth2010understanding"/>
    <w:p>
      <w:pPr>
        <w:pStyle w:val="Bibliography"/>
      </w:pPr>
      <w:r>
        <w:t xml:space="preserve">Unsworth, N., Brewer, G. A., &amp; Spillers, G. J. (2010). Understanding the dynamics of correct and error responses in free recall: Evidence from externalized free recall.</w:t>
      </w:r>
      <w:r>
        <w:t xml:space="preserve"> </w:t>
      </w:r>
      <w:r>
        <w:rPr>
          <w:i/>
          <w:iCs/>
        </w:rPr>
        <w:t xml:space="preserve">Memory &amp; Cognition</w:t>
      </w:r>
      <w:r>
        <w:t xml:space="preserve">,</w:t>
      </w:r>
      <w:r>
        <w:t xml:space="preserve"> </w:t>
      </w:r>
      <w:r>
        <w:rPr>
          <w:i/>
          <w:iCs/>
        </w:rPr>
        <w:t xml:space="preserve">38</w:t>
      </w:r>
      <w:r>
        <w:t xml:space="preserve">(4), 419–430.</w:t>
      </w:r>
      <w:r>
        <w:t xml:space="preserve"> </w:t>
      </w:r>
      <w:hyperlink r:id="rId236">
        <w:r>
          <w:rPr>
            <w:rStyle w:val="Hyperlink"/>
          </w:rPr>
          <w:t xml:space="preserve">https://doi.org/10.3758/MC.38.4.419</w:t>
        </w:r>
      </w:hyperlink>
    </w:p>
    <w:bookmarkEnd w:id="237"/>
    <w:bookmarkStart w:id="239"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38">
        <w:r>
          <w:rPr>
            <w:rStyle w:val="Hyperlink"/>
          </w:rPr>
          <w:t xml:space="preserve">https://doi.org/10.1038/s41562-024-01956-y</w:t>
        </w:r>
      </w:hyperlink>
    </w:p>
    <w:bookmarkEnd w:id="239"/>
    <w:bookmarkStart w:id="241"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40">
        <w:r>
          <w:rPr>
            <w:rStyle w:val="Hyperlink"/>
          </w:rPr>
          <w:t xml:space="preserve">https://doi.org/10.1525/collabra.130791</w:t>
        </w:r>
      </w:hyperlink>
    </w:p>
    <w:bookmarkEnd w:id="241"/>
    <w:bookmarkStart w:id="243"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42">
        <w:r>
          <w:rPr>
            <w:rStyle w:val="Hyperlink"/>
          </w:rPr>
          <w:t xml:space="preserve">https://doi.org/10.1037/0278-7393.32.4.792</w:t>
        </w:r>
      </w:hyperlink>
    </w:p>
    <w:bookmarkEnd w:id="243"/>
    <w:bookmarkStart w:id="245"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44">
        <w:r>
          <w:rPr>
            <w:rStyle w:val="Hyperlink"/>
          </w:rPr>
          <w:t xml:space="preserve">https://doi.org/10.1037/rev0000505</w:t>
        </w:r>
      </w:hyperlink>
    </w:p>
    <w:bookmarkEnd w:id="245"/>
    <w:bookmarkEnd w:id="246"/>
    <w:bookmarkEnd w:id="247"/>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83" Target="media/rId83.png" /><Relationship Type="http://schemas.openxmlformats.org/officeDocument/2006/relationships/image" Id="rId79" Target="media/rId79.png" /><Relationship Type="http://schemas.openxmlformats.org/officeDocument/2006/relationships/image" Id="rId74" Target="media/rId74.png" /><Relationship Type="http://schemas.openxmlformats.org/officeDocument/2006/relationships/image" Id="rId88" Target="media/rId88.png" /><Relationship Type="http://schemas.openxmlformats.org/officeDocument/2006/relationships/image" Id="rId96" Target="media/rId96.png" /><Relationship Type="http://schemas.openxmlformats.org/officeDocument/2006/relationships/image" Id="rId92" Target="media/rId92.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9" Target="media/rId109.png" /><Relationship Type="http://schemas.openxmlformats.org/officeDocument/2006/relationships/hyperlink" Id="rId191" Target="https://doi.org/10.1002/acp.1611" TargetMode="External" /><Relationship Type="http://schemas.openxmlformats.org/officeDocument/2006/relationships/hyperlink" Id="rId181" Target="https://doi.org/10.1002/cpp.2489" TargetMode="External" /><Relationship Type="http://schemas.openxmlformats.org/officeDocument/2006/relationships/hyperlink" Id="rId130" Target="https://doi.org/10.1006/jmps.1999.1282" TargetMode="External" /><Relationship Type="http://schemas.openxmlformats.org/officeDocument/2006/relationships/hyperlink" Id="rId161" Target="https://doi.org/10.1006/jmps.2001.1388" TargetMode="External" /><Relationship Type="http://schemas.openxmlformats.org/officeDocument/2006/relationships/hyperlink" Id="rId137" Target="https://doi.org/10.1016/S0005-7967(99)00123-0" TargetMode="External" /><Relationship Type="http://schemas.openxmlformats.org/officeDocument/2006/relationships/hyperlink" Id="rId218" Target="https://doi.org/10.1016/S0079-7421(08)60162-0" TargetMode="External" /><Relationship Type="http://schemas.openxmlformats.org/officeDocument/2006/relationships/hyperlink" Id="rId149" Target="https://doi.org/10.1016/j.actpsy.2007.11.002" TargetMode="External" /><Relationship Type="http://schemas.openxmlformats.org/officeDocument/2006/relationships/hyperlink" Id="rId157" Target="https://doi.org/10.1016/j.brat.2017.03.018" TargetMode="External" /><Relationship Type="http://schemas.openxmlformats.org/officeDocument/2006/relationships/hyperlink" Id="rId174" Target="https://doi.org/10.1016/j.cpr.2016.04.010" TargetMode="External" /><Relationship Type="http://schemas.openxmlformats.org/officeDocument/2006/relationships/hyperlink" Id="rId170" Target="https://doi.org/10.1016/j.cpr.2018.08.005" TargetMode="External" /><Relationship Type="http://schemas.openxmlformats.org/officeDocument/2006/relationships/hyperlink" Id="rId134" Target="https://doi.org/10.1016/j.jbtep.2011.10.008" TargetMode="External" /><Relationship Type="http://schemas.openxmlformats.org/officeDocument/2006/relationships/hyperlink" Id="rId185" Target="https://doi.org/10.1016/j.jbtep.2019.01.006" TargetMode="External" /><Relationship Type="http://schemas.openxmlformats.org/officeDocument/2006/relationships/hyperlink" Id="rId145" Target="https://doi.org/10.1016/j.jbtep.2023.101858" TargetMode="External" /><Relationship Type="http://schemas.openxmlformats.org/officeDocument/2006/relationships/hyperlink" Id="rId116" Target="https://doi.org/10.1016/j.jbtep.2023.101920" TargetMode="External" /><Relationship Type="http://schemas.openxmlformats.org/officeDocument/2006/relationships/hyperlink" Id="rId232" Target="https://doi.org/10.1016/j.jml.2007.01.002" TargetMode="External" /><Relationship Type="http://schemas.openxmlformats.org/officeDocument/2006/relationships/hyperlink" Id="rId206" Target="https://doi.org/10.1016/j.jml.2015.10.002" TargetMode="External" /><Relationship Type="http://schemas.openxmlformats.org/officeDocument/2006/relationships/hyperlink" Id="rId118" Target="https://doi.org/10.1016/j.jpsychires.2023.01.028" TargetMode="External" /><Relationship Type="http://schemas.openxmlformats.org/officeDocument/2006/relationships/hyperlink" Id="rId216" Target="https://doi.org/10.1016/j.neuropsychologia.2009.02.013" TargetMode="External" /><Relationship Type="http://schemas.openxmlformats.org/officeDocument/2006/relationships/hyperlink" Id="rId212" Target="https://doi.org/10.1016/j.neuropsychologia.2011.08.025" TargetMode="External" /><Relationship Type="http://schemas.openxmlformats.org/officeDocument/2006/relationships/hyperlink" Id="rId122" Target="https://doi.org/10.1016/s2215-0366(25)00397-9" TargetMode="External" /><Relationship Type="http://schemas.openxmlformats.org/officeDocument/2006/relationships/hyperlink" Id="rId126" Target="https://doi.org/10.1037/0033-295X.103.4.670" TargetMode="External" /><Relationship Type="http://schemas.openxmlformats.org/officeDocument/2006/relationships/hyperlink" Id="rId120" Target="https://doi.org/10.1037/0096-3445.129.1.126" TargetMode="External" /><Relationship Type="http://schemas.openxmlformats.org/officeDocument/2006/relationships/hyperlink" Id="rId151" Target="https://doi.org/10.1037/0096-3445.133.1.3" TargetMode="External" /><Relationship Type="http://schemas.openxmlformats.org/officeDocument/2006/relationships/hyperlink" Id="rId159" Target="https://doi.org/10.1037/0278-7393.25.4.923" TargetMode="External" /><Relationship Type="http://schemas.openxmlformats.org/officeDocument/2006/relationships/hyperlink" Id="rId242" Target="https://doi.org/10.1037/0278-7393.32.4.792" TargetMode="External" /><Relationship Type="http://schemas.openxmlformats.org/officeDocument/2006/relationships/hyperlink" Id="rId226" Target="https://doi.org/10.1037/a0013396" TargetMode="External" /><Relationship Type="http://schemas.openxmlformats.org/officeDocument/2006/relationships/hyperlink" Id="rId214" Target="https://doi.org/10.1037/a0014420" TargetMode="External" /><Relationship Type="http://schemas.openxmlformats.org/officeDocument/2006/relationships/hyperlink" Id="rId128" Target="https://doi.org/10.1037/a0018113" TargetMode="External" /><Relationship Type="http://schemas.openxmlformats.org/officeDocument/2006/relationships/hyperlink" Id="rId210" Target="https://doi.org/10.1037/a0022475" TargetMode="External" /><Relationship Type="http://schemas.openxmlformats.org/officeDocument/2006/relationships/hyperlink" Id="rId139" Target="https://doi.org/10.1037/a0033715" TargetMode="External" /><Relationship Type="http://schemas.openxmlformats.org/officeDocument/2006/relationships/hyperlink" Id="rId124" Target="https://doi.org/10.1037/a0033722" TargetMode="External" /><Relationship Type="http://schemas.openxmlformats.org/officeDocument/2006/relationships/hyperlink" Id="rId199" Target="https://doi.org/10.1037/a0039036" TargetMode="External" /><Relationship Type="http://schemas.openxmlformats.org/officeDocument/2006/relationships/hyperlink" Id="rId141" Target="https://doi.org/10.1037/rev0000015" TargetMode="External" /><Relationship Type="http://schemas.openxmlformats.org/officeDocument/2006/relationships/hyperlink" Id="rId230" Target="https://doi.org/10.1037/rev0000132" TargetMode="External" /><Relationship Type="http://schemas.openxmlformats.org/officeDocument/2006/relationships/hyperlink" Id="rId132" Target="https://doi.org/10.1037/rev0000334" TargetMode="External" /><Relationship Type="http://schemas.openxmlformats.org/officeDocument/2006/relationships/hyperlink" Id="rId244" Target="https://doi.org/10.1037/rev0000505" TargetMode="External" /><Relationship Type="http://schemas.openxmlformats.org/officeDocument/2006/relationships/hyperlink" Id="rId193" Target="https://doi.org/10.1037/xge0000598" TargetMode="External" /><Relationship Type="http://schemas.openxmlformats.org/officeDocument/2006/relationships/hyperlink" Id="rId197" Target="https://doi.org/10.1037/xge0001354" TargetMode="External" /><Relationship Type="http://schemas.openxmlformats.org/officeDocument/2006/relationships/hyperlink" Id="rId166" Target="https://doi.org/10.1038/mp.2017.23" TargetMode="External" /><Relationship Type="http://schemas.openxmlformats.org/officeDocument/2006/relationships/hyperlink" Id="rId187" Target="https://doi.org/10.1038/nn.2271" TargetMode="External" /><Relationship Type="http://schemas.openxmlformats.org/officeDocument/2006/relationships/hyperlink" Id="rId220" Target="https://doi.org/10.1038/s41380-023-02062-7" TargetMode="External" /><Relationship Type="http://schemas.openxmlformats.org/officeDocument/2006/relationships/hyperlink" Id="rId168" Target="https://doi.org/10.1038/s41398-023-02578-0" TargetMode="External" /><Relationship Type="http://schemas.openxmlformats.org/officeDocument/2006/relationships/hyperlink" Id="rId208" Target="https://doi.org/10.1038/s41467-017-01184-1" TargetMode="External" /><Relationship Type="http://schemas.openxmlformats.org/officeDocument/2006/relationships/hyperlink" Id="rId238" Target="https://doi.org/10.1038/s41562-024-01956-y" TargetMode="External" /><Relationship Type="http://schemas.openxmlformats.org/officeDocument/2006/relationships/hyperlink" Id="rId164" Target="https://doi.org/10.1101/lm.1022308" TargetMode="External" /><Relationship Type="http://schemas.openxmlformats.org/officeDocument/2006/relationships/hyperlink" Id="rId222" Target="https://doi.org/10.1111/j.1467-9280.2005.01634.x" TargetMode="External" /><Relationship Type="http://schemas.openxmlformats.org/officeDocument/2006/relationships/hyperlink" Id="rId179" Target="https://doi.org/10.1146/annurev-psych-010418-103358" TargetMode="External" /><Relationship Type="http://schemas.openxmlformats.org/officeDocument/2006/relationships/hyperlink" Id="rId172" Target="https://doi.org/10.1177/0956797615583071" TargetMode="External" /><Relationship Type="http://schemas.openxmlformats.org/officeDocument/2006/relationships/hyperlink" Id="rId228" Target="https://doi.org/10.1177/0963721413498893" TargetMode="External" /><Relationship Type="http://schemas.openxmlformats.org/officeDocument/2006/relationships/hyperlink" Id="rId195" Target="https://doi.org/10.1177/2167702621998315" TargetMode="External" /><Relationship Type="http://schemas.openxmlformats.org/officeDocument/2006/relationships/hyperlink" Id="rId183" Target="https://doi.org/10.1186/s12916-024-03569-8" TargetMode="External" /><Relationship Type="http://schemas.openxmlformats.org/officeDocument/2006/relationships/hyperlink" Id="rId153" Target="https://doi.org/10.1371/journal.pone.0004153" TargetMode="External" /><Relationship Type="http://schemas.openxmlformats.org/officeDocument/2006/relationships/hyperlink" Id="rId155" Target="https://doi.org/10.1371/journal.pone.0013706" TargetMode="External" /><Relationship Type="http://schemas.openxmlformats.org/officeDocument/2006/relationships/hyperlink" Id="rId189" Target="https://doi.org/10.1523/JNEUROSCI.3378-14.2015" TargetMode="External" /><Relationship Type="http://schemas.openxmlformats.org/officeDocument/2006/relationships/hyperlink" Id="rId240" Target="https://doi.org/10.1525/collabra.130791" TargetMode="External" /><Relationship Type="http://schemas.openxmlformats.org/officeDocument/2006/relationships/hyperlink" Id="rId147" Target="https://doi.org/10.31234/osf.io/sm3fw" TargetMode="External" /><Relationship Type="http://schemas.openxmlformats.org/officeDocument/2006/relationships/hyperlink" Id="rId236" Target="https://doi.org/10.3758/MC.38.4.419" TargetMode="External" /><Relationship Type="http://schemas.openxmlformats.org/officeDocument/2006/relationships/hyperlink" Id="rId234" Target="https://doi.org/10.3758/bf03195864" TargetMode="External" /><Relationship Type="http://schemas.openxmlformats.org/officeDocument/2006/relationships/hyperlink" Id="rId143" Target="https://doi.org/10.3758/s13421-023-01453-z" TargetMode="External" /><Relationship Type="http://schemas.openxmlformats.org/officeDocument/2006/relationships/hyperlink" Id="rId224" Target="https://doi.org/10.3758/s13423-011-0086-9" TargetMode="External" /><Relationship Type="http://schemas.openxmlformats.org/officeDocument/2006/relationships/hyperlink" Id="rId201" Target="https://doi.org/10.3758/s13423-025-02744-z" TargetMode="External" /><Relationship Type="http://schemas.openxmlformats.org/officeDocument/2006/relationships/hyperlink" Id="rId176" Target="https://memory.psych.upenn.edu/files/pubs/JinEtal24.pdf" TargetMode="External" /><Relationship Type="http://schemas.openxmlformats.org/officeDocument/2006/relationships/hyperlink" Id="rId204"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91" Target="https://doi.org/10.1002/acp.1611" TargetMode="External" /><Relationship Type="http://schemas.openxmlformats.org/officeDocument/2006/relationships/hyperlink" Id="rId181" Target="https://doi.org/10.1002/cpp.2489" TargetMode="External" /><Relationship Type="http://schemas.openxmlformats.org/officeDocument/2006/relationships/hyperlink" Id="rId130" Target="https://doi.org/10.1006/jmps.1999.1282" TargetMode="External" /><Relationship Type="http://schemas.openxmlformats.org/officeDocument/2006/relationships/hyperlink" Id="rId161" Target="https://doi.org/10.1006/jmps.2001.1388" TargetMode="External" /><Relationship Type="http://schemas.openxmlformats.org/officeDocument/2006/relationships/hyperlink" Id="rId137" Target="https://doi.org/10.1016/S0005-7967(99)00123-0" TargetMode="External" /><Relationship Type="http://schemas.openxmlformats.org/officeDocument/2006/relationships/hyperlink" Id="rId218" Target="https://doi.org/10.1016/S0079-7421(08)60162-0" TargetMode="External" /><Relationship Type="http://schemas.openxmlformats.org/officeDocument/2006/relationships/hyperlink" Id="rId149" Target="https://doi.org/10.1016/j.actpsy.2007.11.002" TargetMode="External" /><Relationship Type="http://schemas.openxmlformats.org/officeDocument/2006/relationships/hyperlink" Id="rId157" Target="https://doi.org/10.1016/j.brat.2017.03.018" TargetMode="External" /><Relationship Type="http://schemas.openxmlformats.org/officeDocument/2006/relationships/hyperlink" Id="rId174" Target="https://doi.org/10.1016/j.cpr.2016.04.010" TargetMode="External" /><Relationship Type="http://schemas.openxmlformats.org/officeDocument/2006/relationships/hyperlink" Id="rId170" Target="https://doi.org/10.1016/j.cpr.2018.08.005" TargetMode="External" /><Relationship Type="http://schemas.openxmlformats.org/officeDocument/2006/relationships/hyperlink" Id="rId134" Target="https://doi.org/10.1016/j.jbtep.2011.10.008" TargetMode="External" /><Relationship Type="http://schemas.openxmlformats.org/officeDocument/2006/relationships/hyperlink" Id="rId185" Target="https://doi.org/10.1016/j.jbtep.2019.01.006" TargetMode="External" /><Relationship Type="http://schemas.openxmlformats.org/officeDocument/2006/relationships/hyperlink" Id="rId145" Target="https://doi.org/10.1016/j.jbtep.2023.101858" TargetMode="External" /><Relationship Type="http://schemas.openxmlformats.org/officeDocument/2006/relationships/hyperlink" Id="rId116" Target="https://doi.org/10.1016/j.jbtep.2023.101920" TargetMode="External" /><Relationship Type="http://schemas.openxmlformats.org/officeDocument/2006/relationships/hyperlink" Id="rId232" Target="https://doi.org/10.1016/j.jml.2007.01.002" TargetMode="External" /><Relationship Type="http://schemas.openxmlformats.org/officeDocument/2006/relationships/hyperlink" Id="rId206" Target="https://doi.org/10.1016/j.jml.2015.10.002" TargetMode="External" /><Relationship Type="http://schemas.openxmlformats.org/officeDocument/2006/relationships/hyperlink" Id="rId118" Target="https://doi.org/10.1016/j.jpsychires.2023.01.028" TargetMode="External" /><Relationship Type="http://schemas.openxmlformats.org/officeDocument/2006/relationships/hyperlink" Id="rId216" Target="https://doi.org/10.1016/j.neuropsychologia.2009.02.013" TargetMode="External" /><Relationship Type="http://schemas.openxmlformats.org/officeDocument/2006/relationships/hyperlink" Id="rId212" Target="https://doi.org/10.1016/j.neuropsychologia.2011.08.025" TargetMode="External" /><Relationship Type="http://schemas.openxmlformats.org/officeDocument/2006/relationships/hyperlink" Id="rId122" Target="https://doi.org/10.1016/s2215-0366(25)00397-9" TargetMode="External" /><Relationship Type="http://schemas.openxmlformats.org/officeDocument/2006/relationships/hyperlink" Id="rId126" Target="https://doi.org/10.1037/0033-295X.103.4.670" TargetMode="External" /><Relationship Type="http://schemas.openxmlformats.org/officeDocument/2006/relationships/hyperlink" Id="rId120" Target="https://doi.org/10.1037/0096-3445.129.1.126" TargetMode="External" /><Relationship Type="http://schemas.openxmlformats.org/officeDocument/2006/relationships/hyperlink" Id="rId151" Target="https://doi.org/10.1037/0096-3445.133.1.3" TargetMode="External" /><Relationship Type="http://schemas.openxmlformats.org/officeDocument/2006/relationships/hyperlink" Id="rId159" Target="https://doi.org/10.1037/0278-7393.25.4.923" TargetMode="External" /><Relationship Type="http://schemas.openxmlformats.org/officeDocument/2006/relationships/hyperlink" Id="rId242" Target="https://doi.org/10.1037/0278-7393.32.4.792" TargetMode="External" /><Relationship Type="http://schemas.openxmlformats.org/officeDocument/2006/relationships/hyperlink" Id="rId226" Target="https://doi.org/10.1037/a0013396" TargetMode="External" /><Relationship Type="http://schemas.openxmlformats.org/officeDocument/2006/relationships/hyperlink" Id="rId214" Target="https://doi.org/10.1037/a0014420" TargetMode="External" /><Relationship Type="http://schemas.openxmlformats.org/officeDocument/2006/relationships/hyperlink" Id="rId128" Target="https://doi.org/10.1037/a0018113" TargetMode="External" /><Relationship Type="http://schemas.openxmlformats.org/officeDocument/2006/relationships/hyperlink" Id="rId210" Target="https://doi.org/10.1037/a0022475" TargetMode="External" /><Relationship Type="http://schemas.openxmlformats.org/officeDocument/2006/relationships/hyperlink" Id="rId139" Target="https://doi.org/10.1037/a0033715" TargetMode="External" /><Relationship Type="http://schemas.openxmlformats.org/officeDocument/2006/relationships/hyperlink" Id="rId124" Target="https://doi.org/10.1037/a0033722" TargetMode="External" /><Relationship Type="http://schemas.openxmlformats.org/officeDocument/2006/relationships/hyperlink" Id="rId199" Target="https://doi.org/10.1037/a0039036" TargetMode="External" /><Relationship Type="http://schemas.openxmlformats.org/officeDocument/2006/relationships/hyperlink" Id="rId141" Target="https://doi.org/10.1037/rev0000015" TargetMode="External" /><Relationship Type="http://schemas.openxmlformats.org/officeDocument/2006/relationships/hyperlink" Id="rId230" Target="https://doi.org/10.1037/rev0000132" TargetMode="External" /><Relationship Type="http://schemas.openxmlformats.org/officeDocument/2006/relationships/hyperlink" Id="rId132" Target="https://doi.org/10.1037/rev0000334" TargetMode="External" /><Relationship Type="http://schemas.openxmlformats.org/officeDocument/2006/relationships/hyperlink" Id="rId244" Target="https://doi.org/10.1037/rev0000505" TargetMode="External" /><Relationship Type="http://schemas.openxmlformats.org/officeDocument/2006/relationships/hyperlink" Id="rId193" Target="https://doi.org/10.1037/xge0000598" TargetMode="External" /><Relationship Type="http://schemas.openxmlformats.org/officeDocument/2006/relationships/hyperlink" Id="rId197" Target="https://doi.org/10.1037/xge0001354" TargetMode="External" /><Relationship Type="http://schemas.openxmlformats.org/officeDocument/2006/relationships/hyperlink" Id="rId166" Target="https://doi.org/10.1038/mp.2017.23" TargetMode="External" /><Relationship Type="http://schemas.openxmlformats.org/officeDocument/2006/relationships/hyperlink" Id="rId187" Target="https://doi.org/10.1038/nn.2271" TargetMode="External" /><Relationship Type="http://schemas.openxmlformats.org/officeDocument/2006/relationships/hyperlink" Id="rId220" Target="https://doi.org/10.1038/s41380-023-02062-7" TargetMode="External" /><Relationship Type="http://schemas.openxmlformats.org/officeDocument/2006/relationships/hyperlink" Id="rId168" Target="https://doi.org/10.1038/s41398-023-02578-0" TargetMode="External" /><Relationship Type="http://schemas.openxmlformats.org/officeDocument/2006/relationships/hyperlink" Id="rId208" Target="https://doi.org/10.1038/s41467-017-01184-1" TargetMode="External" /><Relationship Type="http://schemas.openxmlformats.org/officeDocument/2006/relationships/hyperlink" Id="rId238" Target="https://doi.org/10.1038/s41562-024-01956-y" TargetMode="External" /><Relationship Type="http://schemas.openxmlformats.org/officeDocument/2006/relationships/hyperlink" Id="rId164" Target="https://doi.org/10.1101/lm.1022308" TargetMode="External" /><Relationship Type="http://schemas.openxmlformats.org/officeDocument/2006/relationships/hyperlink" Id="rId222" Target="https://doi.org/10.1111/j.1467-9280.2005.01634.x" TargetMode="External" /><Relationship Type="http://schemas.openxmlformats.org/officeDocument/2006/relationships/hyperlink" Id="rId179" Target="https://doi.org/10.1146/annurev-psych-010418-103358" TargetMode="External" /><Relationship Type="http://schemas.openxmlformats.org/officeDocument/2006/relationships/hyperlink" Id="rId172" Target="https://doi.org/10.1177/0956797615583071" TargetMode="External" /><Relationship Type="http://schemas.openxmlformats.org/officeDocument/2006/relationships/hyperlink" Id="rId228" Target="https://doi.org/10.1177/0963721413498893" TargetMode="External" /><Relationship Type="http://schemas.openxmlformats.org/officeDocument/2006/relationships/hyperlink" Id="rId195" Target="https://doi.org/10.1177/2167702621998315" TargetMode="External" /><Relationship Type="http://schemas.openxmlformats.org/officeDocument/2006/relationships/hyperlink" Id="rId183" Target="https://doi.org/10.1186/s12916-024-03569-8" TargetMode="External" /><Relationship Type="http://schemas.openxmlformats.org/officeDocument/2006/relationships/hyperlink" Id="rId153" Target="https://doi.org/10.1371/journal.pone.0004153" TargetMode="External" /><Relationship Type="http://schemas.openxmlformats.org/officeDocument/2006/relationships/hyperlink" Id="rId155" Target="https://doi.org/10.1371/journal.pone.0013706" TargetMode="External" /><Relationship Type="http://schemas.openxmlformats.org/officeDocument/2006/relationships/hyperlink" Id="rId189" Target="https://doi.org/10.1523/JNEUROSCI.3378-14.2015" TargetMode="External" /><Relationship Type="http://schemas.openxmlformats.org/officeDocument/2006/relationships/hyperlink" Id="rId240" Target="https://doi.org/10.1525/collabra.130791" TargetMode="External" /><Relationship Type="http://schemas.openxmlformats.org/officeDocument/2006/relationships/hyperlink" Id="rId147" Target="https://doi.org/10.31234/osf.io/sm3fw" TargetMode="External" /><Relationship Type="http://schemas.openxmlformats.org/officeDocument/2006/relationships/hyperlink" Id="rId236" Target="https://doi.org/10.3758/MC.38.4.419" TargetMode="External" /><Relationship Type="http://schemas.openxmlformats.org/officeDocument/2006/relationships/hyperlink" Id="rId234" Target="https://doi.org/10.3758/bf03195864" TargetMode="External" /><Relationship Type="http://schemas.openxmlformats.org/officeDocument/2006/relationships/hyperlink" Id="rId143" Target="https://doi.org/10.3758/s13421-023-01453-z" TargetMode="External" /><Relationship Type="http://schemas.openxmlformats.org/officeDocument/2006/relationships/hyperlink" Id="rId224" Target="https://doi.org/10.3758/s13423-011-0086-9" TargetMode="External" /><Relationship Type="http://schemas.openxmlformats.org/officeDocument/2006/relationships/hyperlink" Id="rId201" Target="https://doi.org/10.3758/s13423-025-02744-z" TargetMode="External" /><Relationship Type="http://schemas.openxmlformats.org/officeDocument/2006/relationships/hyperlink" Id="rId176" Target="https://memory.psych.upenn.edu/files/pubs/JinEtal24.pdf" TargetMode="External" /><Relationship Type="http://schemas.openxmlformats.org/officeDocument/2006/relationships/hyperlink" Id="rId204"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2026-07-03T00:14:08Z</dcterms:created>
  <dcterms:modified xsi:type="dcterms:W3CDTF">2026-07-03T00:14:08Z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