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Override PartName="/word/media/rId68.png" ContentType="image/png"/>
  <Override PartName="/word/media/rId64.png" ContentType="image/png"/>
  <Override PartName="/word/media/rId73.png" ContentType="image/png"/>
  <Override PartName="/word/media/rId7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control settings reinstate film-associated context, sharpen selection among candidates cued by context, and limit how much off-target samples redirect later search.</w:t>
      </w:r>
      <w:r>
        <w:t xml:space="preserve"> </w:t>
      </w:r>
      <w:r>
        <w:t xml:space="preserve">Test-provided film cues can likewise update context and reduce reliance on context-guided selection.</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task delivered soon after film encoding, or after a later film reminder, alter one mode of retrieval more than another, even while both draw on the same recent experience?</w:t>
      </w:r>
    </w:p>
    <w:p>
      <w:pPr>
        <w:pStyle w:val="BodyText"/>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interventions delivered after a later reminder,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emotional context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shows how a task performed after a film reminder can become a retrieval competitor and reduce later film recall.</w:t>
      </w:r>
      <w:r>
        <w:t xml:space="preserve"> </w:t>
      </w:r>
      <w:r>
        <w:t xml:space="preserve">Simulation 2 decomposes deliberate recall into control settings that can reduce this competition by changing where retrieval begins, how selectively candidates are sampled, and how much off-target samples shape ongoing search.</w:t>
      </w:r>
      <w:r>
        <w:t xml:space="preserve"> </w:t>
      </w:r>
      <w:r>
        <w:t xml:space="preserve">The next simulations examine a consequence of this retrieval interpretation: the effect should depend on how the memory test supplies film information.</w:t>
      </w:r>
      <w:r>
        <w:t xml:space="preserve"> </w:t>
      </w:r>
      <w:r>
        <w:t xml:space="preserve">Simulation 3 adds test-phase film cues during retrieval, testing whether such cues improve film recall without necessarily removing task competition.</w:t>
      </w:r>
      <w:r>
        <w:t xml:space="preserve"> </w:t>
      </w:r>
      <w:r>
        <w:t xml:space="preserve">Simulation 4 considers recognition-like tests in which the film item is supplied, reducing the need for that item to win a search guided by context.</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fig-retrieved-context-account">
        <w:r>
          <w:rPr>
            <w:rStyle w:val="Hyperlink"/>
          </w:rPr>
          <w:t xml:space="preserve">Figure 1</w:t>
        </w:r>
      </w:hyperlink>
      <w:r>
        <w:t xml:space="preserve"> </w:t>
      </w:r>
      <w:r>
        <w:t xml:space="preserve">shows how these mechanisms map onto the trauma-film paradigm.</w:t>
      </w:r>
      <w:r>
        <w:t xml:space="preserve"> </w:t>
      </w:r>
      <w:r>
        <w:t xml:space="preserve">In the sections below, film reminders are to film cues presented before task encoding.</w:t>
      </w:r>
      <w:r>
        <w:t xml:space="preserve"> </w:t>
      </w:r>
      <w:r>
        <w:t xml:space="preserve">Test-phase film cues are by contrast film information supplied during retrieval to update context before later recall attempts.</w:t>
      </w:r>
      <w:r>
        <w:t xml:space="preserve"> </w:t>
      </w:r>
      <w:r>
        <w:t xml:space="preserve">Supplied-item access refers to a test format in which the film item itself is provided as the object of access.</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rPr>
          <w:b/>
          <w:bCs/>
        </w:rPr>
        <w:t xml:space="preserve">(A)</w:t>
      </w:r>
      <w:r>
        <w:t xml:space="preserve"> </w:t>
      </w:r>
      <w:r>
        <w:t xml:space="preserve">The model represents the paradigm as film encoding, an intervening delay, film reminder cues, an interference or comparison task, a post-task delay, and retrieval tests.</w:t>
      </w:r>
      <w:r>
        <w:t xml:space="preserve"> </w:t>
      </w:r>
      <w:r>
        <w:rPr>
          <w:b/>
          <w:bCs/>
        </w:rPr>
        <w:t xml:space="preserve">(B)</w:t>
      </w:r>
      <w:r>
        <w:t xml:space="preserve"> </w:t>
      </w:r>
      <w:r>
        <w:t xml:space="preserve">Film items (F1-F3) and task items (T1-T3) are associated with the context states active when they are encoded, shown as gray squares.</w:t>
      </w:r>
      <w:r>
        <w:t xml:space="preserve"> </w:t>
      </w:r>
      <w:r>
        <w:t xml:space="preserve">Reminder cues increase overlap between the sequence of film context states and the context states active during task encoding.</w:t>
      </w:r>
      <w:r>
        <w:t xml:space="preserve"> </w:t>
      </w:r>
      <w:r>
        <w:t xml:space="preserve">Strong task encoding strengthens the binding between task items and those overlapping states.</w:t>
      </w:r>
      <w:r>
        <w:t xml:space="preserve"> </w:t>
      </w:r>
      <w:r>
        <w:t xml:space="preserve">Together, overlap and binding make task items more likely to compete with film items at retrieval.</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In unguided retrieval, ongoing context can cue film items and task competitors together.</w:t>
      </w:r>
      <w:r>
        <w:t xml:space="preserve"> </w:t>
      </w:r>
      <w:r>
        <w:t xml:space="preserve">In deliberate recall, start-of-list context reinstatement increases film support, and retrieval selectivity makes that support advantage more consequential while task competitors remain available.</w:t>
      </w:r>
      <w:r>
        <w:t xml:space="preserve"> </w:t>
      </w:r>
      <w:r>
        <w:t xml:space="preserve">Blue marks film items or film support, green marks reminder cues, and gray marks neutral, delay, comparison, or context-state information.</w:t>
      </w:r>
      <w:r>
        <w:t xml:space="preserve"> </w:t>
      </w:r>
      <w:r>
        <w:t xml:space="preserve">Orange marks task items, task-associated context states, and task support.</w:t>
      </w:r>
      <w:r>
        <w:t xml:space="preserve"> </w:t>
      </w:r>
      <w:r>
        <w:t xml:space="preserve">Solid arrows mark context-updating or retrieval operations.</w:t>
      </w:r>
      <w:r>
        <w:t xml:space="preserve"> </w:t>
      </w:r>
      <w:r>
        <w:t xml:space="preserve">Dashed orange arrows and outlines mark task competitors that are still available but less favored.</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supplied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target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30"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46"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53"/>
    <w:bookmarkEnd w:id="54"/>
    <w:bookmarkStart w:id="84"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55"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context similarity; task support share</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55"/>
    <w:bookmarkStart w:id="57"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56"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6"/>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57"/>
    <w:bookmarkStart w:id="63"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multiplier, serial-position curves show retrieval-test outcomes sorted by where each item appeared in the encoded sequence.</w:t>
      </w:r>
      <w:r>
        <w:t xml:space="preserve"> </w:t>
      </w:r>
      <w:r>
        <w:t xml:space="preserve">Figure 2 also inspects two internal model quantities that help explain those recall curves.</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support-allocation analysis asks how much retrieval support would go to task items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computes task support divided by total film-plus-task support.</w:t>
      </w:r>
    </w:p>
    <w:bookmarkStart w:id="58"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8"/>
    <w:p>
      <w:pPr>
        <w:pStyle w:val="AfterWithoutNote"/>
      </w:pPr>
      <w:r>
        <w:t xml:space="preserve"> </w:t>
      </w:r>
    </w:p>
    <w:bookmarkStart w:id="62"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varies task encoding strength with or without a sequential film reminder before task encoding; higher values mean stronger encoding of task items into the current context.</w:t>
      </w:r>
      <w:r>
        <w:t xml:space="preserve"> </w:t>
      </w:r>
      <w:r>
        <w:rPr>
          <w:b/>
          <w:bCs/>
        </w:rPr>
        <w:t xml:space="preserve">(A-B)</w:t>
      </w:r>
      <w:r>
        <w:t xml:space="preserve"> </w:t>
      </w:r>
      <w:r>
        <w:t xml:space="preserve">Curves plot recall probability at the retrieval test for each encoded position.</w:t>
      </w:r>
      <w:r>
        <w:t xml:space="preserve"> </w:t>
      </w:r>
      <w:r>
        <w:t xml:space="preserve">Blue, orange, and gray bands mark the film, task, and delay/filler portions of the encoded sequence.</w:t>
      </w:r>
      <w:r>
        <w:t xml:space="preserve"> </w:t>
      </w:r>
      <w:r>
        <w:t xml:space="preserve">Without a reminder, stronger task encoding produces modest loss of film recall and modest gain in task recall; with a reminder, recall shifts more strongly from film positions to task positions.</w:t>
      </w:r>
      <w:r>
        <w:t xml:space="preserve"> </w:t>
      </w:r>
      <w:r>
        <w:rPr>
          <w:b/>
          <w:bCs/>
        </w:rPr>
        <w:t xml:space="preserve">(C)</w:t>
      </w:r>
      <w:r>
        <w:t xml:space="preserve"> </w:t>
      </w:r>
      <w:r>
        <w:t xml:space="preserve">Heat maps plot temporal-context similarity between each film-position context and each task-encoding context.</w:t>
      </w:r>
      <w:r>
        <w:t xml:space="preserve"> </w:t>
      </w:r>
      <w:r>
        <w:t xml:space="preserve">The reminder makes task-encoding contexts more similar to particular positions in the sequence of film context states.</w:t>
      </w:r>
      <w:r>
        <w:t xml:space="preserve"> </w:t>
      </w:r>
      <w:r>
        <w:rPr>
          <w:b/>
          <w:bCs/>
        </w:rPr>
        <w:t xml:space="preserve">(D)</w:t>
      </w:r>
      <w:r>
        <w:t xml:space="preserve"> </w:t>
      </w:r>
      <w:r>
        <w:t xml:space="preserve">Task support share is the proportion of film-plus-task item support assigned to task items when an average film-context probe cues item support after task encoding.</w:t>
      </w:r>
      <w:r>
        <w:t xml:space="preserve"> </w:t>
      </w:r>
      <w:r>
        <w:t xml:space="preserve">The reminder increases this task support share as task encoding strengthens.</w:t>
      </w:r>
    </w:p>
    <w:p>
      <w:pPr>
        <w:pStyle w:val="FigureWithoutNote"/>
      </w:pPr>
      <w:r>
        <w:drawing>
          <wp:inline>
            <wp:extent cx="5943600" cy="3478005"/>
            <wp:effectExtent b="0" l="0" r="0" t="0"/>
            <wp:docPr descr="" title="" id="60" name="Picture"/>
            <a:graphic>
              <a:graphicData uri="http://schemas.openxmlformats.org/drawingml/2006/picture">
                <pic:pic>
                  <pic:nvPicPr>
                    <pic:cNvPr descr="figures/simulation1_context_binding.png" id="61" name="Picture"/>
                    <pic:cNvPicPr>
                      <a:picLocks noChangeArrowheads="1" noChangeAspect="1"/>
                    </pic:cNvPicPr>
                  </pic:nvPicPr>
                  <pic:blipFill>
                    <a:blip r:embed="rId59"/>
                    <a:stretch>
                      <a:fillRect/>
                    </a:stretch>
                  </pic:blipFill>
                  <pic:spPr bwMode="auto">
                    <a:xfrm>
                      <a:off x="0" y="0"/>
                      <a:ext cx="5943600" cy="3478005"/>
                    </a:xfrm>
                    <a:prstGeom prst="rect">
                      <a:avLst/>
                    </a:prstGeom>
                    <a:noFill/>
                    <a:ln w="9525">
                      <a:noFill/>
                      <a:headEnd/>
                      <a:tailEnd/>
                    </a:ln>
                  </pic:spPr>
                </pic:pic>
              </a:graphicData>
            </a:graphic>
          </wp:inline>
        </w:drawing>
      </w:r>
    </w:p>
    <w:bookmarkEnd w:id="62"/>
    <w:p>
      <w:pPr>
        <w:pStyle w:val="AfterWithoutNote"/>
      </w:pPr>
      <w:r>
        <w:t xml:space="preserve">Without a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film reminder, the same task-encoding manipulation produces a larger drop in film-position recall and a larger rise in task-position recall.</w:t>
      </w:r>
      <w:r>
        <w:t xml:space="preserve"> </w:t>
      </w:r>
      <w:r>
        <w:t xml:space="preserve">The with-reminder condition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D quantifies how much support task items receive from the average film-context probe after task encoding, including the source-context support available at that point in the paradigm.</w:t>
      </w:r>
      <w:r>
        <w:t xml:space="preserve"> </w:t>
      </w:r>
      <w:r>
        <w:t xml:space="preserve">As the task encoding multiplier increases, task items receive a larger share of item support when this temporal/source probe is applied, especially after the film reminder.</w:t>
      </w:r>
      <w:r>
        <w:t xml:space="preserve"> </w:t>
      </w:r>
      <w:r>
        <w:t xml:space="preserve">Across multiplier values,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reinstating an early-film context state that favors film items over task competitors.</w:t>
      </w:r>
    </w:p>
    <w:bookmarkEnd w:id="63"/>
    <w:bookmarkStart w:id="72"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The broader Simulation 2 package decomposes deliberate recall into three control settings: start-of-list context reinstatement, retrieval selectivity, and target monitoring.</w:t>
      </w:r>
      <w:r>
        <w:t xml:space="preserve"> </w:t>
      </w:r>
      <w:r>
        <w:t xml:space="preserve">Figure 3 isolates the first setting.</w:t>
      </w:r>
      <w:r>
        <w:t xml:space="preserve"> </w:t>
      </w:r>
      <w:r>
        <w:t xml:space="preserve">In the model, deliberate recall can begin by drifting current context toward the context state from the start of the encoded sequence before the first retrieval attempt.</w:t>
      </w:r>
      <w:r>
        <w:t xml:space="preserve"> </w:t>
      </w:r>
      <w:r>
        <w:t xml:space="preserve">Because the film is encoded first in this paradigm, that start state supports early film items while providing relatively little support for later task or filler items.</w:t>
      </w:r>
      <w:r>
        <w:t xml:space="preserve"> </w:t>
      </w:r>
      <w:r>
        <w:t xml:space="preserve">This manipulation changes the starting point of memory search while holding the learned film and task associations fixed.</w:t>
      </w:r>
    </w:p>
    <w:p>
      <w:pPr>
        <w:pStyle w:val="BodyText"/>
      </w:pPr>
      <w:r>
        <w:t xml:space="preserve">All Simulation 2 figures presented here use the with-reminder task-encoding condition from Simulation 1, with the task encoding multiplier fixed at 2.0.</w:t>
      </w:r>
      <w:r>
        <w:t xml:space="preserve"> </w:t>
      </w:r>
      <w:r>
        <w:t xml:space="preserve">All conditions also include the fixed partial source-context orientation toward the marked film source described above.</w:t>
      </w:r>
      <w:r>
        <w:t xml:space="preserve"> </w:t>
      </w:r>
      <w:r>
        <w:t xml:space="preserve">Thus,</w:t>
      </w:r>
      <w:r>
        <w:t xml:space="preserve"> </w:t>
      </w:r>
      <w:r>
        <w:t xml:space="preserve">“no start-of-list reinstatement”</w:t>
      </w:r>
      <w:r>
        <w:t xml:space="preserve"> </w:t>
      </w:r>
      <w:r>
        <w:t xml:space="preserve">means no deliberate reinstatement of the temporal start state, not the absence of any film-relevant test context.</w:t>
      </w:r>
      <w:r>
        <w:t xml:space="preserve"> </w:t>
      </w:r>
      <w:r>
        <w:t xml:space="preserve">Figure 3 varies the degree of start-of-list context reinstatement.</w:t>
      </w:r>
      <w:r>
        <w:t xml:space="preserve"> </w:t>
      </w:r>
      <w:r>
        <w:t xml:space="preserve">Reinstatement strength controls how strongly retrieval context is pulled toward the start state before the first retrieval attempt.</w:t>
      </w:r>
      <w:r>
        <w:t xml:space="preserve"> </w:t>
      </w:r>
      <w:r>
        <w:t xml:space="preserve">Values are expressed relative to the fitted start drift rate, so 1.0 corresponds to</w:t>
      </w:r>
      <w:r>
        <w:t xml:space="preserve"> </w:t>
      </w:r>
      <m:oMath>
        <m:sSub>
          <m:e>
            <m:r>
              <m:t>β</m:t>
            </m:r>
          </m:e>
          <m:sub>
            <m:r>
              <m:t>s</m:t>
            </m:r>
            <m:r>
              <m:t>t</m:t>
            </m:r>
            <m:r>
              <m:t>a</m:t>
            </m:r>
            <m:r>
              <m:t>r</m:t>
            </m:r>
            <m:r>
              <m:t>t</m:t>
            </m:r>
          </m:sub>
        </m:sSub>
      </m:oMath>
      <w:r>
        <w:t xml:space="preserve"> </w:t>
      </w:r>
      <w:r>
        <w:t xml:space="preserve">in</w:t>
      </w:r>
      <w:r>
        <w:t xml:space="preserve"> </w:t>
      </w:r>
      <w:hyperlink w:anchor="eq-start-context-reinstatement">
        <w:r>
          <w:rPr>
            <w:rStyle w:val="Hyperlink"/>
          </w:rPr>
          <w:t xml:space="preserve">Equation 14</w:t>
        </w:r>
      </w:hyperlink>
      <w:r>
        <w:t xml:space="preserve">.</w:t>
      </w:r>
    </w:p>
    <w:bookmarkStart w:id="67" w:name="Xe96feb7454d6b23e449dfafb9c326dcfa9c3226"/>
    <w:p>
      <w:pPr>
        <w:pStyle w:val="FigureTitle"/>
      </w:pPr>
      <w:r>
        <w:t xml:space="preserve">Figure 3</w:t>
      </w:r>
    </w:p>
    <w:p>
      <w:pPr>
        <w:pStyle w:val="Caption"/>
      </w:pPr>
      <w:r>
        <w:rPr>
          <w:b/>
          <w:bCs/>
        </w:rPr>
        <w:t xml:space="preserve">Start-of-list context reinstatement protects deliberate film recall by shifting the starting retrieval context.</w:t>
      </w:r>
      <w:r>
        <w:t xml:space="preserve"> </w:t>
      </w:r>
      <w:r>
        <w:t xml:space="preserve">Figure 3 isolates this start-state manipulation in the with-reminder task-encoding condition: before the first retrieval attempt, context is drifted toward the start of the encoded sequence.</w:t>
      </w:r>
      <w:r>
        <w:t xml:space="preserve"> </w:t>
      </w:r>
      <w:r>
        <w:rPr>
          <w:b/>
          <w:bCs/>
        </w:rPr>
        <w:t xml:space="preserve">(A)</w:t>
      </w:r>
      <w:r>
        <w:t xml:space="preserve"> </w:t>
      </w:r>
      <w:r>
        <w:t xml:space="preserve">Curves plot item support before recall begins, by encoded position, before the model samples any response.</w:t>
      </w:r>
      <w:r>
        <w:t xml:space="preserve"> </w:t>
      </w:r>
      <w:r>
        <w:t xml:space="preserve">Stronger reinstatement shifts this support from late filler positions toward early film positions.</w:t>
      </w:r>
      <w:r>
        <w:t xml:space="preserve"> </w:t>
      </w:r>
      <w:r>
        <w:rPr>
          <w:b/>
          <w:bCs/>
        </w:rPr>
        <w:t xml:space="preserve">(B)</w:t>
      </w:r>
      <w:r>
        <w:t xml:space="preserve"> </w:t>
      </w:r>
      <w:r>
        <w:t xml:space="preserve">Curves plot the probability that the first sampled response comes from each encoded position.</w:t>
      </w:r>
      <w:r>
        <w:t xml:space="preserve"> </w:t>
      </w:r>
      <w:r>
        <w:t xml:space="preserve">Recall initiation follows the support shift in Panel A.</w:t>
      </w:r>
      <w:r>
        <w:t xml:space="preserve"> </w:t>
      </w:r>
      <w:r>
        <w:rPr>
          <w:b/>
          <w:bCs/>
        </w:rPr>
        <w:t xml:space="preserve">(C)</w:t>
      </w:r>
      <w:r>
        <w:t xml:space="preserve"> </w:t>
      </w:r>
      <w:r>
        <w:t xml:space="preserve">Curves plot overall recall probability at the retrieval test by encoded position.</w:t>
      </w:r>
      <w:r>
        <w:t xml:space="preserve"> </w:t>
      </w:r>
      <w:r>
        <w:t xml:space="preserve">Across the sampled retrieval sequence, the initial shift carries into overall recall, with the largest gains near the beginning of the film sequence.</w:t>
      </w:r>
    </w:p>
    <w:p>
      <w:pPr>
        <w:pStyle w:val="FigureWithoutNote"/>
      </w:pPr>
      <w:r>
        <w:drawing>
          <wp:inline>
            <wp:extent cx="5943600" cy="4209375"/>
            <wp:effectExtent b="0" l="0" r="0" t="0"/>
            <wp:docPr descr="" title="" id="65" name="Picture"/>
            <a:graphic>
              <a:graphicData uri="http://schemas.openxmlformats.org/drawingml/2006/picture">
                <pic:pic>
                  <pic:nvPicPr>
                    <pic:cNvPr descr="figures/simulation2_start_context_reinstatement.png" id="66" name="Picture"/>
                    <pic:cNvPicPr>
                      <a:picLocks noChangeArrowheads="1" noChangeAspect="1"/>
                    </pic:cNvPicPr>
                  </pic:nvPicPr>
                  <pic:blipFill>
                    <a:blip r:embed="rId64"/>
                    <a:stretch>
                      <a:fillRect/>
                    </a:stretch>
                  </pic:blipFill>
                  <pic:spPr bwMode="auto">
                    <a:xfrm>
                      <a:off x="0" y="0"/>
                      <a:ext cx="5943600" cy="4209375"/>
                    </a:xfrm>
                    <a:prstGeom prst="rect">
                      <a:avLst/>
                    </a:prstGeom>
                    <a:noFill/>
                    <a:ln w="9525">
                      <a:noFill/>
                      <a:headEnd/>
                      <a:tailEnd/>
                    </a:ln>
                  </pic:spPr>
                </pic:pic>
              </a:graphicData>
            </a:graphic>
          </wp:inline>
        </w:drawing>
      </w:r>
    </w:p>
    <w:bookmarkEnd w:id="67"/>
    <w:p>
      <w:pPr>
        <w:pStyle w:val="AfterWithoutNote"/>
      </w:pPr>
      <w:r>
        <w:t xml:space="preserve">Panel A is a model-state readout: it shows how much each encoded position is supported by the retrieval context immediately before the first retrieval attempt, before the model applies the choice, stopping, or context-updating rules.</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summarize sampled retrieval sequences under the same retrieval settings.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extends beyond the first response.</w:t>
      </w:r>
      <w:r>
        <w:t xml:space="preserve"> </w:t>
      </w:r>
      <w:r>
        <w:t xml:space="preserve">Once early film items are sampled, they reinstate nearby early-film context; gradual context drift then keeps later samples closer to the film portion of the encoded sequence.</w:t>
      </w:r>
      <w:r>
        <w:t xml:space="preserve"> </w:t>
      </w:r>
      <w:r>
        <w:t xml:space="preserve">Under the strong task setting used here, task items remain available to be sampled later in the sequence, so the next step is to examine how selection operates after retrieval has been oriented toward early film context.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so candidates with stronger current support are selected more disproportionately often.</w:t>
      </w:r>
      <w:r>
        <w:t xml:space="preserve"> </w:t>
      </w:r>
      <w:r>
        <w:t xml:space="preserve">Figure 4 crosses retrieval selectivity with start-of-list context reinstatement while holding fixed the same with-reminder task-encoding condition used in Figure 3.</w:t>
      </w:r>
      <w:r>
        <w:t xml:space="preserve"> </w:t>
      </w:r>
      <w:r>
        <w:t xml:space="preserve">The final panel examines target monitoring through rejected-sample updating.</w:t>
      </w:r>
      <w:r>
        <w:t xml:space="preserve"> </w:t>
      </w:r>
      <w:r>
        <w:t xml:space="preserve">After an off-target candidate is sampled, the model varies how much that candidate updates context before search continues.</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1" w:name="fig-simulation2-retrieval-selectivity"/>
    <w:p>
      <w:pPr>
        <w:pStyle w:val="FigureTitle"/>
      </w:pPr>
      <w:r>
        <w:t xml:space="preserve">Figure 4</w:t>
      </w:r>
    </w:p>
    <w:p>
      <w:pPr>
        <w:pStyle w:val="Caption"/>
      </w:pPr>
      <w:r>
        <w:rPr>
          <w:b/>
          <w:bCs/>
        </w:rPr>
        <w:t xml:space="preserve">Retrieval selectivity amplifies the context already in place, while target monitoring limits drift after off-target samples.</w:t>
      </w:r>
      <w:r>
        <w:t xml:space="preserve"> </w:t>
      </w:r>
      <w:r>
        <w:t xml:space="preserve">Simulation 2 varies retrieval selectivity in the with-reminder task-encoding condition, with or without start-of-list context reinstatement, and then examines rejected-sample updating to show why selective sampling and monitoring depend on the retrieval context already in place.</w:t>
      </w:r>
      <w:r>
        <w:t xml:space="preserve"> </w:t>
      </w:r>
      <w:r>
        <w:rPr>
          <w:b/>
          <w:bCs/>
        </w:rPr>
        <w:t xml:space="preserve">(A)</w:t>
      </w:r>
      <w:r>
        <w:t xml:space="preserve"> </w:t>
      </w:r>
      <w:r>
        <w:t xml:space="preserve">The transition plot gives the conditional probability that one recall is followed by another item at each encoded lag.</w:t>
      </w:r>
      <w:r>
        <w:t xml:space="preserve"> </w:t>
      </w:r>
      <w:r>
        <w:t xml:space="preserve">Higher selectivity increases short-lag transitions when retrieval starts from early-film context.</w:t>
      </w:r>
      <w:r>
        <w:t xml:space="preserve"> </w:t>
      </w:r>
      <w:r>
        <w:rPr>
          <w:b/>
          <w:bCs/>
        </w:rPr>
        <w:t xml:space="preserve">(B-C)</w:t>
      </w:r>
      <w:r>
        <w:t xml:space="preserve"> </w:t>
      </w:r>
      <w:r>
        <w:t xml:space="preserve">Curves plot overall recall probability at the retrieval test by encoded position.</w:t>
      </w:r>
      <w:r>
        <w:t xml:space="preserve"> </w:t>
      </w:r>
      <w:r>
        <w:t xml:space="preserve">Across sampled retrieval sequences, higher selectivity favors late non-film positions without start-of-list reinstatement and film positions with it.</w:t>
      </w:r>
      <w:r>
        <w:t xml:space="preserve"> </w:t>
      </w:r>
      <w:r>
        <w:rPr>
          <w:b/>
          <w:bCs/>
        </w:rPr>
        <w:t xml:space="preserve">(D)</w:t>
      </w:r>
      <w:r>
        <w:t xml:space="preserve"> </w:t>
      </w:r>
      <w:r>
        <w:t xml:space="preserve">The plot gives the probability that the next sampled item is a film item after an off-target sample.</w:t>
      </w:r>
      <w:r>
        <w:t xml:space="preserve"> </w:t>
      </w:r>
      <w:r>
        <w:t xml:space="preserve">Reducing off-target context updating helps retrieval return to film only when start-of-list reinstatement has already made film items accessible.</w:t>
      </w:r>
    </w:p>
    <w:p>
      <w:pPr>
        <w:pStyle w:val="FigureWithoutNote"/>
      </w:pPr>
      <w:r>
        <w:drawing>
          <wp:inline>
            <wp:extent cx="5943600" cy="4052068"/>
            <wp:effectExtent b="0" l="0" r="0" t="0"/>
            <wp:docPr descr="" title="" id="69" name="Picture"/>
            <a:graphic>
              <a:graphicData uri="http://schemas.openxmlformats.org/drawingml/2006/picture">
                <pic:pic>
                  <pic:nvPicPr>
                    <pic:cNvPr descr="figures/simulation2_retrieval_selectivity.png" id="70" name="Picture"/>
                    <pic:cNvPicPr>
                      <a:picLocks noChangeArrowheads="1" noChangeAspect="1"/>
                    </pic:cNvPicPr>
                  </pic:nvPicPr>
                  <pic:blipFill>
                    <a:blip r:embed="rId68"/>
                    <a:stretch>
                      <a:fillRect/>
                    </a:stretch>
                  </pic:blipFill>
                  <pic:spPr bwMode="auto">
                    <a:xfrm>
                      <a:off x="0" y="0"/>
                      <a:ext cx="5943600" cy="4052068"/>
                    </a:xfrm>
                    <a:prstGeom prst="rect">
                      <a:avLst/>
                    </a:prstGeom>
                    <a:noFill/>
                    <a:ln w="9525">
                      <a:noFill/>
                      <a:headEnd/>
                      <a:tailEnd/>
                    </a:ln>
                  </pic:spPr>
                </pic:pic>
              </a:graphicData>
            </a:graphic>
          </wp:inline>
        </w:drawing>
      </w:r>
    </w:p>
    <w:bookmarkEnd w:id="71"/>
    <w:p>
      <w:pPr>
        <w:pStyle w:val="AfterWithoutNote"/>
      </w:pPr>
      <w:r>
        <w:t xml:space="preserve">Values near zero in the lag-CRP indicate local transitions; because the Luce choice rule exaggerates differences in candidate support, higher retrieval-selectivity values make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establishes a retrieval context that supports early film items more than task or filler competitors, retrieval selectivity amplifies differences in whatever the current context supports, and target monitoring limits the context-updating consequences of sampled off-target candidates.</w:t>
      </w:r>
      <w:r>
        <w:t xml:space="preserve"> </w:t>
      </w:r>
      <w:r>
        <w:t xml:space="preserve">This sequence sets up a contrast with test-phase film cues.</w:t>
      </w:r>
      <w:r>
        <w:t xml:space="preserve"> </w:t>
      </w:r>
      <w:r>
        <w:t xml:space="preserve">Unlike the pre-task film reminder that makes task encoding film-related, Simulation 3 presents film items during retrieval as external cues.</w:t>
      </w:r>
      <w:r>
        <w:t xml:space="preserve"> </w:t>
      </w:r>
      <w:r>
        <w:t xml:space="preserve">Their protective value depends on whether the reinstated context favors film items over task competitors.</w:t>
      </w:r>
    </w:p>
    <w:bookmarkEnd w:id="72"/>
    <w:bookmarkStart w:id="77" w:name="X5839f0b8c81129db231162d4b757efaeea9cdbb"/>
    <w:p>
      <w:pPr>
        <w:pStyle w:val="Heading2"/>
      </w:pPr>
      <w:r>
        <w:t xml:space="preserve">Simulation 3: Test-Phase Film Cues and Retrieval Intentionality</w:t>
      </w:r>
    </w:p>
    <w:p>
      <w:pPr>
        <w:pStyle w:val="FirstParagraph"/>
      </w:pPr>
      <w:r>
        <w:t xml:space="preserve">Simulation 3 asks whether test-phase film cues have the same protective value as deliberate start-of-list reinstatement.</w:t>
      </w:r>
      <w:r>
        <w:t xml:space="preserve"> </w:t>
      </w:r>
      <w:r>
        <w:t xml:space="preserve">In the model, these cues are implemented as randomly selected film items supplied during retrieval: after every fourth retrieval attempt, the supplied film item updates temporal and source context through its feature-to-context associations, after which ordinary retrieval resumes.</w:t>
      </w:r>
      <w:r>
        <w:t xml:space="preserve"> </w:t>
      </w:r>
      <w:r>
        <w:t xml:space="preserve">The supplied item does not occupy a response slot, does not become unavailable for later recall, and adds no new learning.</w:t>
      </w:r>
      <w:r>
        <w:t xml:space="preserve"> </w:t>
      </w:r>
      <w:r>
        <w:t xml:space="preserve">Cue strength controls how strongly each supplied film item pulls context toward the film state associated with that item.</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76" w:name="fig-simulation3-film-cue-inclusion"/>
    <w:p>
      <w:pPr>
        <w:pStyle w:val="FigureTitle"/>
      </w:pPr>
      <w:r>
        <w:t xml:space="preserve">Figure 5</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74" name="Picture"/>
            <a:graphic>
              <a:graphicData uri="http://schemas.openxmlformats.org/drawingml/2006/picture">
                <pic:pic>
                  <pic:nvPicPr>
                    <pic:cNvPr descr="figures/simulation3_film_cue_inclusion.png" id="75" name="Picture"/>
                    <pic:cNvPicPr>
                      <a:picLocks noChangeArrowheads="1" noChangeAspect="1"/>
                    </pic:cNvPicPr>
                  </pic:nvPicPr>
                  <pic:blipFill>
                    <a:blip r:embed="rId73"/>
                    <a:stretch>
                      <a:fillRect/>
                    </a:stretch>
                  </pic:blipFill>
                  <pic:spPr bwMode="auto">
                    <a:xfrm>
                      <a:off x="0" y="0"/>
                      <a:ext cx="5943600" cy="4164783"/>
                    </a:xfrm>
                    <a:prstGeom prst="rect">
                      <a:avLst/>
                    </a:prstGeom>
                    <a:noFill/>
                    <a:ln w="9525">
                      <a:noFill/>
                      <a:headEnd/>
                      <a:tailEnd/>
                    </a:ln>
                  </pic:spPr>
                </pic:pic>
              </a:graphicData>
            </a:graphic>
          </wp:inline>
        </w:drawing>
      </w:r>
    </w:p>
    <w:bookmarkEnd w:id="76"/>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cue benefit from gap reduction: a test-phase film cue can increase film recall after search has begun without producing the early-film starting context supplied by Simulation 2’s start-of-list reinstatement.</w:t>
      </w:r>
      <w:r>
        <w:t xml:space="preserve"> </w:t>
      </w:r>
      <w:r>
        <w:t xml:space="preserve">At stronger cue values, the intentionality gap begins to narrow because cue-driven context reinstatement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77"/>
    <w:bookmarkStart w:id="82" w:name="X4b971085a32b00b7d6d10c2980fa2959349f2f4"/>
    <w:p>
      <w:pPr>
        <w:pStyle w:val="Heading2"/>
      </w:pPr>
      <w:r>
        <w:t xml:space="preserve">Simulation 4: Context-to-Item and Item-to-Context Test Formats</w:t>
      </w:r>
    </w:p>
    <w:p>
      <w:pPr>
        <w:pStyle w:val="FirstParagraph"/>
      </w:pPr>
      <w:r>
        <w:t xml:space="preserve">Simulation 4 asks what changes when the test supplies a film item as the object of access, rather than using a film cue to update context during an ongoing recall search.</w:t>
      </w:r>
      <w:r>
        <w:t xml:space="preserve"> </w:t>
      </w:r>
      <w:hyperlink w:anchor="fig-simulation4-test-format-schematic">
        <w:r>
          <w:rPr>
            <w:rStyle w:val="Hyperlink"/>
          </w:rPr>
          <w:t xml:space="preserve">Figure 6</w:t>
        </w:r>
      </w:hyperlink>
      <w:r>
        <w:t xml:space="preserve"> </w:t>
      </w:r>
      <w:r>
        <w:t xml:space="preserve">schematizes this distinction.</w:t>
      </w:r>
      <w:r>
        <w:t xml:space="preserve"> </w:t>
      </w:r>
      <w:r>
        <w:t xml:space="preserve">In Simulation 3, supplied film cues update context between retrieval attempts, but the next response still has to be selected from candidates supported by the current context.</w:t>
      </w:r>
      <w:r>
        <w:t xml:space="preserve"> </w:t>
      </w:r>
      <w:r>
        <w:t xml:space="preserve">In Simulation 4, the film item is supplied by the test, so that item does not first have to win context-to-item selection against task items supported by overlapping context.</w:t>
      </w:r>
    </w:p>
    <w:p>
      <w:pPr>
        <w:pStyle w:val="BodyText"/>
      </w:pPr>
      <w:r>
        <w:t xml:space="preserve">This distinction is relevant to recognition-like tests, but the simulation targets the supplied-item access problem rather than a full recognition decision process.</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81"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item-cued or recognition-like tests can preserve access even when context-guided recall remains sensitive to interference.</w:t>
      </w:r>
    </w:p>
    <w:p>
      <w:pPr>
        <w:pStyle w:val="FigureWithoutNote"/>
      </w:pPr>
      <w:r>
        <w:drawing>
          <wp:inline>
            <wp:extent cx="5943600" cy="2773680"/>
            <wp:effectExtent b="0" l="0" r="0" t="0"/>
            <wp:docPr descr="" title="" id="79" name="Picture"/>
            <a:graphic>
              <a:graphicData uri="http://schemas.openxmlformats.org/drawingml/2006/picture">
                <pic:pic>
                  <pic:nvPicPr>
                    <pic:cNvPr descr="figures/simulation4_test_format_schematic.png" id="80" name="Picture"/>
                    <pic:cNvPicPr>
                      <a:picLocks noChangeArrowheads="1" noChangeAspect="1"/>
                    </pic:cNvPicPr>
                  </pic:nvPicPr>
                  <pic:blipFill>
                    <a:blip r:embed="rId78"/>
                    <a:stretch>
                      <a:fillRect/>
                    </a:stretch>
                  </pic:blipFill>
                  <pic:spPr bwMode="auto">
                    <a:xfrm>
                      <a:off x="0" y="0"/>
                      <a:ext cx="5943600" cy="2773680"/>
                    </a:xfrm>
                    <a:prstGeom prst="rect">
                      <a:avLst/>
                    </a:prstGeom>
                    <a:noFill/>
                    <a:ln w="9525">
                      <a:noFill/>
                      <a:headEnd/>
                      <a:tailEnd/>
                    </a:ln>
                  </pic:spPr>
                </pic:pic>
              </a:graphicData>
            </a:graphic>
          </wp:inline>
        </w:drawing>
      </w:r>
    </w:p>
    <w:bookmarkEnd w:id="81"/>
    <w:bookmarkEnd w:id="82"/>
    <w:bookmarkStart w:id="83"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83"/>
    <w:bookmarkEnd w:id="84"/>
    <w:bookmarkStart w:id="85" w:name="general-discussion"/>
    <w:p>
      <w:pPr>
        <w:pStyle w:val="Heading1"/>
      </w:pPr>
      <w:r>
        <w:t xml:space="preserve">General Discussion</w:t>
      </w:r>
    </w:p>
    <w:bookmarkEnd w:id="85"/>
    <w:bookmarkStart w:id="168" w:name="references"/>
    <w:p>
      <w:pPr>
        <w:pStyle w:val="Heading1"/>
      </w:pPr>
      <w:r>
        <w:t xml:space="preserve">References</w:t>
      </w:r>
    </w:p>
    <w:bookmarkStart w:id="167" w:name="refs"/>
    <w:bookmarkStart w:id="8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6">
        <w:r>
          <w:rPr>
            <w:rStyle w:val="Hyperlink"/>
          </w:rPr>
          <w:t xml:space="preserve">https://doi.org/10.1016/j.jpsychires.2023.01.028</w:t>
        </w:r>
      </w:hyperlink>
    </w:p>
    <w:bookmarkEnd w:id="87"/>
    <w:bookmarkStart w:id="89"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88">
        <w:r>
          <w:rPr>
            <w:rStyle w:val="Hyperlink"/>
          </w:rPr>
          <w:t xml:space="preserve">https://doi.org/10.1037/0096-3445.129.1.126</w:t>
        </w:r>
      </w:hyperlink>
    </w:p>
    <w:bookmarkEnd w:id="89"/>
    <w:bookmarkStart w:id="91"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90">
        <w:r>
          <w:rPr>
            <w:rStyle w:val="Hyperlink"/>
          </w:rPr>
          <w:t xml:space="preserve">https://doi.org/10.1098/rsif.2023.0108</w:t>
        </w:r>
      </w:hyperlink>
    </w:p>
    <w:bookmarkEnd w:id="91"/>
    <w:bookmarkStart w:id="93"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92">
        <w:r>
          <w:rPr>
            <w:rStyle w:val="Hyperlink"/>
          </w:rPr>
          <w:t xml:space="preserve">https://doi.org/10.3758/s13420-024-00645-0</w:t>
        </w:r>
      </w:hyperlink>
    </w:p>
    <w:bookmarkEnd w:id="93"/>
    <w:bookmarkStart w:id="95"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94">
        <w:r>
          <w:rPr>
            <w:rStyle w:val="Hyperlink"/>
          </w:rPr>
          <w:t xml:space="preserve">https://doi.org/10.1037/a0033722</w:t>
        </w:r>
      </w:hyperlink>
    </w:p>
    <w:bookmarkEnd w:id="95"/>
    <w:bookmarkStart w:id="97"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96">
        <w:r>
          <w:rPr>
            <w:rStyle w:val="Hyperlink"/>
          </w:rPr>
          <w:t xml:space="preserve">https://doi.org/10.1037/0033-295X.103.4.670</w:t>
        </w:r>
      </w:hyperlink>
    </w:p>
    <w:bookmarkEnd w:id="97"/>
    <w:bookmarkStart w:id="99"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8">
        <w:r>
          <w:rPr>
            <w:rStyle w:val="Hyperlink"/>
          </w:rPr>
          <w:t xml:space="preserve">https://doi.org/10.1037/a0018113</w:t>
        </w:r>
      </w:hyperlink>
    </w:p>
    <w:bookmarkEnd w:id="99"/>
    <w:bookmarkStart w:id="101"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00">
        <w:r>
          <w:rPr>
            <w:rStyle w:val="Hyperlink"/>
          </w:rPr>
          <w:t xml:space="preserve">https://doi.org/10.1037/rev0000334</w:t>
        </w:r>
      </w:hyperlink>
    </w:p>
    <w:bookmarkEnd w:id="101"/>
    <w:bookmarkStart w:id="103"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02">
        <w:r>
          <w:rPr>
            <w:rStyle w:val="Hyperlink"/>
          </w:rPr>
          <w:t xml:space="preserve">https://doi.org/10.1016/j.jbtep.2011.10.008</w:t>
        </w:r>
      </w:hyperlink>
    </w:p>
    <w:bookmarkEnd w:id="103"/>
    <w:bookmarkStart w:id="104"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04"/>
    <w:bookmarkStart w:id="106"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05">
        <w:r>
          <w:rPr>
            <w:rStyle w:val="Hyperlink"/>
          </w:rPr>
          <w:t xml:space="preserve">https://doi.org/10.1016/S0005-7967(99)00123-0</w:t>
        </w:r>
      </w:hyperlink>
    </w:p>
    <w:bookmarkEnd w:id="106"/>
    <w:bookmarkStart w:id="108"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7">
        <w:r>
          <w:rPr>
            <w:rStyle w:val="Hyperlink"/>
          </w:rPr>
          <w:t xml:space="preserve">https://doi.org/10.1016/j.actpsy.2007.11.002</w:t>
        </w:r>
      </w:hyperlink>
    </w:p>
    <w:bookmarkEnd w:id="108"/>
    <w:bookmarkStart w:id="110"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9">
        <w:r>
          <w:rPr>
            <w:rStyle w:val="Hyperlink"/>
          </w:rPr>
          <w:t xml:space="preserve">https://doi.org/10.1037/0096-3445.133.1.3</w:t>
        </w:r>
      </w:hyperlink>
    </w:p>
    <w:bookmarkEnd w:id="110"/>
    <w:bookmarkStart w:id="112"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11">
        <w:r>
          <w:rPr>
            <w:rStyle w:val="Hyperlink"/>
          </w:rPr>
          <w:t xml:space="preserve">https://doi.org/10.1371/journal.pone.0004153</w:t>
        </w:r>
      </w:hyperlink>
    </w:p>
    <w:bookmarkEnd w:id="112"/>
    <w:bookmarkStart w:id="114"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13">
        <w:r>
          <w:rPr>
            <w:rStyle w:val="Hyperlink"/>
          </w:rPr>
          <w:t xml:space="preserve">https://doi.org/10.1371/journal.pone.0013706</w:t>
        </w:r>
      </w:hyperlink>
    </w:p>
    <w:bookmarkEnd w:id="114"/>
    <w:bookmarkStart w:id="116"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15">
        <w:r>
          <w:rPr>
            <w:rStyle w:val="Hyperlink"/>
          </w:rPr>
          <w:t xml:space="preserve">https://doi.org/10.1016/j.brat.2017.03.018</w:t>
        </w:r>
      </w:hyperlink>
    </w:p>
    <w:bookmarkEnd w:id="116"/>
    <w:bookmarkStart w:id="11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7">
        <w:r>
          <w:rPr>
            <w:rStyle w:val="Hyperlink"/>
          </w:rPr>
          <w:t xml:space="preserve">https://doi.org/10.1006/jmps.2001.1388</w:t>
        </w:r>
      </w:hyperlink>
    </w:p>
    <w:bookmarkEnd w:id="118"/>
    <w:bookmarkStart w:id="11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9"/>
    <w:bookmarkStart w:id="12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20">
        <w:r>
          <w:rPr>
            <w:rStyle w:val="Hyperlink"/>
          </w:rPr>
          <w:t xml:space="preserve">https://doi.org/10.1101/lm.1022308</w:t>
        </w:r>
      </w:hyperlink>
    </w:p>
    <w:bookmarkEnd w:id="121"/>
    <w:bookmarkStart w:id="12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22">
        <w:r>
          <w:rPr>
            <w:rStyle w:val="Hyperlink"/>
          </w:rPr>
          <w:t xml:space="preserve">https://doi.org/10.1038/mp.2017.23</w:t>
        </w:r>
      </w:hyperlink>
    </w:p>
    <w:bookmarkEnd w:id="123"/>
    <w:bookmarkStart w:id="12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24">
        <w:r>
          <w:rPr>
            <w:rStyle w:val="Hyperlink"/>
          </w:rPr>
          <w:t xml:space="preserve">https://doi.org/10.1016/j.cpr.2018.08.005</w:t>
        </w:r>
      </w:hyperlink>
    </w:p>
    <w:bookmarkEnd w:id="125"/>
    <w:bookmarkStart w:id="12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26">
        <w:r>
          <w:rPr>
            <w:rStyle w:val="Hyperlink"/>
          </w:rPr>
          <w:t xml:space="preserve">https://doi.org/10.1177/0956797615583071</w:t>
        </w:r>
      </w:hyperlink>
    </w:p>
    <w:bookmarkEnd w:id="127"/>
    <w:bookmarkStart w:id="12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28">
        <w:r>
          <w:rPr>
            <w:rStyle w:val="Hyperlink"/>
          </w:rPr>
          <w:t xml:space="preserve">https://doi.org/10.1016/j.cpr.2016.04.010</w:t>
        </w:r>
      </w:hyperlink>
    </w:p>
    <w:bookmarkEnd w:id="129"/>
    <w:bookmarkStart w:id="130"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30"/>
    <w:bookmarkStart w:id="132"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31">
        <w:r>
          <w:rPr>
            <w:rStyle w:val="Hyperlink"/>
          </w:rPr>
          <w:t xml:space="preserve">https://doi.org/10.1002/cpp.2489</w:t>
        </w:r>
      </w:hyperlink>
    </w:p>
    <w:bookmarkEnd w:id="132"/>
    <w:bookmarkStart w:id="13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33">
        <w:r>
          <w:rPr>
            <w:rStyle w:val="Hyperlink"/>
          </w:rPr>
          <w:t xml:space="preserve">https://doi.org/10.1016/j.jbtep.2019.01.006</w:t>
        </w:r>
      </w:hyperlink>
    </w:p>
    <w:bookmarkEnd w:id="134"/>
    <w:bookmarkStart w:id="13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35">
        <w:r>
          <w:rPr>
            <w:rStyle w:val="Hyperlink"/>
          </w:rPr>
          <w:t xml:space="preserve">https://doi.org/10.1038/nn.2271</w:t>
        </w:r>
      </w:hyperlink>
    </w:p>
    <w:bookmarkEnd w:id="136"/>
    <w:bookmarkStart w:id="138"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37">
        <w:r>
          <w:rPr>
            <w:rStyle w:val="Hyperlink"/>
          </w:rPr>
          <w:t xml:space="preserve">https://doi.org/10.1523/JNEUROSCI.3378-14.2015</w:t>
        </w:r>
      </w:hyperlink>
    </w:p>
    <w:bookmarkEnd w:id="138"/>
    <w:bookmarkStart w:id="140"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39">
        <w:r>
          <w:rPr>
            <w:rStyle w:val="Hyperlink"/>
          </w:rPr>
          <w:t xml:space="preserve">https://doi.org/10.1002/acp.1611</w:t>
        </w:r>
      </w:hyperlink>
    </w:p>
    <w:bookmarkEnd w:id="140"/>
    <w:bookmarkStart w:id="142"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41">
        <w:r>
          <w:rPr>
            <w:rStyle w:val="Hyperlink"/>
          </w:rPr>
          <w:t xml:space="preserve">https://doi.org/10.1037/xge0000598</w:t>
        </w:r>
      </w:hyperlink>
    </w:p>
    <w:bookmarkEnd w:id="142"/>
    <w:bookmarkStart w:id="144"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43">
        <w:r>
          <w:rPr>
            <w:rStyle w:val="Hyperlink"/>
          </w:rPr>
          <w:t xml:space="preserve">https://doi.org/10.1177/2167702621998315</w:t>
        </w:r>
      </w:hyperlink>
    </w:p>
    <w:bookmarkEnd w:id="144"/>
    <w:bookmarkStart w:id="14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45">
        <w:r>
          <w:rPr>
            <w:rStyle w:val="Hyperlink"/>
          </w:rPr>
          <w:t xml:space="preserve">https://doi.org/10.1037/a0039036</w:t>
        </w:r>
      </w:hyperlink>
    </w:p>
    <w:bookmarkEnd w:id="146"/>
    <w:bookmarkStart w:id="148"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47">
        <w:r>
          <w:rPr>
            <w:rStyle w:val="Hyperlink"/>
          </w:rPr>
          <w:t xml:space="preserve">https://doi.org/10.1016/j.jml.2015.10.002</w:t>
        </w:r>
      </w:hyperlink>
    </w:p>
    <w:bookmarkEnd w:id="148"/>
    <w:bookmarkStart w:id="150"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49">
        <w:r>
          <w:rPr>
            <w:rStyle w:val="Hyperlink"/>
          </w:rPr>
          <w:t xml:space="preserve">https://doi.org/10.1037/a0014420</w:t>
        </w:r>
      </w:hyperlink>
    </w:p>
    <w:bookmarkEnd w:id="150"/>
    <w:bookmarkStart w:id="152"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51">
        <w:r>
          <w:rPr>
            <w:rStyle w:val="Hyperlink"/>
          </w:rPr>
          <w:t xml:space="preserve">https://doi.org/10.1016/j.neuropsychologia.2009.02.013</w:t>
        </w:r>
      </w:hyperlink>
    </w:p>
    <w:bookmarkEnd w:id="152"/>
    <w:bookmarkStart w:id="154"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53">
        <w:r>
          <w:rPr>
            <w:rStyle w:val="Hyperlink"/>
          </w:rPr>
          <w:t xml:space="preserve">https://doi.org/10.3758/s13423-011-0086-9</w:t>
        </w:r>
      </w:hyperlink>
    </w:p>
    <w:bookmarkEnd w:id="154"/>
    <w:bookmarkStart w:id="15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55">
        <w:r>
          <w:rPr>
            <w:rStyle w:val="Hyperlink"/>
          </w:rPr>
          <w:t xml:space="preserve">https://doi.org/10.1037/a0013396</w:t>
        </w:r>
      </w:hyperlink>
    </w:p>
    <w:bookmarkEnd w:id="156"/>
    <w:bookmarkStart w:id="15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57">
        <w:r>
          <w:rPr>
            <w:rStyle w:val="Hyperlink"/>
          </w:rPr>
          <w:t xml:space="preserve">https://doi.org/10.1037/rev0000132</w:t>
        </w:r>
      </w:hyperlink>
    </w:p>
    <w:bookmarkEnd w:id="158"/>
    <w:bookmarkStart w:id="16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59">
        <w:r>
          <w:rPr>
            <w:rStyle w:val="Hyperlink"/>
          </w:rPr>
          <w:t xml:space="preserve">https://doi.org/10.1038/s41562-024-01956-y</w:t>
        </w:r>
      </w:hyperlink>
    </w:p>
    <w:bookmarkEnd w:id="160"/>
    <w:bookmarkStart w:id="16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61">
        <w:r>
          <w:rPr>
            <w:rStyle w:val="Hyperlink"/>
          </w:rPr>
          <w:t xml:space="preserve">https://doi.org/10.1525/collabra.130791</w:t>
        </w:r>
      </w:hyperlink>
    </w:p>
    <w:bookmarkEnd w:id="162"/>
    <w:bookmarkStart w:id="164"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63">
        <w:r>
          <w:rPr>
            <w:rStyle w:val="Hyperlink"/>
          </w:rPr>
          <w:t xml:space="preserve">https://doi.org/10.1037/0278-7393.32.4.792</w:t>
        </w:r>
      </w:hyperlink>
    </w:p>
    <w:bookmarkEnd w:id="164"/>
    <w:bookmarkStart w:id="166"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165">
        <w:r>
          <w:rPr>
            <w:rStyle w:val="Hyperlink"/>
          </w:rPr>
          <w:t xml:space="preserve">https://doi.org/10.1037/rev0000505</w:t>
        </w:r>
      </w:hyperlink>
    </w:p>
    <w:bookmarkEnd w:id="166"/>
    <w:bookmarkEnd w:id="167"/>
    <w:bookmarkEnd w:id="1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25" Target="media/rId25.png" /><Relationship Type="http://schemas.openxmlformats.org/officeDocument/2006/relationships/hyperlink" Id="rId139" Target="https://doi.org/10.1002/acp.1611" TargetMode="External" /><Relationship Type="http://schemas.openxmlformats.org/officeDocument/2006/relationships/hyperlink" Id="rId131" Target="https://doi.org/10.1002/cpp.2489" TargetMode="External" /><Relationship Type="http://schemas.openxmlformats.org/officeDocument/2006/relationships/hyperlink" Id="rId117" Target="https://doi.org/10.1006/jmps.2001.1388" TargetMode="External" /><Relationship Type="http://schemas.openxmlformats.org/officeDocument/2006/relationships/hyperlink" Id="rId105" Target="https://doi.org/10.1016/S0005-7967(99)00123-0" TargetMode="External" /><Relationship Type="http://schemas.openxmlformats.org/officeDocument/2006/relationships/hyperlink" Id="rId107" Target="https://doi.org/10.1016/j.actpsy.2007.11.002" TargetMode="External" /><Relationship Type="http://schemas.openxmlformats.org/officeDocument/2006/relationships/hyperlink" Id="rId115" Target="https://doi.org/10.1016/j.brat.2017.03.018" TargetMode="External" /><Relationship Type="http://schemas.openxmlformats.org/officeDocument/2006/relationships/hyperlink" Id="rId128" Target="https://doi.org/10.1016/j.cpr.2016.04.010" TargetMode="External" /><Relationship Type="http://schemas.openxmlformats.org/officeDocument/2006/relationships/hyperlink" Id="rId124" Target="https://doi.org/10.1016/j.cpr.2018.08.005" TargetMode="External" /><Relationship Type="http://schemas.openxmlformats.org/officeDocument/2006/relationships/hyperlink" Id="rId102" Target="https://doi.org/10.1016/j.jbtep.2011.10.008" TargetMode="External" /><Relationship Type="http://schemas.openxmlformats.org/officeDocument/2006/relationships/hyperlink" Id="rId133" Target="https://doi.org/10.1016/j.jbtep.2019.01.006" TargetMode="External" /><Relationship Type="http://schemas.openxmlformats.org/officeDocument/2006/relationships/hyperlink" Id="rId147" Target="https://doi.org/10.1016/j.jml.2015.10.002" TargetMode="External" /><Relationship Type="http://schemas.openxmlformats.org/officeDocument/2006/relationships/hyperlink" Id="rId86" Target="https://doi.org/10.1016/j.jpsychires.2023.01.028" TargetMode="External" /><Relationship Type="http://schemas.openxmlformats.org/officeDocument/2006/relationships/hyperlink" Id="rId151" Target="https://doi.org/10.1016/j.neuropsychologia.2009.02.013" TargetMode="External" /><Relationship Type="http://schemas.openxmlformats.org/officeDocument/2006/relationships/hyperlink" Id="rId96" Target="https://doi.org/10.1037/0033-295X.103.4.670" TargetMode="External" /><Relationship Type="http://schemas.openxmlformats.org/officeDocument/2006/relationships/hyperlink" Id="rId88" Target="https://doi.org/10.1037/0096-3445.129.1.126" TargetMode="External" /><Relationship Type="http://schemas.openxmlformats.org/officeDocument/2006/relationships/hyperlink" Id="rId109" Target="https://doi.org/10.1037/0096-3445.133.1.3" TargetMode="External" /><Relationship Type="http://schemas.openxmlformats.org/officeDocument/2006/relationships/hyperlink" Id="rId163" Target="https://doi.org/10.1037/0278-7393.32.4.792" TargetMode="External" /><Relationship Type="http://schemas.openxmlformats.org/officeDocument/2006/relationships/hyperlink" Id="rId155" Target="https://doi.org/10.1037/a0013396" TargetMode="External" /><Relationship Type="http://schemas.openxmlformats.org/officeDocument/2006/relationships/hyperlink" Id="rId149" Target="https://doi.org/10.1037/a0014420" TargetMode="External" /><Relationship Type="http://schemas.openxmlformats.org/officeDocument/2006/relationships/hyperlink" Id="rId98" Target="https://doi.org/10.1037/a0018113" TargetMode="External" /><Relationship Type="http://schemas.openxmlformats.org/officeDocument/2006/relationships/hyperlink" Id="rId94" Target="https://doi.org/10.1037/a0033722" TargetMode="External" /><Relationship Type="http://schemas.openxmlformats.org/officeDocument/2006/relationships/hyperlink" Id="rId145" Target="https://doi.org/10.1037/a0039036" TargetMode="External" /><Relationship Type="http://schemas.openxmlformats.org/officeDocument/2006/relationships/hyperlink" Id="rId157" Target="https://doi.org/10.1037/rev0000132" TargetMode="External" /><Relationship Type="http://schemas.openxmlformats.org/officeDocument/2006/relationships/hyperlink" Id="rId100" Target="https://doi.org/10.1037/rev0000334" TargetMode="External" /><Relationship Type="http://schemas.openxmlformats.org/officeDocument/2006/relationships/hyperlink" Id="rId165" Target="https://doi.org/10.1037/rev0000505" TargetMode="External" /><Relationship Type="http://schemas.openxmlformats.org/officeDocument/2006/relationships/hyperlink" Id="rId141" Target="https://doi.org/10.1037/xge0000598" TargetMode="External" /><Relationship Type="http://schemas.openxmlformats.org/officeDocument/2006/relationships/hyperlink" Id="rId122" Target="https://doi.org/10.1038/mp.2017.23" TargetMode="External" /><Relationship Type="http://schemas.openxmlformats.org/officeDocument/2006/relationships/hyperlink" Id="rId135" Target="https://doi.org/10.1038/nn.2271" TargetMode="External" /><Relationship Type="http://schemas.openxmlformats.org/officeDocument/2006/relationships/hyperlink" Id="rId159" Target="https://doi.org/10.1038/s41562-024-01956-y" TargetMode="External" /><Relationship Type="http://schemas.openxmlformats.org/officeDocument/2006/relationships/hyperlink" Id="rId90" Target="https://doi.org/10.1098/rsif.2023.0108" TargetMode="External" /><Relationship Type="http://schemas.openxmlformats.org/officeDocument/2006/relationships/hyperlink" Id="rId120" Target="https://doi.org/10.1101/lm.1022308" TargetMode="External" /><Relationship Type="http://schemas.openxmlformats.org/officeDocument/2006/relationships/hyperlink" Id="rId126" Target="https://doi.org/10.1177/0956797615583071" TargetMode="External" /><Relationship Type="http://schemas.openxmlformats.org/officeDocument/2006/relationships/hyperlink" Id="rId143" Target="https://doi.org/10.1177/2167702621998315" TargetMode="External" /><Relationship Type="http://schemas.openxmlformats.org/officeDocument/2006/relationships/hyperlink" Id="rId111" Target="https://doi.org/10.1371/journal.pone.0004153" TargetMode="External" /><Relationship Type="http://schemas.openxmlformats.org/officeDocument/2006/relationships/hyperlink" Id="rId113" Target="https://doi.org/10.1371/journal.pone.0013706" TargetMode="External" /><Relationship Type="http://schemas.openxmlformats.org/officeDocument/2006/relationships/hyperlink" Id="rId137" Target="https://doi.org/10.1523/JNEUROSCI.3378-14.2015" TargetMode="External" /><Relationship Type="http://schemas.openxmlformats.org/officeDocument/2006/relationships/hyperlink" Id="rId161" Target="https://doi.org/10.1525/collabra.130791" TargetMode="External" /><Relationship Type="http://schemas.openxmlformats.org/officeDocument/2006/relationships/hyperlink" Id="rId92" Target="https://doi.org/10.3758/s13420-024-00645-0" TargetMode="External" /><Relationship Type="http://schemas.openxmlformats.org/officeDocument/2006/relationships/hyperlink" Id="rId153"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2/acp.1611" TargetMode="External" /><Relationship Type="http://schemas.openxmlformats.org/officeDocument/2006/relationships/hyperlink" Id="rId131" Target="https://doi.org/10.1002/cpp.2489" TargetMode="External" /><Relationship Type="http://schemas.openxmlformats.org/officeDocument/2006/relationships/hyperlink" Id="rId117" Target="https://doi.org/10.1006/jmps.2001.1388" TargetMode="External" /><Relationship Type="http://schemas.openxmlformats.org/officeDocument/2006/relationships/hyperlink" Id="rId105" Target="https://doi.org/10.1016/S0005-7967(99)00123-0" TargetMode="External" /><Relationship Type="http://schemas.openxmlformats.org/officeDocument/2006/relationships/hyperlink" Id="rId107" Target="https://doi.org/10.1016/j.actpsy.2007.11.002" TargetMode="External" /><Relationship Type="http://schemas.openxmlformats.org/officeDocument/2006/relationships/hyperlink" Id="rId115" Target="https://doi.org/10.1016/j.brat.2017.03.018" TargetMode="External" /><Relationship Type="http://schemas.openxmlformats.org/officeDocument/2006/relationships/hyperlink" Id="rId128" Target="https://doi.org/10.1016/j.cpr.2016.04.010" TargetMode="External" /><Relationship Type="http://schemas.openxmlformats.org/officeDocument/2006/relationships/hyperlink" Id="rId124" Target="https://doi.org/10.1016/j.cpr.2018.08.005" TargetMode="External" /><Relationship Type="http://schemas.openxmlformats.org/officeDocument/2006/relationships/hyperlink" Id="rId102" Target="https://doi.org/10.1016/j.jbtep.2011.10.008" TargetMode="External" /><Relationship Type="http://schemas.openxmlformats.org/officeDocument/2006/relationships/hyperlink" Id="rId133" Target="https://doi.org/10.1016/j.jbtep.2019.01.006" TargetMode="External" /><Relationship Type="http://schemas.openxmlformats.org/officeDocument/2006/relationships/hyperlink" Id="rId147" Target="https://doi.org/10.1016/j.jml.2015.10.002" TargetMode="External" /><Relationship Type="http://schemas.openxmlformats.org/officeDocument/2006/relationships/hyperlink" Id="rId86" Target="https://doi.org/10.1016/j.jpsychires.2023.01.028" TargetMode="External" /><Relationship Type="http://schemas.openxmlformats.org/officeDocument/2006/relationships/hyperlink" Id="rId151" Target="https://doi.org/10.1016/j.neuropsychologia.2009.02.013" TargetMode="External" /><Relationship Type="http://schemas.openxmlformats.org/officeDocument/2006/relationships/hyperlink" Id="rId96" Target="https://doi.org/10.1037/0033-295X.103.4.670" TargetMode="External" /><Relationship Type="http://schemas.openxmlformats.org/officeDocument/2006/relationships/hyperlink" Id="rId88" Target="https://doi.org/10.1037/0096-3445.129.1.126" TargetMode="External" /><Relationship Type="http://schemas.openxmlformats.org/officeDocument/2006/relationships/hyperlink" Id="rId109" Target="https://doi.org/10.1037/0096-3445.133.1.3" TargetMode="External" /><Relationship Type="http://schemas.openxmlformats.org/officeDocument/2006/relationships/hyperlink" Id="rId163" Target="https://doi.org/10.1037/0278-7393.32.4.792" TargetMode="External" /><Relationship Type="http://schemas.openxmlformats.org/officeDocument/2006/relationships/hyperlink" Id="rId155" Target="https://doi.org/10.1037/a0013396" TargetMode="External" /><Relationship Type="http://schemas.openxmlformats.org/officeDocument/2006/relationships/hyperlink" Id="rId149" Target="https://doi.org/10.1037/a0014420" TargetMode="External" /><Relationship Type="http://schemas.openxmlformats.org/officeDocument/2006/relationships/hyperlink" Id="rId98" Target="https://doi.org/10.1037/a0018113" TargetMode="External" /><Relationship Type="http://schemas.openxmlformats.org/officeDocument/2006/relationships/hyperlink" Id="rId94" Target="https://doi.org/10.1037/a0033722" TargetMode="External" /><Relationship Type="http://schemas.openxmlformats.org/officeDocument/2006/relationships/hyperlink" Id="rId145" Target="https://doi.org/10.1037/a0039036" TargetMode="External" /><Relationship Type="http://schemas.openxmlformats.org/officeDocument/2006/relationships/hyperlink" Id="rId157" Target="https://doi.org/10.1037/rev0000132" TargetMode="External" /><Relationship Type="http://schemas.openxmlformats.org/officeDocument/2006/relationships/hyperlink" Id="rId100" Target="https://doi.org/10.1037/rev0000334" TargetMode="External" /><Relationship Type="http://schemas.openxmlformats.org/officeDocument/2006/relationships/hyperlink" Id="rId165" Target="https://doi.org/10.1037/rev0000505" TargetMode="External" /><Relationship Type="http://schemas.openxmlformats.org/officeDocument/2006/relationships/hyperlink" Id="rId141" Target="https://doi.org/10.1037/xge0000598" TargetMode="External" /><Relationship Type="http://schemas.openxmlformats.org/officeDocument/2006/relationships/hyperlink" Id="rId122" Target="https://doi.org/10.1038/mp.2017.23" TargetMode="External" /><Relationship Type="http://schemas.openxmlformats.org/officeDocument/2006/relationships/hyperlink" Id="rId135" Target="https://doi.org/10.1038/nn.2271" TargetMode="External" /><Relationship Type="http://schemas.openxmlformats.org/officeDocument/2006/relationships/hyperlink" Id="rId159" Target="https://doi.org/10.1038/s41562-024-01956-y" TargetMode="External" /><Relationship Type="http://schemas.openxmlformats.org/officeDocument/2006/relationships/hyperlink" Id="rId90" Target="https://doi.org/10.1098/rsif.2023.0108" TargetMode="External" /><Relationship Type="http://schemas.openxmlformats.org/officeDocument/2006/relationships/hyperlink" Id="rId120" Target="https://doi.org/10.1101/lm.1022308" TargetMode="External" /><Relationship Type="http://schemas.openxmlformats.org/officeDocument/2006/relationships/hyperlink" Id="rId126" Target="https://doi.org/10.1177/0956797615583071" TargetMode="External" /><Relationship Type="http://schemas.openxmlformats.org/officeDocument/2006/relationships/hyperlink" Id="rId143" Target="https://doi.org/10.1177/2167702621998315" TargetMode="External" /><Relationship Type="http://schemas.openxmlformats.org/officeDocument/2006/relationships/hyperlink" Id="rId111" Target="https://doi.org/10.1371/journal.pone.0004153" TargetMode="External" /><Relationship Type="http://schemas.openxmlformats.org/officeDocument/2006/relationships/hyperlink" Id="rId113" Target="https://doi.org/10.1371/journal.pone.0013706" TargetMode="External" /><Relationship Type="http://schemas.openxmlformats.org/officeDocument/2006/relationships/hyperlink" Id="rId137" Target="https://doi.org/10.1523/JNEUROSCI.3378-14.2015" TargetMode="External" /><Relationship Type="http://schemas.openxmlformats.org/officeDocument/2006/relationships/hyperlink" Id="rId161" Target="https://doi.org/10.1525/collabra.130791" TargetMode="External" /><Relationship Type="http://schemas.openxmlformats.org/officeDocument/2006/relationships/hyperlink" Id="rId92" Target="https://doi.org/10.3758/s13420-024-00645-0" TargetMode="External" /><Relationship Type="http://schemas.openxmlformats.org/officeDocument/2006/relationships/hyperlink" Id="rId153"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2026-06-05T04:39:05Z</dcterms:created>
  <dcterms:modified xsi:type="dcterms:W3CDTF">2026-06-05T04:39:05Z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