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75.png" ContentType="image/png"/>
  <Override PartName="/word/media/rId71.png" ContentType="image/png"/>
  <Override PartName="/word/media/rId66.png" ContentType="image/png"/>
  <Override PartName="/word/media/rId80.png" ContentType="image/png"/>
  <Override PartName="/word/media/rId96.png" ContentType="image/png"/>
  <Override PartName="/word/media/rId84.png" ContentType="image/png"/>
  <Override PartName="/word/media/rId88.png" ContentType="image/png"/>
  <Override PartName="/word/media/rId92.png" ContentType="image/png"/>
  <Override PartName="/word/media/rId101.png" ContentType="image/png"/>
  <Override PartName="/word/media/rId106.png" ContentType="image/png"/>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In the trauma-film paradigm, visuospatial tasks performed after a later film reminder can reduce intrusion-like film access while leaving deliberate recall relatively intact.</w:t>
      </w:r>
      <w:r>
        <w:t xml:space="preserve"> </w:t>
      </w:r>
      <w:r>
        <w:t xml:space="preserve">This selective interference effect is often treated as evidence that intrusion-like and deliberate remembering depend on differently vulnerable memory representations.</w:t>
      </w:r>
      <w:r>
        <w:t xml:space="preserve"> </w:t>
      </w:r>
      <w:r>
        <w:t xml:space="preserve">Here we argue that the same dissociation may follow from how shared film and task associations are accessed differently under unguided and deliberately film-focused retrieval.</w:t>
      </w:r>
      <w:r>
        <w:t xml:space="preserve"> </w:t>
      </w:r>
      <w:r>
        <w:t xml:space="preserve">We develop this alternative proposal in an emotional Context Maintenance and Retrieval (eCMR) model.</w:t>
      </w:r>
      <w:r>
        <w:t xml:space="preserve"> </w:t>
      </w:r>
      <w:r>
        <w:t xml:space="preserve">In the model, a film reminder before the task causes task information to be encoded in a film-like context, allowing later film cues to also activate task-related competitors.</w:t>
      </w:r>
      <w:r>
        <w:t xml:space="preserve"> </w:t>
      </w:r>
      <w:r>
        <w:t xml:space="preserve">Deliberate, film-focused retrieval is relatively spared because film memories are prioritized even when film-like context also brings task-related competitors to mind.</w:t>
      </w:r>
      <w:r>
        <w:t xml:space="preserve"> </w:t>
      </w:r>
      <w:r>
        <w:t xml:space="preserve">Decomposing interference and retrieval control within a retrieved-context model therefore reproduces the selective interference effect and predicts how it manifests in the organization of recall over time.</w:t>
      </w:r>
      <w:r>
        <w:t xml:space="preserve"> </w:t>
      </w:r>
      <w:r>
        <w:t xml:space="preserve">This motivates a more unified treatment of intrusion-like and deliberate remembering within a common computational framework.</w:t>
      </w:r>
    </w:p>
    <w:bookmarkEnd w:id="23"/>
    <w:bookmarkStart w:id="28"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A rational analysis of episodic memory suggests that highly consequential events should be retained well enough for action-relevant details to inform later evaluation, planning, and choice</w:t>
      </w:r>
      <w:r>
        <w:t xml:space="preserve"> </w:t>
      </w:r>
      <w:r>
        <w:t xml:space="preserve">(</w:t>
      </w:r>
      <w:hyperlink w:anchor="ref-boyle2025why">
        <w:r>
          <w:rPr>
            <w:rStyle w:val="Hyperlink"/>
          </w:rPr>
          <w:t xml:space="preserve">Boyle &amp; Brown, 2025</w:t>
        </w:r>
      </w:hyperlink>
      <w:r>
        <w:t xml:space="preserve">;</w:t>
      </w:r>
      <w:r>
        <w:t xml:space="preserve"> </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concerns.</w:t>
      </w:r>
      <w:r>
        <w:t xml:space="preserve"> </w:t>
      </w:r>
      <w:r>
        <w:t xml:space="preserve">Intrusive memories after trauma suggest that durable encoding can outpace regulatory control.</w:t>
      </w:r>
      <w:r>
        <w:t xml:space="preserve"> </w:t>
      </w:r>
      <w:r>
        <w:t xml:space="preserve">In PTSD, the trauma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 </w:t>
      </w:r>
      <w:r>
        <w:t xml:space="preserve">In delayed variants, participants return after about 24 hours to 3 days, receive visual reminder cues for the film, and then complete Tetris; these reminder-plus-Tetris procedures can similarly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Two recent meta-analyses support effects of cognitive interventions on intrusive memories, although the evidence base is heterogeneous and recent null findings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 </w:t>
      </w:r>
      <w:r>
        <w:t xml:space="preserve">This selective interference effect therefore raises a theoretical question:</w:t>
      </w:r>
      <w:r>
        <w:t xml:space="preserve"> </w:t>
      </w:r>
      <w:r>
        <w:t xml:space="preserve">when and why can a task delivered soon after film encoding, or after a later film reminder, alter one mode of retrieval more than another, even while both draw on the same recent experience?</w:t>
      </w:r>
    </w:p>
    <w:p>
      <w:pPr>
        <w:pStyle w:val="BodyText"/>
      </w:pPr>
      <w:r>
        <w:t xml:space="preserve">The empirical target is an interaction, not only a difference between two memory measures.</w:t>
      </w:r>
      <w:r>
        <w:t xml:space="preserve"> </w:t>
      </w:r>
      <w:r>
        <w:t xml:space="preserve">The same interference manipulation should reduce unguided or intrusion-like film output more than deliberate film recall, over and above the general advantage for deliberate recall.</w:t>
      </w:r>
      <w:r>
        <w:t xml:space="preserve"> </w:t>
      </w:r>
      <w:r>
        <w:t xml:space="preserve">In the simulations below, we decompose this broad manipulation into two ingredients: whether a film reminder is presented before the task, and how strongly the task functions as an interference source.</w:t>
      </w:r>
      <w:r>
        <w:t xml:space="preserve"> </w:t>
      </w:r>
      <w:r>
        <w:t xml:space="preserve">This decomposition lets the model ask when a task becomes a strong competitor for film retrieval, and when retrieval control reduces the resulting interference effect.</w:t>
      </w:r>
      <w:r>
        <w:t xml:space="preserve"> </w:t>
      </w:r>
      <w:hyperlink w:anchor="fig-empirical-target">
        <w:r>
          <w:rPr>
            <w:rStyle w:val="Hyperlink"/>
          </w:rPr>
          <w:t xml:space="preserve">Figure 1</w:t>
        </w:r>
      </w:hyperlink>
      <w:r>
        <w:t xml:space="preserve"> </w:t>
      </w:r>
      <w:r>
        <w:t xml:space="preserve">summarizes the modeled paradigm variables and the selective interference contrast.</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crossing reminder condition, intervening task, and retrieval measure.</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empirical_target_figure/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p>
      <w:pPr>
        <w:pStyle w:val="AfterWithoutNote"/>
      </w:pPr>
      <w:r>
        <w:t xml:space="preserve">One prominent family of interpretations treats the selective interference effect as evidence that intrusion-supporting memory representations are more vulnerable to interference than representations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draw on working-memory resources needed to maintain and consolidate sensory-perceptual imagery, reducing intrusion frequency while voluntary-memory measures remain relatively preserved</w:t>
      </w:r>
      <w:r>
        <w:t xml:space="preserve"> </w:t>
      </w:r>
      <w:r>
        <w:t xml:space="preserve">(</w:t>
      </w:r>
      <w:hyperlink w:anchor="ref-baddeley2000working">
        <w:r>
          <w:rPr>
            <w:rStyle w:val="Hyperlink"/>
          </w:rPr>
          <w:t xml:space="preserve">Baddeley &amp; Andrade, 2000</w:t>
        </w:r>
      </w:hyperlink>
      <w:r>
        <w:t xml:space="preserve">;</w:t>
      </w:r>
      <w:r>
        <w:t xml:space="preserve"> </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For interventions delivered after a later reminder,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 interference effect reflects a capacity to intentionally focus retrieval on goal-relevant event information while reducing the influence of competing memories.</w:t>
      </w:r>
    </w:p>
    <w:p>
      <w:pPr>
        <w:pStyle w:val="BodyText"/>
      </w:pPr>
      <w:r>
        <w:t xml:space="preserve">Formal modeling is useful here because the verbal dissociation leaves several commitments underspecified.</w:t>
      </w:r>
      <w:r>
        <w:t xml:space="preserve"> </w:t>
      </w:r>
      <w:r>
        <w:t xml:space="preserve">Computational accounts of emotional memory have begun to formalize how emotional-context retrieval dynamics can produce intrusions and how reminder cues and intervention strength alter the persistence of intrusive memories</w:t>
      </w:r>
      <w:r>
        <w:t xml:space="preserve"> </w:t>
      </w:r>
      <w:r>
        <w:t xml:space="preserve">(</w:t>
      </w:r>
      <w:hyperlink w:anchor="ref-bonsall2023temporal">
        <w:r>
          <w:rPr>
            <w:rStyle w:val="Hyperlink"/>
          </w:rPr>
          <w:t xml:space="preserve">Bonsall &amp; Holmes, 2023</w:t>
        </w:r>
      </w:hyperlink>
      <w:r>
        <w:t xml:space="preserve">;</w:t>
      </w:r>
      <w:r>
        <w:t xml:space="preserve"> </w:t>
      </w:r>
      <w:hyperlink w:anchor="ref-cohen2022memory">
        <w:r>
          <w:rPr>
            <w:rStyle w:val="Hyperlink"/>
          </w:rPr>
          <w:t xml:space="preserve">Cohen &amp; Kahana, 2022</w:t>
        </w:r>
      </w:hyperlink>
      <w:r>
        <w:t xml:space="preserve">)</w:t>
      </w:r>
      <w:r>
        <w:t xml:space="preserve">.</w:t>
      </w:r>
      <w:r>
        <w:t xml:space="preserve"> </w:t>
      </w:r>
      <w:r>
        <w:t xml:space="preserve">The present account centers on the selective interference effect: why the same film and interference manipulation can produce different effects across unguided and deliberate retrieval measures.</w:t>
      </w:r>
      <w:r>
        <w:t xml:space="preserve"> </w:t>
      </w:r>
      <w:r>
        <w:t xml:space="preserve">Explaining that dissociation requires specifying whether the task weakens film memory or adds competitors at retrieval, when those competitors are cued alongside film items, and how retrieval instructions or supplied cues change the outcome.</w:t>
      </w:r>
      <w:r>
        <w:t xml:space="preserve"> </w:t>
      </w:r>
      <w:r>
        <w:t xml:space="preserve">A model can therefore turn the retrieval-process interpretation into predictions about when selective interference should appear, rather than only redescribing the dissociation after the fact.</w:t>
      </w:r>
    </w:p>
    <w:p>
      <w:pPr>
        <w:pStyle w:val="BodyText"/>
      </w:pPr>
      <w:r>
        <w:t xml:space="preserve">We formalize this proposal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framework</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 context cues candidate items, and retrieved or supplied items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p>
    <w:p>
      <w:pPr>
        <w:pStyle w:val="BodyText"/>
      </w:pPr>
      <w:r>
        <w:t xml:space="preserve">Controlled retrieval can be represented in CMR in several ways.</w:t>
      </w:r>
      <w:r>
        <w:t xml:space="preserve"> </w:t>
      </w:r>
      <w:r>
        <w:t xml:space="preserve">A retrieval goal can set the starting context for search by reinstating context associated with the target episode, rather than beginning from whatever context happens to be active at test.</w:t>
      </w:r>
      <w:r>
        <w:t xml:space="preserve"> </w:t>
      </w:r>
      <w:r>
        <w:t xml:space="preserve">Control can also make the current context cue more decisive, so that candidates strongly supported by that context are more likely to win retrieval than weaker competitors.</w:t>
      </w:r>
      <w:r>
        <w:t xml:space="preserve"> </w:t>
      </w:r>
      <w:r>
        <w:t xml:space="preserve">Finally, monitoring can evaluate sampled candidates against the retrieval goal, limiting how much off-target items shape subsequent search.</w:t>
      </w:r>
      <w:r>
        <w:t xml:space="preserve"> </w:t>
      </w:r>
      <w:r>
        <w:t xml:space="preserve">Prior retrieved-context models introduced related mechanisms to explain recall from goal-relevant context, differences in how selectively items are sampled, and the ability to keep retrieval focused on a target list</w:t>
      </w:r>
      <w:r>
        <w:t xml:space="preserve"> </w:t>
      </w:r>
      <w:r>
        <w:t xml:space="preserve">(</w:t>
      </w:r>
      <w:hyperlink w:anchor="ref-lohnas2015expanding">
        <w:r>
          <w:rPr>
            <w:rStyle w:val="Hyperlink"/>
          </w:rPr>
          <w:t xml:space="preserve">Lohnas et al., 2015</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can preserve these retrieved-context mechanisms while adding emotional context and emotion-dependent binding</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properties make CMR a principled setting for a single-system retrieved-context account of selective interference.</w:t>
      </w:r>
      <w:r>
        <w:t xml:space="preserve"> </w:t>
      </w:r>
    </w:p>
    <w:p>
      <w:pPr>
        <w:pStyle w:val="BodyText"/>
      </w:pPr>
      <w:r>
        <w:t xml:space="preserve">To map this framework onto the trauma-film paradigm, the model presents a film sequence, an intervening delay, film reminder cues, an interference task, and a post-task delay while context evolves.</w:t>
      </w:r>
      <w:r>
        <w:t xml:space="preserve"> </w:t>
      </w:r>
      <w:r>
        <w:t xml:space="preserve">In the simulations, the intervening and post-task delays are implemented as non-film filler items, so context continues to drift between film encoding, reminder, task encoding, and retrieval.</w:t>
      </w:r>
      <w:r>
        <w:t xml:space="preserve"> </w:t>
      </w:r>
      <w:r>
        <w:t xml:space="preserve">During the reminder phase, film reminder cues can reinstate film-associated context before task encoding, so task items are encoded while context remains similar to states associated with film items.</w:t>
      </w:r>
      <w:r>
        <w:t xml:space="preserve"> </w:t>
      </w:r>
      <w:r>
        <w:t xml:space="preserve">At retrieval, the current context state cues memory search, so film and task items receive retrieval support to the extent that they have been associated with similar context states.</w:t>
      </w:r>
      <w:r>
        <w:t xml:space="preserve"> </w:t>
      </w:r>
      <w:r>
        <w:t xml:space="preserve">Unguided and deliberate retrieval can draw on the same learned associations.</w:t>
      </w:r>
      <w:r>
        <w:t xml:space="preserve"> </w:t>
      </w:r>
      <w:r>
        <w:t xml:space="preserve">Unguided retrieval begins from the current context, which can support film and task candidates together, whereas deliberate recall can use control settings to orient search toward film targets.</w:t>
      </w:r>
      <w:r>
        <w:t xml:space="preserve"> </w:t>
      </w:r>
      <w:r>
        <w:t xml:space="preserve">A selective interference effect in this model would therefore reflect differential control over a shared associative memory, rather than selective vulnerability of separate memory representations.</w:t>
      </w:r>
    </w:p>
    <w:p>
      <w:pPr>
        <w:pStyle w:val="BodyText"/>
      </w:pPr>
      <w:r>
        <w:t xml:space="preserve">The simulations develop the retrieved-context account through five linked demonstrations.</w:t>
      </w:r>
      <w:r>
        <w:t xml:space="preserve"> </w:t>
      </w:r>
      <w:r>
        <w:t xml:space="preserve">Simulation 1 builds the unguided interference component by showing how a task performed after a film reminder can become a retrieval competitor and reduce later film recall.</w:t>
      </w:r>
      <w:r>
        <w:t xml:space="preserve"> </w:t>
      </w:r>
      <w:r>
        <w:t xml:space="preserve">Simulation 2 asks which deliberate-retrieval control settings attenuate the resulting interference effect by changing where retrieval begins, how selectively candidates are sampled, and how much off-target samples shape ongoing search.</w:t>
      </w:r>
      <w:r>
        <w:t xml:space="preserve"> </w:t>
      </w:r>
      <w:r>
        <w:t xml:space="preserve">The next simulations examine how memory-test format changes access to the same encoded film and task associations.</w:t>
      </w:r>
      <w:r>
        <w:t xml:space="preserve"> </w:t>
      </w:r>
      <w:r>
        <w:t xml:space="preserve">Some trauma-film studies measure intrusions in the laboratory with vigilance-intrusion tasks, in which participants perform an attention task while film-related cues can be used to elicit intrusive film memories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In</w:t>
      </w:r>
      <w:r>
        <w:t xml:space="preserve"> </w:t>
      </w:r>
      <w:r>
        <w:t xml:space="preserve">Lau-Zhu et al. (</w:t>
      </w:r>
      <w:hyperlink w:anchor="ref-lau2021selectively">
        <w:r>
          <w:rPr>
            <w:rStyle w:val="Hyperlink"/>
          </w:rPr>
          <w:t xml:space="preserve">2021</w:t>
        </w:r>
      </w:hyperlink>
      <w:r>
        <w:t xml:space="preserve">)</w:t>
      </w:r>
      <w:r>
        <w:t xml:space="preserve">, trauma-film cues elicited more intrusion reports than foil cues, but cue condition did not clearly change the size of the interference effect.</w:t>
      </w:r>
      <w:r>
        <w:t xml:space="preserve"> </w:t>
      </w:r>
      <w:r>
        <w:t xml:space="preserve">Simulation 3 abstracts this retrieval-period cueing manipulation, testing whether film cues can increase film access without necessarily reducing the interference effect.</w:t>
      </w:r>
      <w:r>
        <w:t xml:space="preserve"> </w:t>
      </w:r>
      <w:r>
        <w:t xml:space="preserve">Simulation 4 turns to recognition, where a candidate film item is presented for judgment rather than first being recovered through free recall.</w:t>
      </w:r>
      <w:r>
        <w:t xml:space="preserve"> </w:t>
      </w:r>
      <w:r>
        <w:t xml:space="preserve">Simulation 5 explores which task properties make interference stronger or weaker.</w:t>
      </w:r>
      <w:r>
        <w:t xml:space="preserve"> </w:t>
      </w:r>
      <w:r>
        <w:t xml:space="preserve">Together, the simulations specify a retrieval mechanism for the selective interference effect and derive predictions about when the dissociation between intrusive and deliberate memory should appear across paradigms.</w:t>
      </w:r>
    </w:p>
    <w:bookmarkEnd w:id="28"/>
    <w:bookmarkStart w:id="37"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retrieved, reminded, or supplied items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This control component changes three settings on the shared retrieval process: the context state from which search begins, how strongly the best-supported candidates are favored during selection, and how much off-target samples update later context.</w:t>
      </w:r>
      <w:r>
        <w:t xml:space="preserve"> </w:t>
      </w:r>
      <w:r>
        <w:t xml:space="preserve">These settings correspond to start-of-list context reinstatement, retrieval selectivity, and target monitoring in later CMR applications</w:t>
      </w:r>
      <w:r>
        <w:t xml:space="preserve"> </w:t>
      </w:r>
      <w:r>
        <w:t xml:space="preserve">(</w:t>
      </w:r>
      <w:hyperlink w:anchor="ref-lohnas2015expanding">
        <w:r>
          <w:rPr>
            <w:rStyle w:val="Hyperlink"/>
          </w:rPr>
          <w:t xml:space="preserve">Lohnas et al., 2015</w:t>
        </w:r>
      </w:hyperlink>
      <w:r>
        <w:t xml:space="preserve">)</w:t>
      </w:r>
      <w:r>
        <w:t xml:space="preserve">.</w:t>
      </w:r>
      <w:r>
        <w:t xml:space="preserve"> </w:t>
      </w:r>
      <w:hyperlink w:anchor="X510f1211e07a3ef8f4aa5eaadde4214adc1a9dc">
        <w:r>
          <w:rPr>
            <w:rStyle w:val="Hyperlink"/>
          </w:rPr>
          <w:t xml:space="preserve">Figure 2</w:t>
        </w:r>
      </w:hyperlink>
      <w:r>
        <w:t xml:space="preserve"> </w:t>
      </w:r>
      <w:r>
        <w:t xml:space="preserve">summarizes the encoding and associative structure used to explain the trauma-film paradigm.</w:t>
      </w:r>
      <w:r>
        <w:t xml:space="preserve"> </w:t>
      </w:r>
      <w:hyperlink w:anchor="X199e0fd137172f53af28b87c55ae7adfa6c74ee">
        <w:r>
          <w:rPr>
            <w:rStyle w:val="Hyperlink"/>
          </w:rPr>
          <w:t xml:space="preserve">Figure 3</w:t>
        </w:r>
      </w:hyperlink>
      <w:r>
        <w:t xml:space="preserve"> </w:t>
      </w:r>
      <w:r>
        <w:t xml:space="preserve">then shows how those associations shape retrieval onset and later context updating.</w:t>
      </w:r>
      <w:r>
        <w:t xml:space="preserve"> </w:t>
      </w:r>
      <w:r>
        <w:t xml:space="preserve">In the sections below, film reminders are film cues presented before task encoding, so they can change the context in which task items are learned.</w:t>
      </w:r>
      <w:r>
        <w:t xml:space="preserve"> </w:t>
      </w:r>
      <w:r>
        <w:t xml:space="preserve">Test-phase film cues are film-related cues presented during retrieval or intrusion monitoring, as in vigilance-intrusion tasks.</w:t>
      </w:r>
      <w:r>
        <w:t xml:space="preserve"> </w:t>
      </w:r>
      <w:r>
        <w:t xml:space="preserve">Recognition tests present a candidate film item for judgment; Simulation 4 models this supplied-item access step without modeling the full recognition decision.</w:t>
      </w:r>
    </w:p>
    <w:p>
      <w:r>
        <w:br w:type="page"/>
      </w:r>
    </w:p>
    <w:bookmarkStart w:id="32" w:name="X510f1211e07a3ef8f4aa5eaadde4214adc1a9dc"/>
    <w:p>
      <w:pPr>
        <w:pStyle w:val="FigureTitle"/>
      </w:pPr>
      <w:r>
        <w:t xml:space="preserve">Figure 2</w:t>
      </w:r>
    </w:p>
    <w:p>
      <w:pPr>
        <w:pStyle w:val="Caption"/>
      </w:pPr>
      <w:r>
        <w:rPr>
          <w:b/>
          <w:bCs/>
        </w:rPr>
        <w:t xml:space="preserve">Retrieved-context encoding mechanisms for selective interference.</w:t>
      </w:r>
      <w:r>
        <w:t xml:space="preserve"> </w:t>
      </w:r>
      <w:r>
        <w:rPr>
          <w:b/>
          <w:bCs/>
        </w:rPr>
        <w:t xml:space="preserve">(A)</w:t>
      </w:r>
      <w:r>
        <w:t xml:space="preserve"> </w:t>
      </w:r>
      <w:r>
        <w:t xml:space="preserve">Gray-filled squares mark context states, and blue or orange circles mark film or task item representations linked to those states during encoding.</w:t>
      </w:r>
      <w:r>
        <w:t xml:space="preserve"> </w:t>
      </w:r>
      <w:r>
        <w:t xml:space="preserve">Rows show baseline drift away from the film, pre-task reminder reinstatement, and strong task encoding after reminder reinstatement; brackets mark film-task context overlap.</w:t>
      </w:r>
      <w:r>
        <w:t xml:space="preserve"> </w:t>
      </w:r>
      <w:r>
        <w:t xml:space="preserve">A film reminder presented before the task reinstates film-associated context before task items are encoded, and strong task encoding is shown as thicker task-item/context links formed in those film-overlapping states.</w:t>
      </w:r>
      <w:r>
        <w:t xml:space="preserve"> </w:t>
      </w:r>
      <w:r>
        <w:rPr>
          <w:b/>
          <w:bCs/>
        </w:rPr>
        <w:t xml:space="preserve">(B)</w:t>
      </w:r>
      <w:r>
        <w:t xml:space="preserve"> </w:t>
      </w:r>
      <w:r>
        <w:t xml:space="preserve">Arrows label the two learned mappings between item representations and context states.</w:t>
      </w:r>
      <w:r>
        <w:t xml:space="preserve"> </w:t>
      </w:r>
      <w:r>
        <w:t xml:space="preserve">Context-to-feature memory cues candidate items from the current context; feature-to-context memory lets retrieved or externally presented items update the current context.</w:t>
      </w:r>
      <w:r>
        <w:t xml:space="preserve"> </w:t>
      </w:r>
      <w:r>
        <w:t xml:space="preserve">Blue marks film items and film-associated context states, green marks reminder cues, orange marks task items and task-associated context states, and gray marks shared associative operations.</w:t>
      </w:r>
    </w:p>
    <w:p>
      <w:pPr>
        <w:pStyle w:val="FigureWithoutNote"/>
      </w:pPr>
      <w:r>
        <w:drawing>
          <wp:inline>
            <wp:extent cx="5943600" cy="4781752"/>
            <wp:effectExtent b="0" l="0" r="0" t="0"/>
            <wp:docPr descr="" title="" id="30" name="Picture"/>
            <a:graphic>
              <a:graphicData uri="http://schemas.openxmlformats.org/drawingml/2006/picture">
                <pic:pic>
                  <pic:nvPicPr>
                    <pic:cNvPr descr="retrieved_context_account_figure/retrieved_context_encoding_associations_composite.png" id="31" name="Picture"/>
                    <pic:cNvPicPr>
                      <a:picLocks noChangeArrowheads="1" noChangeAspect="1"/>
                    </pic:cNvPicPr>
                  </pic:nvPicPr>
                  <pic:blipFill>
                    <a:blip r:embed="rId29"/>
                    <a:stretch>
                      <a:fillRect/>
                    </a:stretch>
                  </pic:blipFill>
                  <pic:spPr bwMode="auto">
                    <a:xfrm>
                      <a:off x="0" y="0"/>
                      <a:ext cx="5943600" cy="4781752"/>
                    </a:xfrm>
                    <a:prstGeom prst="rect">
                      <a:avLst/>
                    </a:prstGeom>
                    <a:noFill/>
                    <a:ln w="9525">
                      <a:noFill/>
                      <a:headEnd/>
                      <a:tailEnd/>
                    </a:ln>
                  </pic:spPr>
                </pic:pic>
              </a:graphicData>
            </a:graphic>
          </wp:inline>
        </w:drawing>
      </w:r>
    </w:p>
    <w:bookmarkEnd w:id="32"/>
    <w:p>
      <w:r>
        <w:br w:type="page"/>
      </w:r>
    </w:p>
    <w:bookmarkStart w:id="36" w:name="X199e0fd137172f53af28b87c55ae7adfa6c74ee"/>
    <w:p>
      <w:pPr>
        <w:pStyle w:val="FigureTitle"/>
      </w:pPr>
      <w:r>
        <w:t xml:space="preserve">Figure 3</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Unguided retrieval begins from ongoing context, which can support film and task candidates together.</w:t>
      </w:r>
      <w:r>
        <w:t xml:space="preserve"> </w:t>
      </w:r>
      <w:r>
        <w:t xml:space="preserve">Deliberate recall can begin with start-of-film context reinstatement, giving stronger support to film candidates while task candidates remain weakly supported.</w:t>
      </w:r>
      <w:r>
        <w:t xml:space="preserve"> </w:t>
      </w:r>
      <w:r>
        <w:rPr>
          <w:b/>
          <w:bCs/>
        </w:rPr>
        <w:t xml:space="preserve">(B)</w:t>
      </w:r>
      <w:r>
        <w:t xml:space="preserve"> </w:t>
      </w:r>
      <w:r>
        <w:t xml:space="preserve">A maintained film goal provides an additional deliberate-retrieval signal through context-to-feature memory.</w:t>
      </w:r>
      <w:r>
        <w:t xml:space="preserve"> </w:t>
      </w:r>
      <w:r>
        <w:t xml:space="preserve">Ongoing context can still cue both film items and task competitors, but the film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A recalled item updates the next context through feature-to-context memory, and that next context cues later candidates.</w:t>
      </w:r>
      <w:r>
        <w:t xml:space="preserve"> </w:t>
      </w:r>
      <w:r>
        <w:t xml:space="preserve">Without monitoring, recalling a task item can shift later context toward task candidates; with retrieval monitoring, that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4" name="Picture"/>
            <a:graphic>
              <a:graphicData uri="http://schemas.openxmlformats.org/drawingml/2006/picture">
                <pic:pic>
                  <pic:nvPicPr>
                    <pic:cNvPr descr="retrieved_context_account_figure/retrieved_context_retrieval_operations_composite.png" id="35" name="Picture"/>
                    <pic:cNvPicPr>
                      <a:picLocks noChangeArrowheads="1" noChangeAspect="1"/>
                    </pic:cNvPicPr>
                  </pic:nvPicPr>
                  <pic:blipFill>
                    <a:blip r:embed="rId33"/>
                    <a:stretch>
                      <a:fillRect/>
                    </a:stretch>
                  </pic:blipFill>
                  <pic:spPr bwMode="auto">
                    <a:xfrm>
                      <a:off x="0" y="0"/>
                      <a:ext cx="5943600" cy="4505122"/>
                    </a:xfrm>
                    <a:prstGeom prst="rect">
                      <a:avLst/>
                    </a:prstGeom>
                    <a:noFill/>
                    <a:ln w="9525">
                      <a:noFill/>
                      <a:headEnd/>
                      <a:tailEnd/>
                    </a:ln>
                  </pic:spPr>
                </pic:pic>
              </a:graphicData>
            </a:graphic>
          </wp:inline>
        </w:drawing>
      </w:r>
    </w:p>
    <w:bookmarkEnd w:id="36"/>
    <w:p>
      <w:r>
        <w:br w:type="page"/>
      </w:r>
    </w:p>
    <w:p>
      <w:pPr>
        <w:pStyle w:val="BodyText"/>
      </w:pPr>
      <w:r>
        <w:t xml:space="preserve">Contextual similarity is established during encoding.</w:t>
      </w:r>
      <w:r>
        <w:t xml:space="preserve"> </w:t>
      </w:r>
      <w:r>
        <w:t xml:space="preserve">We use item in the CMR sense to mean a discrete encoded unit, not the whole film: 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Task items can also share film-associated source context when they share a non-temporal source feature with film items.</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so shared affective or source features can be represented as shared source context.</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In the present model, shared source context can amplify competition when film and task items share the same source feature.</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without an explicit goal to recall the film and without film cues supplied by the test.</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film items supplied by a test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 </w:t>
      </w:r>
      <w:r>
        <w:t xml:space="preserve">On the present account, 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During recall or monitoring, retrieved or test-presented items update context as retrieval unfolds.</w:t>
      </w:r>
      <w:r>
        <w:t xml:space="preserve"> </w:t>
      </w:r>
      <w:r>
        <w:t xml:space="preserve">Retrieving a film item pulls context toward film-associated states and can support retrieval of additional film items.</w:t>
      </w:r>
      <w:r>
        <w:t xml:space="preserve"> </w:t>
      </w:r>
      <w:r>
        <w:t xml:space="preserve">When a task competitor is sampled, it pulls context toward task-associated states and can prolong competition.</w:t>
      </w:r>
      <w:r>
        <w:t xml:space="preserve"> </w:t>
      </w:r>
      <w:r>
        <w:t xml:space="preserve">Film-related cues provided by the test can likewise update context, making subsequent retrieval less dependent on maintaining film context internally.</w:t>
      </w:r>
      <w:r>
        <w:t xml:space="preserve"> </w:t>
      </w:r>
      <w:r>
        <w:t xml:space="preserve">More generally, episodic-updating studies show that returning to the original learning context can itself function as a reminder, reactivating a prior episode and influencing whether later material is linked to it</w:t>
      </w:r>
      <w:r>
        <w:t xml:space="preserve"> </w:t>
      </w:r>
      <w:r>
        <w:t xml:space="preserve">(</w:t>
      </w:r>
      <w:hyperlink w:anchor="ref-hupbach2008dynamics">
        <w:r>
          <w:rPr>
            <w:rStyle w:val="Hyperlink"/>
          </w:rPr>
          <w:t xml:space="preserve">Hupbach et al., 2008</w:t>
        </w:r>
      </w:hyperlink>
      <w:r>
        <w:t xml:space="preserve">)</w:t>
      </w:r>
      <w:r>
        <w:t xml:space="preserve">.</w:t>
      </w:r>
      <w:r>
        <w:t xml:space="preserve"> </w:t>
      </w:r>
      <w:r>
        <w:t xml:space="preserve">Tests that provide a film item as the cue can be less vulnerable to this form of interference, because the model can use the supplied item to reinstate associated context rather than first selecting a film item from a context state that also supports task competitors</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first control setting is start-of-list context reinstatement, which drifts retrieval context toward the start of the encoded sequence before recall.</w:t>
      </w:r>
      <w:r>
        <w:t xml:space="preserve"> </w:t>
      </w:r>
      <w:r>
        <w:t xml:space="preserve">Because the film is encoded first in the present paradigm, that start state supports early film items more than later task or filler items.</w:t>
      </w:r>
      <w:r>
        <w:t xml:space="preserve"> </w:t>
      </w:r>
      <w:r>
        <w:t xml:space="preserve">The second is retrieval selectivity, which makes differences in current context-to-item support have stronger consequences for selection.</w:t>
      </w:r>
      <w:r>
        <w:t xml:space="preserve"> </w:t>
      </w:r>
      <w:r>
        <w:t xml:space="preserve">This setting favors film items only when the current retrieval context already supports them over competitors.</w:t>
      </w:r>
      <w:r>
        <w:t xml:space="preserve"> </w:t>
      </w:r>
      <w:r>
        <w:t xml:space="preserve">The third is retrieval monitoring, which limits how much sampled off-target items update later context.</w:t>
      </w:r>
      <w:r>
        <w:t xml:space="preserve"> </w:t>
      </w:r>
      <w:r>
        <w:t xml:space="preserve">Together, these settings provide graded protection: strong competition can still reduce deliberate film recall, but less than unguided retrieval from a context that supports both film and task candidates.</w:t>
      </w:r>
    </w:p>
    <w:p>
      <w:pPr>
        <w:pStyle w:val="BodyText"/>
      </w:pPr>
      <w:r>
        <w:t xml:space="preserve">The simulations instantiate these commitments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continuous stream through which context evolves.</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rather than as weakening of film-item associations.</w:t>
      </w:r>
    </w:p>
    <w:bookmarkEnd w:id="37"/>
    <w:bookmarkStart w:id="62"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41"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38"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start-of-list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38"/>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39"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39"/>
    </w:p>
    <w:p>
      <w:pPr>
        <w:pStyle w:val="FirstParagraph"/>
      </w:pPr>
      <w:bookmarkStart w:id="40"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0"/>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41"/>
    <w:bookmarkStart w:id="53"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reminded, or supplied items.</w:t>
      </w:r>
      <w:r>
        <w:t xml:space="preserve"> </w:t>
      </w: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42"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42"/>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43"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43"/>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44"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44"/>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45"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45"/>
    </w:p>
    <w:p>
      <w:pPr>
        <w:pStyle w:val="FirstParagraph"/>
      </w:pPr>
      <w:r>
        <w:t xml:space="preserve">A primacy function weights context-to-feature learning:</w:t>
      </w:r>
    </w:p>
    <w:p>
      <w:pPr>
        <w:pStyle w:val="BodyText"/>
      </w:pPr>
      <w:bookmarkStart w:id="46"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46"/>
    </w:p>
    <w:p>
      <w:pPr>
        <w:pStyle w:val="FirstParagraph"/>
      </w:pPr>
      <w:r>
        <w:t xml:space="preserve">Context-to-feature associations update as:</w:t>
      </w:r>
    </w:p>
    <w:p>
      <w:pPr>
        <w:pStyle w:val="BodyText"/>
      </w:pPr>
      <w:bookmarkStart w:id="47"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47"/>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48"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48"/>
    </w:p>
    <w:p>
      <w:pPr>
        <w:pStyle w:val="FirstParagraph"/>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49"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49"/>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0"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0"/>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51"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51"/>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52"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52"/>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film items supplied as test cues use the context update without adding a new recallable event.</w:t>
      </w:r>
    </w:p>
    <w:bookmarkEnd w:id="53"/>
    <w:bookmarkStart w:id="57" w:name="retrieval-control"/>
    <w:p>
      <w:pPr>
        <w:pStyle w:val="Heading2"/>
      </w:pPr>
      <w:r>
        <w:t xml:space="preserve">Retrieval Control</w:t>
      </w:r>
    </w:p>
    <w:p>
      <w:pPr>
        <w:pStyle w:val="FirstParagraph"/>
      </w:pPr>
      <w:r>
        <w:t xml:space="preserve">Retrieval-control settings alter the starting state and selection process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start-of-list context reinstatement:</w:t>
      </w:r>
    </w:p>
    <w:p>
      <w:pPr>
        <w:pStyle w:val="BodyText"/>
      </w:pPr>
      <w:bookmarkStart w:id="54"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54"/>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start-of-list context reinstatement.</w:t>
      </w:r>
      <w:r>
        <w:t xml:space="preserve"> </w:t>
      </w:r>
      <w:r>
        <w:t xml:space="preserve">The second control setting is retrieval selectivity,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makes selection more sensitive to differences in candidate support.</w:t>
      </w:r>
      <w:r>
        <w:t xml:space="preserve"> </w:t>
      </w:r>
      <w:r>
        <w:t xml:space="preserve">This setting protects film recall only when the retrieval context already gives film items stronger support than task competitors.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55"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55"/>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56"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56"/>
    </w:p>
    <w:p>
      <w:pPr>
        <w:pStyle w:val="FirstParagraph"/>
      </w:pPr>
      <w:r>
        <w:t xml:space="preserve">Supplied film items therefore use the same feature-to-context operation as sampled and reminded items.</w:t>
      </w:r>
    </w:p>
    <w:bookmarkEnd w:id="57"/>
    <w:bookmarkStart w:id="61" w:name="source-context"/>
    <w:p>
      <w:pPr>
        <w:pStyle w:val="Heading2"/>
      </w:pPr>
      <w:r>
        <w:t xml:space="preserve">Source Context</w:t>
      </w:r>
    </w:p>
    <w:p>
      <w:pPr>
        <w:pStyle w:val="FirstParagraph"/>
      </w:pPr>
      <w:r>
        <w:t xml:space="preserve">The source-context pathway adapts the emotional/source-context machinery of eCMR and CMR3 to the present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Here, we use the same architectural role for a simplified film-source dimension: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 unless a later source-overlap manipulation states otherwise.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58"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58"/>
    </w:p>
    <w:p>
      <w:pPr>
        <w:pStyle w:val="FirstParagraph"/>
      </w:pPr>
      <w:r>
        <w:t xml:space="preserve">Source-context-to-feature support begins at zero:</w:t>
      </w:r>
    </w:p>
    <w:p>
      <w:pPr>
        <w:pStyle w:val="BodyText"/>
      </w:pPr>
      <w:bookmarkStart w:id="59"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59"/>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0"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0"/>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in the current simulations,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At retrieval onset, all current simulations include a fixed partial reinstatement of the marked film-source context.</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start-of-list context reinstatement manipulated in Simulation 2.</w:t>
      </w:r>
      <w:r>
        <w:t xml:space="preserve"> </w:t>
      </w:r>
      <w:r>
        <w:t xml:space="preserve">Task items are assigned the marked source feature only in later source-overlap variants.</w:t>
      </w:r>
      <w:r>
        <w:t xml:space="preserve"> </w:t>
      </w:r>
      <w:r>
        <w:t xml:space="preserve">When film and task items share the marked source feature and source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61"/>
    <w:bookmarkEnd w:id="62"/>
    <w:bookmarkStart w:id="112"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a core context-binding and retrieval-control demonstration, cue and test-format consequences of bidirectional item-context associations, and task-property boundary conditions.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Simulation 3 asks how recall changes when the test periodically supplies film cues during retrieval, measuring both overall film recall and the film-recall gap between unguided and deliberate retrieval.</w:t>
      </w:r>
      <w:r>
        <w:t xml:space="preserve"> </w:t>
      </w:r>
      <w:r>
        <w:t xml:space="preserve">Simulation 4 compares context-to-item recall with supplied-item access formats.</w:t>
      </w:r>
      <w:r>
        <w:t xml:space="preserve"> </w:t>
      </w:r>
      <w:r>
        <w:t xml:space="preserve">Simulation 5 examines which task properties make the post-film task effective, including task encoding strength, contextual similarity, and source-context overlap.</w:t>
      </w:r>
    </w:p>
    <w:bookmarkStart w:id="63"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With-reminder task-encoding condition from Simulation 1; task encoding multiplier fixed at 2.0</w:t>
            </w:r>
          </w:p>
        </w:tc>
        <w:tc>
          <w:tcPr/>
          <w:p>
            <w:pPr>
              <w:pStyle w:val="Compact"/>
            </w:pPr>
            <w:r>
              <w:t xml:space="preserve">Start-of-list context reinstatement, retrieval selectivity, and off-target context updating</w:t>
            </w:r>
          </w:p>
        </w:tc>
        <w:tc>
          <w:tcPr/>
          <w:p>
            <w:pPr>
              <w:pStyle w:val="Compact"/>
            </w:pPr>
            <w:r>
              <w:t xml:space="preserve">Pre-recall support, recall initiation, overall recall, and film return after off-target samples</w:t>
            </w:r>
          </w:p>
        </w:tc>
      </w:tr>
      <w:tr>
        <w:tc>
          <w:tcPr/>
          <w:p>
            <w:pPr>
              <w:pStyle w:val="Compact"/>
            </w:pPr>
            <w:r>
              <w:t xml:space="preserve">3</w:t>
            </w:r>
          </w:p>
        </w:tc>
        <w:tc>
          <w:tcPr/>
          <w:p>
            <w:pPr>
              <w:pStyle w:val="Compact"/>
            </w:pPr>
            <w:r>
              <w:t xml:space="preserve">With-reminder task-encoding condition and matched unguided/deliberate retrieval settings</w:t>
            </w:r>
          </w:p>
        </w:tc>
        <w:tc>
          <w:tcPr/>
          <w:p>
            <w:pPr>
              <w:pStyle w:val="Compact"/>
            </w:pPr>
            <w:r>
              <w:t xml:space="preserve">Strength of test-phase film cues</w:t>
            </w:r>
          </w:p>
        </w:tc>
        <w:tc>
          <w:tcPr/>
          <w:p>
            <w:pPr>
              <w:pStyle w:val="Compact"/>
            </w:pPr>
            <w:r>
              <w:t xml:space="preserve">Film recall mass, intentionality gap, and recall by encoded position</w:t>
            </w:r>
          </w:p>
        </w:tc>
      </w:tr>
      <w:tr>
        <w:tc>
          <w:tcPr/>
          <w:p>
            <w:pPr>
              <w:pStyle w:val="Compact"/>
            </w:pPr>
            <w:r>
              <w:t xml:space="preserve">4</w:t>
            </w:r>
          </w:p>
        </w:tc>
        <w:tc>
          <w:tcPr/>
          <w:p>
            <w:pPr>
              <w:pStyle w:val="Compact"/>
            </w:pPr>
            <w:r>
              <w:t xml:space="preserve">Same encoded associations, without a full recognition-decision model</w:t>
            </w:r>
          </w:p>
        </w:tc>
        <w:tc>
          <w:tcPr/>
          <w:p>
            <w:pPr>
              <w:pStyle w:val="Compact"/>
            </w:pPr>
            <w:r>
              <w:t xml:space="preserve">Context-guided recall versus supplied-item access</w:t>
            </w:r>
          </w:p>
        </w:tc>
        <w:tc>
          <w:tcPr/>
          <w:p>
            <w:pPr>
              <w:pStyle w:val="Compact"/>
            </w:pPr>
            <w:r>
              <w:t xml:space="preserve">Whether supplied film information changes where interference enters retrieval</w:t>
            </w:r>
          </w:p>
        </w:tc>
      </w:tr>
      <w:tr>
        <w:tc>
          <w:tcPr/>
          <w:p>
            <w:pPr>
              <w:pStyle w:val="Compact"/>
            </w:pPr>
            <w:r>
              <w:t xml:space="preserve">5</w:t>
            </w:r>
          </w:p>
        </w:tc>
        <w:tc>
          <w:tcPr/>
          <w:p>
            <w:pPr>
              <w:pStyle w:val="Compact"/>
            </w:pPr>
            <w:r>
              <w:t xml:space="preserve">Shared phase structure</w:t>
            </w:r>
          </w:p>
        </w:tc>
        <w:tc>
          <w:tcPr/>
          <w:p>
            <w:pPr>
              <w:pStyle w:val="Compact"/>
            </w:pPr>
            <w:r>
              <w:t xml:space="preserve">Task encoding strength, temporal-context overlap, and source-context overlap</w:t>
            </w:r>
          </w:p>
        </w:tc>
        <w:tc>
          <w:tcPr/>
          <w:p>
            <w:pPr>
              <w:pStyle w:val="Compact"/>
            </w:pPr>
            <w:r>
              <w:t xml:space="preserve">Boundary conditions for stronger or weaker task competition</w:t>
            </w:r>
          </w:p>
        </w:tc>
      </w:tr>
    </w:tbl>
    <w:bookmarkEnd w:id="63"/>
    <w:bookmarkStart w:id="65"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 current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current simulations.</w:t>
      </w:r>
    </w:p>
    <w:bookmarkStart w:id="64"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o</m:t>
                  </m:r>
                  <m:r>
                    <m:rPr>
                      <m:sty m:val="p"/>
                    </m:rPr>
                    <m:t>u</m:t>
                  </m:r>
                  <m:r>
                    <m:rPr>
                      <m:sty m:val="p"/>
                    </m:rPr>
                    <m:t>r</m:t>
                  </m:r>
                  <m:r>
                    <m:rPr>
                      <m:sty m:val="p"/>
                    </m:rPr>
                    <m:t>c</m:t>
                  </m:r>
                  <m:r>
                    <m:rPr>
                      <m:sty m:val="p"/>
                    </m:rPr>
                    <m:t>e</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64"/>
    <w:p>
      <w:pPr>
        <w:pStyle w:val="AfterWithoutNote"/>
      </w:pPr>
      <w:r>
        <w:t xml:space="preserve">The current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film items supplied as test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supply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65"/>
    <w:bookmarkStart w:id="79"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4</w:t>
        </w:r>
      </w:hyperlink>
      <w:r>
        <w:t xml:space="preserve">, weak film cues are supplied periodically during recall in all conditions.</w:t>
      </w:r>
    </w:p>
    <w:bookmarkStart w:id="69" w:name="fig-simulation1-unguided-sequence"/>
    <w:p>
      <w:pPr>
        <w:pStyle w:val="FigureTitle"/>
      </w:pPr>
      <w:r>
        <w:t xml:space="preserve">Figure 4</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4730110"/>
            <wp:effectExtent b="0" l="0" r="0" t="0"/>
            <wp:docPr descr="" title="" id="67" name="Picture"/>
            <a:graphic>
              <a:graphicData uri="http://schemas.openxmlformats.org/drawingml/2006/picture">
                <pic:pic>
                  <pic:nvPicPr>
                    <pic:cNvPr descr="figures/simulation1_unguided_cued_sequence_summary.png" id="68" name="Picture"/>
                    <pic:cNvPicPr>
                      <a:picLocks noChangeArrowheads="1" noChangeAspect="1"/>
                    </pic:cNvPicPr>
                  </pic:nvPicPr>
                  <pic:blipFill>
                    <a:blip r:embed="rId66"/>
                    <a:stretch>
                      <a:fillRect/>
                    </a:stretch>
                  </pic:blipFill>
                  <pic:spPr bwMode="auto">
                    <a:xfrm>
                      <a:off x="0" y="0"/>
                      <a:ext cx="5943600" cy="4730110"/>
                    </a:xfrm>
                    <a:prstGeom prst="rect">
                      <a:avLst/>
                    </a:prstGeom>
                    <a:noFill/>
                    <a:ln w="9525">
                      <a:noFill/>
                      <a:headEnd/>
                      <a:tailEnd/>
                    </a:ln>
                  </pic:spPr>
                </pic:pic>
              </a:graphicData>
            </a:graphic>
          </wp:inline>
        </w:drawing>
      </w:r>
    </w:p>
    <w:bookmarkEnd w:id="69"/>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6</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4</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r>
        <w:t xml:space="preserve"> </w:t>
      </w:r>
      <w:r>
        <w:t xml:space="preserve">The film-context support analysis asks which item classes receive retrieval support when the model is probed with an average film context after task encoding.</w:t>
      </w:r>
      <w:r>
        <w:t xml:space="preserve"> </w:t>
      </w:r>
      <w:r>
        <w:t xml:space="preserve">It forms that probe from the centroid of film encoding context states, applies it to</w:t>
      </w:r>
      <w:r>
        <w:t xml:space="preserve"> </w:t>
      </w:r>
      <m:oMath>
        <m:sSup>
          <m:e>
            <m:r>
              <m:t>M</m:t>
            </m:r>
          </m:e>
          <m:sup>
            <m:r>
              <m:t>C</m:t>
            </m:r>
            <m:r>
              <m:t>F</m:t>
            </m:r>
          </m:sup>
        </m:sSup>
      </m:oMath>
      <w:r>
        <w:t xml:space="preserve">, and sums support separately for film and task items.</w:t>
      </w:r>
    </w:p>
    <w:bookmarkStart w:id="70"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0.0–3.0 by 0.5</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0"/>
    <w:p>
      <w:pPr>
        <w:pStyle w:val="AfterWithoutNote"/>
      </w:pPr>
      <w:r>
        <w:t xml:space="preserve"> </w:t>
      </w:r>
    </w:p>
    <w:bookmarkStart w:id="74" w:name="fig-simulation1-recall-distributions"/>
    <w:p>
      <w:pPr>
        <w:pStyle w:val="FigureTitle"/>
      </w:pPr>
      <w:r>
        <w:t xml:space="preserve">Figure 5</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9783"/>
            <wp:effectExtent b="0" l="0" r="0" t="0"/>
            <wp:docPr descr="" title="" id="72" name="Picture"/>
            <a:graphic>
              <a:graphicData uri="http://schemas.openxmlformats.org/drawingml/2006/picture">
                <pic:pic>
                  <pic:nvPicPr>
                    <pic:cNvPr descr="figures/simulation1_unguided_cued_recall_distributions.png" id="73" name="Picture"/>
                    <pic:cNvPicPr>
                      <a:picLocks noChangeArrowheads="1" noChangeAspect="1"/>
                    </pic:cNvPicPr>
                  </pic:nvPicPr>
                  <pic:blipFill>
                    <a:blip r:embed="rId71"/>
                    <a:stretch>
                      <a:fillRect/>
                    </a:stretch>
                  </pic:blipFill>
                  <pic:spPr bwMode="auto">
                    <a:xfrm>
                      <a:off x="0" y="0"/>
                      <a:ext cx="5943600" cy="5589783"/>
                    </a:xfrm>
                    <a:prstGeom prst="rect">
                      <a:avLst/>
                    </a:prstGeom>
                    <a:noFill/>
                    <a:ln w="9525">
                      <a:noFill/>
                      <a:headEnd/>
                      <a:tailEnd/>
                    </a:ln>
                  </pic:spPr>
                </pic:pic>
              </a:graphicData>
            </a:graphic>
          </wp:inline>
        </w:drawing>
      </w:r>
    </w:p>
    <w:bookmarkEnd w:id="74"/>
    <w:p>
      <w:pPr>
        <w:pStyle w:val="AfterWithoutNote"/>
      </w:pPr>
      <w:r>
        <w:t xml:space="preserve">Without a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film reminder, the same task-encoding manipulation produces a larger drop in film-position recall and a larger rise in task-position recall.</w:t>
      </w:r>
      <w:r>
        <w:t xml:space="preserve"> </w:t>
      </w:r>
      <w:r>
        <w:t xml:space="preserve">The with-reminder condition therefore shows that task encoding strength matters most when task items are encoded in a film-related context state.</w:t>
      </w:r>
      <w:r>
        <w:t xml:space="preserve"> </w:t>
      </w:r>
      <w:r>
        <w:t xml:space="preserve">At the lowest and highest multiplier values, mean film recall in the no-reminder condition changes from 0.318 at task encoding multiplier 0.0 to 0.268 at multiplier 3.0, while mean task recall changes from 0.000 to 0.143.</w:t>
      </w:r>
      <w:r>
        <w:t xml:space="preserve"> </w:t>
      </w:r>
      <w:r>
        <w:t xml:space="preserve">In the with-reminder condition, mean film recall changes from 0.306 to 0.064, while mean task recall changes from 0.000 to 0.384.</w:t>
      </w:r>
    </w:p>
    <w:bookmarkStart w:id="78" w:name="fig-simulation1-context-overlap"/>
    <w:p>
      <w:pPr>
        <w:pStyle w:val="FigureTitle"/>
      </w:pPr>
      <w:r>
        <w:t xml:space="preserve">Figure 6</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60571"/>
            <wp:effectExtent b="0" l="0" r="0" t="0"/>
            <wp:docPr descr="" title="" id="76" name="Picture"/>
            <a:graphic>
              <a:graphicData uri="http://schemas.openxmlformats.org/drawingml/2006/picture">
                <pic:pic>
                  <pic:nvPicPr>
                    <pic:cNvPr descr="figures/simulation1_unguided_cued_context_overlap.png" id="77" name="Picture"/>
                    <pic:cNvPicPr>
                      <a:picLocks noChangeArrowheads="1" noChangeAspect="1"/>
                    </pic:cNvPicPr>
                  </pic:nvPicPr>
                  <pic:blipFill>
                    <a:blip r:embed="rId75"/>
                    <a:stretch>
                      <a:fillRect/>
                    </a:stretch>
                  </pic:blipFill>
                  <pic:spPr bwMode="auto">
                    <a:xfrm>
                      <a:off x="0" y="0"/>
                      <a:ext cx="5943600" cy="5660571"/>
                    </a:xfrm>
                    <a:prstGeom prst="rect">
                      <a:avLst/>
                    </a:prstGeom>
                    <a:noFill/>
                    <a:ln w="9525">
                      <a:noFill/>
                      <a:headEnd/>
                      <a:tailEnd/>
                    </a:ln>
                  </pic:spPr>
                </pic:pic>
              </a:graphicData>
            </a:graphic>
          </wp:inline>
        </w:drawing>
      </w:r>
    </w:p>
    <w:bookmarkEnd w:id="78"/>
    <w:p>
      <w:pPr>
        <w:pStyle w:val="AfterWithoutNote"/>
      </w:pPr>
      <w:hyperlink w:anchor="fig-simulation1-context-overlap">
        <w:r>
          <w:rPr>
            <w:rStyle w:val="Hyperlink"/>
          </w:rPr>
          <w:t xml:space="preserve">Figure 6</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by changing the retrieval start state and limiting how off-target samples update later search.</w:t>
      </w:r>
    </w:p>
    <w:bookmarkEnd w:id="79"/>
    <w:bookmarkStart w:id="100"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asks whether deliberate film recall remains protected when reminder condition and task encoding strength are crossed.</w:t>
      </w:r>
      <w:r>
        <w:t xml:space="preserve"> </w:t>
      </w:r>
      <w:r>
        <w:t xml:space="preserve">The deliberate-recall setting combines three control mechanisms: start-of-film context reinstatement, a maintained film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3" w:name="fig-simulation2-control-cued-behavioral"/>
    <w:p>
      <w:pPr>
        <w:pStyle w:val="FigureTitle"/>
      </w:pPr>
      <w:r>
        <w:t xml:space="preserve">Figure 7</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1" name="Picture"/>
            <a:graphic>
              <a:graphicData uri="http://schemas.openxmlformats.org/drawingml/2006/picture">
                <pic:pic>
                  <pic:nvPicPr>
                    <pic:cNvPr descr="figures/simulation2_control_cued_behavioral.png" id="82" name="Picture"/>
                    <pic:cNvPicPr>
                      <a:picLocks noChangeArrowheads="1" noChangeAspect="1"/>
                    </pic:cNvPicPr>
                  </pic:nvPicPr>
                  <pic:blipFill>
                    <a:blip r:embed="rId80"/>
                    <a:stretch>
                      <a:fillRect/>
                    </a:stretch>
                  </pic:blipFill>
                  <pic:spPr bwMode="auto">
                    <a:xfrm>
                      <a:off x="0" y="0"/>
                      <a:ext cx="5943600" cy="3596194"/>
                    </a:xfrm>
                    <a:prstGeom prst="rect">
                      <a:avLst/>
                    </a:prstGeom>
                    <a:noFill/>
                    <a:ln w="9525">
                      <a:noFill/>
                      <a:headEnd/>
                      <a:tailEnd/>
                    </a:ln>
                  </pic:spPr>
                </pic:pic>
              </a:graphicData>
            </a:graphic>
          </wp:inline>
        </w:drawing>
      </w:r>
    </w:p>
    <w:bookmarkEnd w:id="83"/>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87" w:name="X3f1d862adb125e692948a0e1917736f72c3ad35"/>
    <w:p>
      <w:pPr>
        <w:pStyle w:val="FigureTitle"/>
      </w:pPr>
      <w:r>
        <w:t xml:space="preserve">Figure 8</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no reminder with weak task encoding, and film reminder with strong task encoding.</w:t>
      </w:r>
      <w:r>
        <w:t xml:space="preserve"> </w:t>
      </w:r>
      <w:r>
        <w:t xml:space="preserve">Weak film cues were supplied periodically during recall in all conditions.</w:t>
      </w:r>
      <w:r>
        <w:t xml:space="preserve"> </w:t>
      </w:r>
      <w:r>
        <w:rPr>
          <w:b/>
          <w:bCs/>
        </w:rPr>
        <w:t xml:space="preserve">(A)</w:t>
      </w:r>
      <w:r>
        <w:t xml:space="preserve"> </w:t>
      </w:r>
      <w:r>
        <w:t xml:space="preserve">Mean film-item recall for each control setting at the two endpoints.</w:t>
      </w:r>
      <w:r>
        <w:t xml:space="preserve"> </w:t>
      </w:r>
      <w:r>
        <w:rPr>
          <w:b/>
          <w:bCs/>
        </w:rPr>
        <w:t xml:space="preserve">(B)</w:t>
      </w:r>
      <w:r>
        <w:t xml:space="preserve"> </w:t>
      </w:r>
      <w:r>
        <w:t xml:space="preserve">Absolute reduction in film recall from the low-interference endpoint to the high-interference endpoint.</w:t>
      </w:r>
      <w:r>
        <w:t xml:space="preserve"> </w:t>
      </w:r>
      <w:r>
        <w:t xml:space="preserve">Start-of-film reinstatement and retrieval monitoring increase film recall in some conditions, but the smallest endpoint reductions occur when deliberate recall includes a film-retrieval goal.</w:t>
      </w:r>
    </w:p>
    <w:p>
      <w:pPr>
        <w:pStyle w:val="FigureWithoutNote"/>
      </w:pPr>
      <w:r>
        <w:drawing>
          <wp:inline>
            <wp:extent cx="5943600" cy="4475181"/>
            <wp:effectExtent b="0" l="0" r="0" t="0"/>
            <wp:docPr descr="" title="" id="85" name="Picture"/>
            <a:graphic>
              <a:graphicData uri="http://schemas.openxmlformats.org/drawingml/2006/picture">
                <pic:pic>
                  <pic:nvPicPr>
                    <pic:cNvPr descr="figures/simulation2_retrieval_control_decomposition.png" id="86" name="Picture"/>
                    <pic:cNvPicPr>
                      <a:picLocks noChangeArrowheads="1" noChangeAspect="1"/>
                    </pic:cNvPicPr>
                  </pic:nvPicPr>
                  <pic:blipFill>
                    <a:blip r:embed="rId84"/>
                    <a:stretch>
                      <a:fillRect/>
                    </a:stretch>
                  </pic:blipFill>
                  <pic:spPr bwMode="auto">
                    <a:xfrm>
                      <a:off x="0" y="0"/>
                      <a:ext cx="5943600" cy="4475181"/>
                    </a:xfrm>
                    <a:prstGeom prst="rect">
                      <a:avLst/>
                    </a:prstGeom>
                    <a:noFill/>
                    <a:ln w="9525">
                      <a:noFill/>
                      <a:headEnd/>
                      <a:tailEnd/>
                    </a:ln>
                  </pic:spPr>
                </pic:pic>
              </a:graphicData>
            </a:graphic>
          </wp:inline>
        </w:drawing>
      </w:r>
    </w:p>
    <w:bookmarkEnd w:id="87"/>
    <w:p>
      <w:pPr>
        <w:pStyle w:val="AfterWithoutNote"/>
      </w:pPr>
      <w:r>
        <w:t xml:space="preserve"> </w:t>
      </w:r>
    </w:p>
    <w:bookmarkStart w:id="91" w:name="Xe96feb7454d6b23e449dfafb9c326dcfa9c3226"/>
    <w:p>
      <w:pPr>
        <w:pStyle w:val="FigureTitle"/>
      </w:pPr>
      <w:r>
        <w:t xml:space="preserve">Figure 9</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film-reminder/strong-task-encoding condition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8437"/>
            <wp:effectExtent b="0" l="0" r="0" t="0"/>
            <wp:docPr descr="" title="" id="89" name="Picture"/>
            <a:graphic>
              <a:graphicData uri="http://schemas.openxmlformats.org/drawingml/2006/picture">
                <pic:pic>
                  <pic:nvPicPr>
                    <pic:cNvPr descr="figures/simulation2_start_context_reinstatement.png" id="90" name="Picture"/>
                    <pic:cNvPicPr>
                      <a:picLocks noChangeArrowheads="1" noChangeAspect="1"/>
                    </pic:cNvPicPr>
                  </pic:nvPicPr>
                  <pic:blipFill>
                    <a:blip r:embed="rId88"/>
                    <a:stretch>
                      <a:fillRect/>
                    </a:stretch>
                  </pic:blipFill>
                  <pic:spPr bwMode="auto">
                    <a:xfrm>
                      <a:off x="0" y="0"/>
                      <a:ext cx="5943600" cy="5618437"/>
                    </a:xfrm>
                    <a:prstGeom prst="rect">
                      <a:avLst/>
                    </a:prstGeom>
                    <a:noFill/>
                    <a:ln w="9525">
                      <a:noFill/>
                      <a:headEnd/>
                      <a:tailEnd/>
                    </a:ln>
                  </pic:spPr>
                </pic:pic>
              </a:graphicData>
            </a:graphic>
          </wp:inline>
        </w:drawing>
      </w:r>
    </w:p>
    <w:bookmarkEnd w:id="91"/>
    <w:p>
      <w:pPr>
        <w:pStyle w:val="AfterWithoutNote"/>
      </w:pPr>
      <w:r>
        <w:t xml:space="preserve"> </w:t>
      </w:r>
    </w:p>
    <w:bookmarkStart w:id="95" w:name="Xa9c4b5e1618786b5f440768b73dd7732a592b1f"/>
    <w:p>
      <w:pPr>
        <w:pStyle w:val="FigureTitle"/>
      </w:pPr>
      <w:r>
        <w:t xml:space="preserve">Figure 10</w:t>
      </w:r>
    </w:p>
    <w:p>
      <w:pPr>
        <w:pStyle w:val="Caption"/>
      </w:pPr>
      <w:r>
        <w:rPr>
          <w:b/>
          <w:bCs/>
        </w:rPr>
        <w:t xml:space="preserve">Simulation 2: retrieval monitoring supports return to film recall.</w:t>
      </w:r>
      <w:r>
        <w:t xml:space="preserve"> </w:t>
      </w:r>
      <w:r>
        <w:t xml:space="preserve">The film-reminder/strong-task-encoding condition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45176"/>
            <wp:effectExtent b="0" l="0" r="0" t="0"/>
            <wp:docPr descr="" title="" id="93" name="Picture"/>
            <a:graphic>
              <a:graphicData uri="http://schemas.openxmlformats.org/drawingml/2006/picture">
                <pic:pic>
                  <pic:nvPicPr>
                    <pic:cNvPr descr="figures/simulation2_target_monitoring_diagnostic.png" id="94" name="Picture"/>
                    <pic:cNvPicPr>
                      <a:picLocks noChangeArrowheads="1" noChangeAspect="1"/>
                    </pic:cNvPicPr>
                  </pic:nvPicPr>
                  <pic:blipFill>
                    <a:blip r:embed="rId92"/>
                    <a:stretch>
                      <a:fillRect/>
                    </a:stretch>
                  </pic:blipFill>
                  <pic:spPr bwMode="auto">
                    <a:xfrm>
                      <a:off x="0" y="0"/>
                      <a:ext cx="5943600" cy="5645176"/>
                    </a:xfrm>
                    <a:prstGeom prst="rect">
                      <a:avLst/>
                    </a:prstGeom>
                    <a:noFill/>
                    <a:ln w="9525">
                      <a:noFill/>
                      <a:headEnd/>
                      <a:tailEnd/>
                    </a:ln>
                  </pic:spPr>
                </pic:pic>
              </a:graphicData>
            </a:graphic>
          </wp:inline>
        </w:drawing>
      </w:r>
    </w:p>
    <w:bookmarkEnd w:id="95"/>
    <w:p>
      <w:pPr>
        <w:pStyle w:val="AfterWithoutNote"/>
      </w:pPr>
      <w:r>
        <w:t xml:space="preserve"> </w:t>
      </w:r>
    </w:p>
    <w:bookmarkStart w:id="99" w:name="X6daa0b906c5e98f8ec58936bb9080f274712771"/>
    <w:p>
      <w:pPr>
        <w:pStyle w:val="FigureTitle"/>
      </w:pPr>
      <w:r>
        <w:t xml:space="preserve">Figure 11</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60571"/>
            <wp:effectExtent b="0" l="0" r="0" t="0"/>
            <wp:docPr descr="" title="" id="97" name="Picture"/>
            <a:graphic>
              <a:graphicData uri="http://schemas.openxmlformats.org/drawingml/2006/picture">
                <pic:pic>
                  <pic:nvPicPr>
                    <pic:cNvPr descr="figures/simulation2_film_retrieval_goal_context_overlap.png" id="98" name="Picture"/>
                    <pic:cNvPicPr>
                      <a:picLocks noChangeArrowheads="1" noChangeAspect="1"/>
                    </pic:cNvPicPr>
                  </pic:nvPicPr>
                  <pic:blipFill>
                    <a:blip r:embed="rId96"/>
                    <a:stretch>
                      <a:fillRect/>
                    </a:stretch>
                  </pic:blipFill>
                  <pic:spPr bwMode="auto">
                    <a:xfrm>
                      <a:off x="0" y="0"/>
                      <a:ext cx="5943600" cy="5660571"/>
                    </a:xfrm>
                    <a:prstGeom prst="rect">
                      <a:avLst/>
                    </a:prstGeom>
                    <a:noFill/>
                    <a:ln w="9525">
                      <a:noFill/>
                      <a:headEnd/>
                      <a:tailEnd/>
                    </a:ln>
                  </pic:spPr>
                </pic:pic>
              </a:graphicData>
            </a:graphic>
          </wp:inline>
        </w:drawing>
      </w:r>
    </w:p>
    <w:bookmarkEnd w:id="99"/>
    <w:p>
      <w:pPr>
        <w:pStyle w:val="AfterWithoutNote"/>
      </w:pPr>
      <w:r>
        <w:t xml:space="preserve">Film cues can also be presented after encoding is complete, during an intrusion-monitoring test.</w:t>
      </w:r>
      <w:r>
        <w:t xml:space="preserve"> </w:t>
      </w:r>
      <w:r>
        <w:t xml:space="preserve">Lau-Zhu et al.</w:t>
      </w:r>
      <w:r>
        <w:t xml:space="preserve"> </w:t>
      </w:r>
      <w:r>
        <w:t xml:space="preserve">(</w:t>
      </w:r>
      <w:hyperlink w:anchor="ref-lau2021selectively">
        <w:r>
          <w:rPr>
            <w:rStyle w:val="Hyperlink"/>
          </w:rPr>
          <w:t xml:space="preserve">2021</w:t>
        </w:r>
      </w:hyperlink>
      <w:r>
        <w:t xml:space="preserve">)</w:t>
      </w:r>
      <w:r>
        <w:t xml:space="preserve"> </w:t>
      </w:r>
      <w:r>
        <w:t xml:space="preserve">manipulated this feature by comparing vigilance-intrusion periods with trauma-film cues versus foil cues.</w:t>
      </w:r>
      <w:r>
        <w:t xml:space="preserve"> </w:t>
      </w:r>
      <w:r>
        <w:t xml:space="preserve">Trauma-film cues increased intrusion reports, consistent with their intended role in eliciting film memories, but there was no clear evidence that cue condition changed the size of the interference effect.</w:t>
      </w:r>
      <w:r>
        <w:t xml:space="preserve"> </w:t>
      </w:r>
      <w:r>
        <w:t xml:space="preserve">Simulation 3 uses the model to examine this combination: film cues may raise access to film material while leaving task competitors active in the same retrieval competition.</w:t>
      </w:r>
    </w:p>
    <w:bookmarkEnd w:id="100"/>
    <w:bookmarkStart w:id="105" w:name="X5839f0b8c81129db231162d4b757efaeea9cdbb"/>
    <w:p>
      <w:pPr>
        <w:pStyle w:val="Heading2"/>
      </w:pPr>
      <w:r>
        <w:t xml:space="preserve">Simulation 3: Test-Phase Film Cues and Retrieval Intentionality</w:t>
      </w:r>
    </w:p>
    <w:p>
      <w:pPr>
        <w:pStyle w:val="FirstParagraph"/>
      </w:pPr>
      <w:r>
        <w:t xml:space="preserve">Simulation 3 abstracts the cueing feature of vigilance-intrusion tasks.</w:t>
      </w:r>
      <w:r>
        <w:t xml:space="preserve"> </w:t>
      </w:r>
      <w:r>
        <w:t xml:space="preserve">The model does not simulate the full task; it simulates the moment when a film cue is presented during an ongoing retrieval period.</w:t>
      </w:r>
      <w:r>
        <w:t xml:space="preserve"> </w:t>
      </w:r>
      <w:r>
        <w:t xml:space="preserve">Each cue is implemented as a randomly selected film cue supplied after every fourth retrieval attempt.</w:t>
      </w:r>
      <w:r>
        <w:t xml:space="preserve"> </w:t>
      </w:r>
      <w:r>
        <w:t xml:space="preserve">The cue updates temporal and source context through feature-to-context associations, after which ordinary context-to-item retrieval resumes.</w:t>
      </w:r>
      <w:r>
        <w:t xml:space="preserve"> </w:t>
      </w:r>
      <w:r>
        <w:t xml:space="preserve">The supplied cue does not occupy a response slot, does not make the cued item unavailable for later recall, and adds no new learning.</w:t>
      </w:r>
      <w:r>
        <w:t xml:space="preserve"> </w:t>
      </w:r>
      <w:r>
        <w:t xml:space="preserve">Cue strength controls how strongly each supplied cue pulls context toward the film state associated with that cue.</w:t>
      </w:r>
      <w:r>
        <w:t xml:space="preserve"> </w:t>
      </w:r>
      <w:r>
        <w:t xml:space="preserve">The plotted values express that pull relative to the fitted recall context-update rate</w:t>
      </w:r>
      <w:r>
        <w:t xml:space="preserve"> </w:t>
      </w:r>
      <m:oMath>
        <m:sSub>
          <m:e>
            <m:r>
              <m:t>β</m:t>
            </m:r>
          </m:e>
          <m:sub>
            <m:r>
              <m:t>r</m:t>
            </m:r>
            <m:r>
              <m:t>e</m:t>
            </m:r>
            <m:r>
              <m:t>c</m:t>
            </m:r>
          </m:sub>
        </m:sSub>
      </m:oMath>
      <w:r>
        <w:t xml:space="preserve">.</w:t>
      </w:r>
      <w:r>
        <w:t xml:space="preserve"> </w:t>
      </w:r>
      <w:r>
        <w:t xml:space="preserve">The vertical reference line in</w:t>
      </w:r>
      <w:r>
        <w:t xml:space="preserve"> </w:t>
      </w:r>
      <w:hyperlink w:anchor="fig-simulation3-film-cue-inclusion">
        <w:r>
          <w:rPr>
            <w:rStyle w:val="Hyperlink"/>
          </w:rPr>
          <w:t xml:space="preserve">Figure 12</w:t>
        </w:r>
      </w:hyperlink>
      <w:r>
        <w:t xml:space="preserve"> </w:t>
      </w:r>
      <w:r>
        <w:t xml:space="preserve">marks the point at which a supplied cue would move context by about the same amount as one ordinary encoding update, approximately</w:t>
      </w:r>
      <w:r>
        <w:t xml:space="preserve"> </w:t>
      </w:r>
      <m:oMath>
        <m:sSub>
          <m:e>
            <m:r>
              <m:t>β</m:t>
            </m:r>
          </m:e>
          <m:sub>
            <m:r>
              <m:t>e</m:t>
            </m:r>
            <m:r>
              <m:t>n</m:t>
            </m:r>
            <m:r>
              <m:t>c</m:t>
            </m:r>
          </m:sub>
        </m:sSub>
      </m:oMath>
      <w:r>
        <w:t xml:space="preserve">.</w:t>
      </w:r>
    </w:p>
    <w:bookmarkStart w:id="104" w:name="fig-simulation3-film-cue-inclusion"/>
    <w:p>
      <w:pPr>
        <w:pStyle w:val="FigureTitle"/>
      </w:pPr>
      <w:r>
        <w:t xml:space="preserve">Figure 12</w:t>
      </w:r>
    </w:p>
    <w:p>
      <w:pPr>
        <w:pStyle w:val="Caption"/>
      </w:pPr>
      <w:r>
        <w:rPr>
          <w:b/>
          <w:bCs/>
        </w:rPr>
        <w:t xml:space="preserve">Test-phase film cues boost film recall, but deliberate recall remains advantaged.</w:t>
      </w:r>
      <w:r>
        <w:t xml:space="preserve"> </w:t>
      </w:r>
      <w:r>
        <w:t xml:space="preserve">Simulation 3 compares unguided retrieval with deliberate recall while varying the strength of film cues supplied during retrieval.</w:t>
      </w:r>
      <w:r>
        <w:t xml:space="preserve"> </w:t>
      </w:r>
      <w:r>
        <w:rPr>
          <w:b/>
          <w:bCs/>
        </w:rPr>
        <w:t xml:space="preserve">(A)</w:t>
      </w:r>
      <w:r>
        <w:t xml:space="preserve"> </w:t>
      </w:r>
      <w:r>
        <w:t xml:space="preserve">Numbered boxes represent ordinary retrieval attempts.</w:t>
      </w:r>
      <w:r>
        <w:t xml:space="preserve"> </w:t>
      </w:r>
      <w:r>
        <w:t xml:space="preserve">After every fourth attempt, the test supplies a film cue; the cue updates context before the next retrieval attempt, is not counted as a response, and adds no new learning.</w:t>
      </w:r>
      <w:r>
        <w:t xml:space="preserve"> </w:t>
      </w:r>
      <w:r>
        <w:rPr>
          <w:b/>
          <w:bCs/>
        </w:rPr>
        <w:t xml:space="preserve">(B)</w:t>
      </w:r>
      <w:r>
        <w:t xml:space="preserve"> </w:t>
      </w:r>
      <w:r>
        <w:t xml:space="preserve">The left plot shows total film recall mass for unguided retrieval and deliberate recall as cue strength increases; the right plot shows the deliberate-minus-unguided gap.</w:t>
      </w:r>
      <w:r>
        <w:t xml:space="preserve"> </w:t>
      </w:r>
      <w:r>
        <w:t xml:space="preserve">Film recall increases with cue strength, but deliberate recall remains higher than unguided retrieval across weak-to-moderate cue values.</w:t>
      </w:r>
      <w:r>
        <w:t xml:space="preserve"> </w:t>
      </w:r>
      <w:r>
        <w:t xml:space="preserve">Only stronger cue values begin to narrow the gap.</w:t>
      </w:r>
      <w:r>
        <w:t xml:space="preserve"> </w:t>
      </w:r>
      <w:r>
        <w:rPr>
          <w:b/>
          <w:bCs/>
        </w:rPr>
        <w:t xml:space="preserve">(C-D)</w:t>
      </w:r>
      <w:r>
        <w:t xml:space="preserve"> </w:t>
      </w:r>
      <w:r>
        <w:t xml:space="preserve">Curves plot recall probability at the retrieval test by encoded position, with darker lines indicating stronger film cue strength.</w:t>
      </w:r>
      <w:r>
        <w:t xml:space="preserve"> </w:t>
      </w:r>
      <w:r>
        <w:t xml:space="preserve">Under unguided retrieval, film cues modestly raise film recall but task and filler competitors remain prominent.</w:t>
      </w:r>
      <w:r>
        <w:t xml:space="preserve"> </w:t>
      </w:r>
      <w:r>
        <w:t xml:space="preserve">Under deliberate recall, film recall is already supported by start-of-list control, and these cues produce additional film recall without eliminating task competition.</w:t>
      </w:r>
    </w:p>
    <w:p>
      <w:pPr>
        <w:pStyle w:val="FigureWithoutNote"/>
      </w:pPr>
      <w:r>
        <w:drawing>
          <wp:inline>
            <wp:extent cx="5943600" cy="4164783"/>
            <wp:effectExtent b="0" l="0" r="0" t="0"/>
            <wp:docPr descr="" title="" id="102" name="Picture"/>
            <a:graphic>
              <a:graphicData uri="http://schemas.openxmlformats.org/drawingml/2006/picture">
                <pic:pic>
                  <pic:nvPicPr>
                    <pic:cNvPr descr="figures/simulation3_film_cue_inclusion.png" id="103" name="Picture"/>
                    <pic:cNvPicPr>
                      <a:picLocks noChangeArrowheads="1" noChangeAspect="1"/>
                    </pic:cNvPicPr>
                  </pic:nvPicPr>
                  <pic:blipFill>
                    <a:blip r:embed="rId101"/>
                    <a:stretch>
                      <a:fillRect/>
                    </a:stretch>
                  </pic:blipFill>
                  <pic:spPr bwMode="auto">
                    <a:xfrm>
                      <a:off x="0" y="0"/>
                      <a:ext cx="5943600" cy="4164783"/>
                    </a:xfrm>
                    <a:prstGeom prst="rect">
                      <a:avLst/>
                    </a:prstGeom>
                    <a:noFill/>
                    <a:ln w="9525">
                      <a:noFill/>
                      <a:headEnd/>
                      <a:tailEnd/>
                    </a:ln>
                  </pic:spPr>
                </pic:pic>
              </a:graphicData>
            </a:graphic>
          </wp:inline>
        </w:drawing>
      </w:r>
    </w:p>
    <w:bookmarkEnd w:id="104"/>
    <w:p>
      <w:pPr>
        <w:pStyle w:val="AfterWithoutNote"/>
      </w:pPr>
      <w:r>
        <w:t xml:space="preserve">Panel B gives the primary test of the Simulation 3 prediction.</w:t>
      </w:r>
      <w:r>
        <w:t xml:space="preserve"> </w:t>
      </w:r>
      <w:r>
        <w:t xml:space="preserve">Weak-to-moderate test-phase film cues help unguided retrieval, especially relative to its low baseline, but they do not eliminate the deliberate-recall advantage.</w:t>
      </w:r>
      <w:r>
        <w:t xml:space="preserve"> </w:t>
      </w:r>
      <w:r>
        <w:t xml:space="preserve">For example, increasing film cue strength from 0.00 to 0.675 raises film recall mass from 0.008 to 0.210 under unguided retrieval and from 2.229 to 2.400 under deliberate recall, while the deliberate-minus-unguided gap changes only from 2.221 to 2.190.</w:t>
      </w:r>
      <w:r>
        <w:t xml:space="preserve"> </w:t>
      </w:r>
      <w:r>
        <w:t xml:space="preserve">This pattern separates greater film access from reduced interference.</w:t>
      </w:r>
      <w:r>
        <w:t xml:space="preserve"> </w:t>
      </w:r>
      <w:r>
        <w:t xml:space="preserve">A film cue can pull context toward film-associated states and increase film recall, especially during unguided retrieval.</w:t>
      </w:r>
      <w:r>
        <w:t xml:space="preserve"> </w:t>
      </w:r>
      <w:r>
        <w:t xml:space="preserve">The same cue need not remove the task competitors learned after the reminder, so the deliberate-minus-unguided gap can remain largely intact.</w:t>
      </w:r>
      <w:r>
        <w:t xml:space="preserve"> </w:t>
      </w:r>
      <w:r>
        <w:t xml:space="preserve">At stronger cue values, the gap begins to narrow because cue-driven reinstatement becomes strong enough to make film items dominate subsequent retrieval.</w:t>
      </w:r>
    </w:p>
    <w:p>
      <w:pPr>
        <w:pStyle w:val="BodyText"/>
      </w:pPr>
      <w:r>
        <w:t xml:space="preserve">Panels C and D show how this effect unfolds over the full encoded sequence.</w:t>
      </w:r>
      <w:r>
        <w:t xml:space="preserve"> </w:t>
      </w:r>
      <w:r>
        <w:t xml:space="preserve">The cue manipulation does not remove the task competitors created by reminder-driven task encoding.</w:t>
      </w:r>
      <w:r>
        <w:t xml:space="preserve"> </w:t>
      </w:r>
      <w:r>
        <w:t xml:space="preserve">Instead, it changes the context available to subsequent search.</w:t>
      </w:r>
      <w:r>
        <w:t xml:space="preserve"> </w:t>
      </w:r>
      <w:r>
        <w:t xml:space="preserve">The result is a graded cue effect: film items supplied during retrieval can increase film recall, but they reduce selective interference only to the extent that the reinstated context favors film targets over task and filler competitors.</w:t>
      </w:r>
    </w:p>
    <w:bookmarkEnd w:id="105"/>
    <w:bookmarkStart w:id="110" w:name="X4b971085a32b00b7d6d10c2980fa2959349f2f4"/>
    <w:p>
      <w:pPr>
        <w:pStyle w:val="Heading2"/>
      </w:pPr>
      <w:r>
        <w:t xml:space="preserve">Simulation 4: Context-to-Item and Item-to-Context Test Formats</w:t>
      </w:r>
    </w:p>
    <w:p>
      <w:pPr>
        <w:pStyle w:val="FirstParagraph"/>
      </w:pPr>
      <w:r>
        <w:t xml:space="preserve">Simulation 4 turns from vigilance-style cueing to recognition.</w:t>
      </w:r>
      <w:r>
        <w:t xml:space="preserve"> </w:t>
      </w:r>
      <w:r>
        <w:t xml:space="preserve">Recognition tests in the trauma-film literature present candidate film stills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The present simulation does not model decision criteria, foil familiarity, or confidence.</w:t>
      </w:r>
      <w:r>
        <w:t xml:space="preserve"> </w:t>
      </w:r>
      <w:r>
        <w:t xml:space="preserve">It isolates the supplied-item access step that recognition provides: the candidate film item is available first and can reinstate associated context before any need for that item to win a free-recall competition.</w:t>
      </w:r>
      <w:r>
        <w:t xml:space="preserve"> </w:t>
      </w:r>
      <w:hyperlink w:anchor="fig-simulation4-test-format-schematic">
        <w:r>
          <w:rPr>
            <w:rStyle w:val="Hyperlink"/>
          </w:rPr>
          <w:t xml:space="preserve">Figure 13</w:t>
        </w:r>
      </w:hyperlink>
      <w:r>
        <w:t xml:space="preserve"> </w:t>
      </w:r>
      <w:r>
        <w:t xml:space="preserve">schematizes this distinction.</w:t>
      </w:r>
      <w:r>
        <w:t xml:space="preserve"> </w:t>
      </w:r>
      <w:r>
        <w:t xml:space="preserve">When recall requires context-to-item selection, overlapping context can support both film and task candidates, so interference can enter at item selection.</w:t>
      </w:r>
      <w:r>
        <w:t xml:space="preserve"> </w:t>
      </w:r>
      <w:r>
        <w:t xml:space="preserve">When the test supplies the film item, selection of that item is no longer the first step; the model instead asks what context the supplied item reinstates and whether access remains sensitive to the task associations created during encoding.</w:t>
      </w:r>
      <w:r>
        <w:t xml:space="preserve"> </w:t>
      </w:r>
      <w:r>
        <w:t xml:space="preserve">This provides a test-format consequence of the same bidirectional item-context loop examined in Simulation 3.</w:t>
      </w:r>
    </w:p>
    <w:bookmarkStart w:id="109" w:name="fig-simulation4-test-format-schematic"/>
    <w:p>
      <w:pPr>
        <w:pStyle w:val="FigureTitle"/>
      </w:pPr>
      <w:r>
        <w:t xml:space="preserve">Figure 13</w:t>
      </w:r>
    </w:p>
    <w:p>
      <w:pPr>
        <w:pStyle w:val="Caption"/>
      </w:pPr>
      <w:r>
        <w:rPr>
          <w:b/>
          <w:bCs/>
        </w:rPr>
        <w:t xml:space="preserve">Retrieval format changes where interference can enter.</w:t>
      </w:r>
      <w:r>
        <w:t xml:space="preserve"> </w:t>
      </w:r>
      <w:r>
        <w:t xml:space="preserve">Simulation 4 demonstrates a test-format consequence of context-to-item recall versus supplied-item access.</w:t>
      </w:r>
      <w:r>
        <w:t xml:space="preserve"> </w:t>
      </w:r>
      <w:r>
        <w:rPr>
          <w:b/>
          <w:bCs/>
        </w:rPr>
        <w:t xml:space="preserve">(A)</w:t>
      </w:r>
      <w:r>
        <w:t xml:space="preserve"> </w:t>
      </w:r>
      <w:r>
        <w:t xml:space="preserve">When recall requires selecting an item from current context, the same context state can support multiple candidates; task items therefore compete with film items when both have been encoded in overlapping contexts.</w:t>
      </w:r>
      <w:r>
        <w:t xml:space="preserve"> </w:t>
      </w:r>
      <w:r>
        <w:t xml:space="preserve">When the test supplies a film item, that item reinstates its associated context instead, so the task item is not an equivalent competitor at the point of access.</w:t>
      </w:r>
      <w:r>
        <w:t xml:space="preserve"> </w:t>
      </w:r>
      <w:r>
        <w:rPr>
          <w:b/>
          <w:bCs/>
        </w:rPr>
        <w:t xml:space="preserve">(B)</w:t>
      </w:r>
      <w:r>
        <w:t xml:space="preserve"> </w:t>
      </w:r>
      <w:r>
        <w:t xml:space="preserve">In CMR, this asymmetry corresponds to two retrieval directions: context-to-feature associations cue candidate items, whereas feature-to-context associations reinstate context from a supplied item.</w:t>
      </w:r>
      <w:r>
        <w:t xml:space="preserve"> </w:t>
      </w:r>
      <w:r>
        <w:t xml:space="preserve">Simulation 4 uses this distinction to show how recognition tests can preserve access even when context-guided recall remains sensitive to interference.</w:t>
      </w:r>
    </w:p>
    <w:p>
      <w:pPr>
        <w:pStyle w:val="FigureWithoutNote"/>
      </w:pPr>
      <w:r>
        <w:drawing>
          <wp:inline>
            <wp:extent cx="5943600" cy="2773680"/>
            <wp:effectExtent b="0" l="0" r="0" t="0"/>
            <wp:docPr descr="" title="" id="107" name="Picture"/>
            <a:graphic>
              <a:graphicData uri="http://schemas.openxmlformats.org/drawingml/2006/picture">
                <pic:pic>
                  <pic:nvPicPr>
                    <pic:cNvPr descr="figures/simulation4_test_format_schematic.png" id="108" name="Picture"/>
                    <pic:cNvPicPr>
                      <a:picLocks noChangeArrowheads="1" noChangeAspect="1"/>
                    </pic:cNvPicPr>
                  </pic:nvPicPr>
                  <pic:blipFill>
                    <a:blip r:embed="rId106"/>
                    <a:stretch>
                      <a:fillRect/>
                    </a:stretch>
                  </pic:blipFill>
                  <pic:spPr bwMode="auto">
                    <a:xfrm>
                      <a:off x="0" y="0"/>
                      <a:ext cx="5943600" cy="2773680"/>
                    </a:xfrm>
                    <a:prstGeom prst="rect">
                      <a:avLst/>
                    </a:prstGeom>
                    <a:noFill/>
                    <a:ln w="9525">
                      <a:noFill/>
                      <a:headEnd/>
                      <a:tailEnd/>
                    </a:ln>
                  </pic:spPr>
                </pic:pic>
              </a:graphicData>
            </a:graphic>
          </wp:inline>
        </w:drawing>
      </w:r>
    </w:p>
    <w:bookmarkEnd w:id="109"/>
    <w:bookmarkEnd w:id="110"/>
    <w:bookmarkStart w:id="111" w:name="X3bccd27e2ac34ffe83600109912b9a30086b735"/>
    <w:p>
      <w:pPr>
        <w:pStyle w:val="Heading2"/>
      </w:pPr>
      <w:r>
        <w:t xml:space="preserve">Simulation 5: Task Specificity and Source-Context Overlap</w:t>
      </w:r>
    </w:p>
    <w:p>
      <w:pPr>
        <w:pStyle w:val="FirstParagraph"/>
      </w:pPr>
      <w:r>
        <w:t xml:space="preserve">Simulation 5 explores why some post-film tasks should produce stronger interference than others.</w:t>
      </w:r>
      <w:r>
        <w:t xml:space="preserve"> </w:t>
      </w:r>
      <w:r>
        <w:t xml:space="preserve">The model does not treat</w:t>
      </w:r>
      <w:r>
        <w:t xml:space="preserve"> </w:t>
      </w:r>
      <w:r>
        <w:t xml:space="preserve">“visuospatial”</w:t>
      </w:r>
      <w:r>
        <w:t xml:space="preserve"> </w:t>
      </w:r>
      <w:r>
        <w:t xml:space="preserve">and</w:t>
      </w:r>
      <w:r>
        <w:t xml:space="preserve"> </w:t>
      </w:r>
      <w:r>
        <w:t xml:space="preserve">“comparison”</w:t>
      </w:r>
      <w:r>
        <w:t xml:space="preserve"> </w:t>
      </w:r>
      <w:r>
        <w:t xml:space="preserve">as built-in task categories.</w:t>
      </w:r>
      <w:r>
        <w:t xml:space="preserve"> </w:t>
      </w:r>
      <w:r>
        <w:t xml:space="preserve">Instead, a task matters through the properties of the material it adds to memory: how strongly task items are encoded, how much their temporal context overlaps with film context, and whether they share source context with film items.</w:t>
      </w:r>
      <w:r>
        <w:t xml:space="preserve"> </w:t>
      </w:r>
      <w:r>
        <w:t xml:space="preserve">These factors can vary independently, so a task label is interpretable only through its consequences for competitor strength, temporal-context overlap, and source-context overlap.</w:t>
      </w:r>
    </w:p>
    <w:p>
      <w:pPr>
        <w:pStyle w:val="BodyText"/>
      </w:pPr>
      <w:r>
        <w:t xml:space="preserve">The task-specificity simulations therefore decompose three candidate routes to interference.</w:t>
      </w:r>
      <w:r>
        <w:t xml:space="preserve"> </w:t>
      </w:r>
      <w:r>
        <w:t xml:space="preserve">Increasing the task encoding multiplier changes how strongly task items win once cued.</w:t>
      </w:r>
      <w:r>
        <w:t xml:space="preserve"> </w:t>
      </w:r>
      <w:r>
        <w:t xml:space="preserve">Changing temporal overlap alters whether task items are cued alongside film items.</w:t>
      </w:r>
      <w:r>
        <w:t xml:space="preserve"> </w:t>
      </w:r>
      <w:r>
        <w:t xml:space="preserve">Changing source-context overlap tests whether non-temporal source matching can amplify competition beyond temporal proximity alone.</w:t>
      </w:r>
      <w:r>
        <w:t xml:space="preserve"> </w:t>
      </w:r>
      <w:r>
        <w:t xml:space="preserve">The predicted outcomes are film access, task-competitor retrieval, and retrieval outcomes by encoded phase or position.</w:t>
      </w:r>
    </w:p>
    <w:bookmarkEnd w:id="111"/>
    <w:bookmarkEnd w:id="112"/>
    <w:bookmarkStart w:id="113" w:name="general-discussion"/>
    <w:p>
      <w:pPr>
        <w:pStyle w:val="Heading1"/>
      </w:pPr>
      <w:r>
        <w:t xml:space="preserve">General Discussion</w:t>
      </w:r>
    </w:p>
    <w:bookmarkEnd w:id="113"/>
    <w:bookmarkStart w:id="202" w:name="references"/>
    <w:p>
      <w:pPr>
        <w:pStyle w:val="Heading1"/>
      </w:pPr>
      <w:r>
        <w:t xml:space="preserve">References</w:t>
      </w:r>
    </w:p>
    <w:bookmarkStart w:id="201" w:name="refs"/>
    <w:bookmarkStart w:id="115"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4">
        <w:r>
          <w:rPr>
            <w:rStyle w:val="Hyperlink"/>
          </w:rPr>
          <w:t xml:space="preserve">https://doi.org/10.1016/j.jpsychires.2023.01.028</w:t>
        </w:r>
      </w:hyperlink>
    </w:p>
    <w:bookmarkEnd w:id="115"/>
    <w:bookmarkStart w:id="117"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6">
        <w:r>
          <w:rPr>
            <w:rStyle w:val="Hyperlink"/>
          </w:rPr>
          <w:t xml:space="preserve">https://doi.org/10.1037/0096-3445.129.1.126</w:t>
        </w:r>
      </w:hyperlink>
    </w:p>
    <w:bookmarkEnd w:id="117"/>
    <w:bookmarkStart w:id="119" w:name="ref-bonsall2023temporal"/>
    <w:p>
      <w:pPr>
        <w:pStyle w:val="Bibliography"/>
      </w:pPr>
      <w:r>
        <w:t xml:space="preserve">Bonsall, M. B., &amp; Holmes, E. A. (2023). Temporal dynamics of trauma memory persistence.</w:t>
      </w:r>
      <w:r>
        <w:t xml:space="preserve"> </w:t>
      </w:r>
      <w:r>
        <w:rPr>
          <w:i/>
          <w:iCs/>
        </w:rPr>
        <w:t xml:space="preserve">Journal of the Royal Society Interface</w:t>
      </w:r>
      <w:r>
        <w:t xml:space="preserve">,</w:t>
      </w:r>
      <w:r>
        <w:t xml:space="preserve"> </w:t>
      </w:r>
      <w:r>
        <w:rPr>
          <w:i/>
          <w:iCs/>
        </w:rPr>
        <w:t xml:space="preserve">20</w:t>
      </w:r>
      <w:r>
        <w:t xml:space="preserve">(203), 20230108.</w:t>
      </w:r>
      <w:r>
        <w:t xml:space="preserve"> </w:t>
      </w:r>
      <w:hyperlink r:id="rId118">
        <w:r>
          <w:rPr>
            <w:rStyle w:val="Hyperlink"/>
          </w:rPr>
          <w:t xml:space="preserve">https://doi.org/10.1098/rsif.2023.0108</w:t>
        </w:r>
      </w:hyperlink>
    </w:p>
    <w:bookmarkEnd w:id="119"/>
    <w:bookmarkStart w:id="121" w:name="ref-boyle2025why"/>
    <w:p>
      <w:pPr>
        <w:pStyle w:val="Bibliography"/>
      </w:pPr>
      <w:r>
        <w:t xml:space="preserve">Boyle, A., &amp; Brown, S. A. B. (2025). Why might animals remember? A functional framework for episodic memory research in comparative psychology.</w:t>
      </w:r>
      <w:r>
        <w:t xml:space="preserve"> </w:t>
      </w:r>
      <w:r>
        <w:rPr>
          <w:i/>
          <w:iCs/>
        </w:rPr>
        <w:t xml:space="preserve">Learning &amp; Behavior</w:t>
      </w:r>
      <w:r>
        <w:t xml:space="preserve">,</w:t>
      </w:r>
      <w:r>
        <w:t xml:space="preserve"> </w:t>
      </w:r>
      <w:r>
        <w:rPr>
          <w:i/>
          <w:iCs/>
        </w:rPr>
        <w:t xml:space="preserve">53</w:t>
      </w:r>
      <w:r>
        <w:t xml:space="preserve">, 14–30.</w:t>
      </w:r>
      <w:r>
        <w:t xml:space="preserve"> </w:t>
      </w:r>
      <w:hyperlink r:id="rId120">
        <w:r>
          <w:rPr>
            <w:rStyle w:val="Hyperlink"/>
          </w:rPr>
          <w:t xml:space="preserve">https://doi.org/10.3758/s13420-024-00645-0</w:t>
        </w:r>
      </w:hyperlink>
    </w:p>
    <w:bookmarkEnd w:id="121"/>
    <w:bookmarkStart w:id="123"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2">
        <w:r>
          <w:rPr>
            <w:rStyle w:val="Hyperlink"/>
          </w:rPr>
          <w:t xml:space="preserve">https://doi.org/10.1037/a0033722</w:t>
        </w:r>
      </w:hyperlink>
    </w:p>
    <w:bookmarkEnd w:id="123"/>
    <w:bookmarkStart w:id="125"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4">
        <w:r>
          <w:rPr>
            <w:rStyle w:val="Hyperlink"/>
          </w:rPr>
          <w:t xml:space="preserve">https://doi.org/10.1037/0033-295X.103.4.670</w:t>
        </w:r>
      </w:hyperlink>
    </w:p>
    <w:bookmarkEnd w:id="125"/>
    <w:bookmarkStart w:id="127"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6">
        <w:r>
          <w:rPr>
            <w:rStyle w:val="Hyperlink"/>
          </w:rPr>
          <w:t xml:space="preserve">https://doi.org/10.1037/a0018113</w:t>
        </w:r>
      </w:hyperlink>
    </w:p>
    <w:bookmarkEnd w:id="127"/>
    <w:bookmarkStart w:id="129"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8">
        <w:r>
          <w:rPr>
            <w:rStyle w:val="Hyperlink"/>
          </w:rPr>
          <w:t xml:space="preserve">https://doi.org/10.1037/rev0000334</w:t>
        </w:r>
      </w:hyperlink>
    </w:p>
    <w:bookmarkEnd w:id="129"/>
    <w:bookmarkStart w:id="131"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0">
        <w:r>
          <w:rPr>
            <w:rStyle w:val="Hyperlink"/>
          </w:rPr>
          <w:t xml:space="preserve">https://doi.org/10.1016/j.jbtep.2011.10.008</w:t>
        </w:r>
      </w:hyperlink>
    </w:p>
    <w:bookmarkEnd w:id="131"/>
    <w:bookmarkStart w:id="132"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2"/>
    <w:bookmarkStart w:id="134"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3">
        <w:r>
          <w:rPr>
            <w:rStyle w:val="Hyperlink"/>
          </w:rPr>
          <w:t xml:space="preserve">https://doi.org/10.1016/S0005-7967(99)00123-0</w:t>
        </w:r>
      </w:hyperlink>
    </w:p>
    <w:bookmarkEnd w:id="134"/>
    <w:bookmarkStart w:id="136"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5">
        <w:r>
          <w:rPr>
            <w:rStyle w:val="Hyperlink"/>
          </w:rPr>
          <w:t xml:space="preserve">https://doi.org/10.1037/rev0000015</w:t>
        </w:r>
      </w:hyperlink>
    </w:p>
    <w:bookmarkEnd w:id="136"/>
    <w:bookmarkStart w:id="138"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37">
        <w:r>
          <w:rPr>
            <w:rStyle w:val="Hyperlink"/>
          </w:rPr>
          <w:t xml:space="preserve">https://doi.org/10.1016/j.actpsy.2007.11.002</w:t>
        </w:r>
      </w:hyperlink>
    </w:p>
    <w:bookmarkEnd w:id="138"/>
    <w:bookmarkStart w:id="140"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39">
        <w:r>
          <w:rPr>
            <w:rStyle w:val="Hyperlink"/>
          </w:rPr>
          <w:t xml:space="preserve">https://doi.org/10.1037/0096-3445.133.1.3</w:t>
        </w:r>
      </w:hyperlink>
    </w:p>
    <w:bookmarkEnd w:id="140"/>
    <w:bookmarkStart w:id="142"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1">
        <w:r>
          <w:rPr>
            <w:rStyle w:val="Hyperlink"/>
          </w:rPr>
          <w:t xml:space="preserve">https://doi.org/10.1371/journal.pone.0004153</w:t>
        </w:r>
      </w:hyperlink>
    </w:p>
    <w:bookmarkEnd w:id="142"/>
    <w:bookmarkStart w:id="144"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43">
        <w:r>
          <w:rPr>
            <w:rStyle w:val="Hyperlink"/>
          </w:rPr>
          <w:t xml:space="preserve">https://doi.org/10.1371/journal.pone.0013706</w:t>
        </w:r>
      </w:hyperlink>
    </w:p>
    <w:bookmarkEnd w:id="144"/>
    <w:bookmarkStart w:id="146"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45">
        <w:r>
          <w:rPr>
            <w:rStyle w:val="Hyperlink"/>
          </w:rPr>
          <w:t xml:space="preserve">https://doi.org/10.1016/j.brat.2017.03.018</w:t>
        </w:r>
      </w:hyperlink>
    </w:p>
    <w:bookmarkEnd w:id="146"/>
    <w:bookmarkStart w:id="148"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47">
        <w:r>
          <w:rPr>
            <w:rStyle w:val="Hyperlink"/>
          </w:rPr>
          <w:t xml:space="preserve">https://doi.org/10.1006/jmps.2001.1388</w:t>
        </w:r>
      </w:hyperlink>
    </w:p>
    <w:bookmarkEnd w:id="148"/>
    <w:bookmarkStart w:id="149"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49"/>
    <w:bookmarkStart w:id="151"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50">
        <w:r>
          <w:rPr>
            <w:rStyle w:val="Hyperlink"/>
          </w:rPr>
          <w:t xml:space="preserve">https://doi.org/10.1101/lm.1022308</w:t>
        </w:r>
      </w:hyperlink>
    </w:p>
    <w:bookmarkEnd w:id="151"/>
    <w:bookmarkStart w:id="153"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52">
        <w:r>
          <w:rPr>
            <w:rStyle w:val="Hyperlink"/>
          </w:rPr>
          <w:t xml:space="preserve">https://doi.org/10.1038/mp.2017.23</w:t>
        </w:r>
      </w:hyperlink>
    </w:p>
    <w:bookmarkEnd w:id="153"/>
    <w:bookmarkStart w:id="155"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54">
        <w:r>
          <w:rPr>
            <w:rStyle w:val="Hyperlink"/>
          </w:rPr>
          <w:t xml:space="preserve">https://doi.org/10.1016/j.cpr.2018.08.005</w:t>
        </w:r>
      </w:hyperlink>
    </w:p>
    <w:bookmarkEnd w:id="155"/>
    <w:bookmarkStart w:id="157"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56">
        <w:r>
          <w:rPr>
            <w:rStyle w:val="Hyperlink"/>
          </w:rPr>
          <w:t xml:space="preserve">https://doi.org/10.1177/0956797615583071</w:t>
        </w:r>
      </w:hyperlink>
    </w:p>
    <w:bookmarkEnd w:id="157"/>
    <w:bookmarkStart w:id="159"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58">
        <w:r>
          <w:rPr>
            <w:rStyle w:val="Hyperlink"/>
          </w:rPr>
          <w:t xml:space="preserve">https://doi.org/10.1016/j.cpr.2016.04.010</w:t>
        </w:r>
      </w:hyperlink>
    </w:p>
    <w:bookmarkEnd w:id="159"/>
    <w:bookmarkStart w:id="160"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60"/>
    <w:bookmarkStart w:id="162"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61">
        <w:r>
          <w:rPr>
            <w:rStyle w:val="Hyperlink"/>
          </w:rPr>
          <w:t xml:space="preserve">https://doi.org/10.1146/annurev-psych-010418-103358</w:t>
        </w:r>
      </w:hyperlink>
    </w:p>
    <w:bookmarkEnd w:id="162"/>
    <w:bookmarkStart w:id="164"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63">
        <w:r>
          <w:rPr>
            <w:rStyle w:val="Hyperlink"/>
          </w:rPr>
          <w:t xml:space="preserve">https://doi.org/10.1002/cpp.2489</w:t>
        </w:r>
      </w:hyperlink>
    </w:p>
    <w:bookmarkEnd w:id="164"/>
    <w:bookmarkStart w:id="166"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65">
        <w:r>
          <w:rPr>
            <w:rStyle w:val="Hyperlink"/>
          </w:rPr>
          <w:t xml:space="preserve">https://doi.org/10.1016/j.jbtep.2019.01.006</w:t>
        </w:r>
      </w:hyperlink>
    </w:p>
    <w:bookmarkEnd w:id="166"/>
    <w:bookmarkStart w:id="168"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67">
        <w:r>
          <w:rPr>
            <w:rStyle w:val="Hyperlink"/>
          </w:rPr>
          <w:t xml:space="preserve">https://doi.org/10.1038/nn.2271</w:t>
        </w:r>
      </w:hyperlink>
    </w:p>
    <w:bookmarkEnd w:id="168"/>
    <w:bookmarkStart w:id="170"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69">
        <w:r>
          <w:rPr>
            <w:rStyle w:val="Hyperlink"/>
          </w:rPr>
          <w:t xml:space="preserve">https://doi.org/10.1523/JNEUROSCI.3378-14.2015</w:t>
        </w:r>
      </w:hyperlink>
    </w:p>
    <w:bookmarkEnd w:id="170"/>
    <w:bookmarkStart w:id="172"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71">
        <w:r>
          <w:rPr>
            <w:rStyle w:val="Hyperlink"/>
          </w:rPr>
          <w:t xml:space="preserve">https://doi.org/10.1002/acp.1611</w:t>
        </w:r>
      </w:hyperlink>
    </w:p>
    <w:bookmarkEnd w:id="172"/>
    <w:bookmarkStart w:id="174"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73">
        <w:r>
          <w:rPr>
            <w:rStyle w:val="Hyperlink"/>
          </w:rPr>
          <w:t xml:space="preserve">https://doi.org/10.1037/xge0000598</w:t>
        </w:r>
      </w:hyperlink>
    </w:p>
    <w:bookmarkEnd w:id="174"/>
    <w:bookmarkStart w:id="176"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75">
        <w:r>
          <w:rPr>
            <w:rStyle w:val="Hyperlink"/>
          </w:rPr>
          <w:t xml:space="preserve">https://doi.org/10.1177/2167702621998315</w:t>
        </w:r>
      </w:hyperlink>
    </w:p>
    <w:bookmarkEnd w:id="176"/>
    <w:bookmarkStart w:id="178"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77">
        <w:r>
          <w:rPr>
            <w:rStyle w:val="Hyperlink"/>
          </w:rPr>
          <w:t xml:space="preserve">https://doi.org/10.1037/a0039036</w:t>
        </w:r>
      </w:hyperlink>
    </w:p>
    <w:bookmarkEnd w:id="178"/>
    <w:bookmarkStart w:id="180"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79">
        <w:r>
          <w:rPr>
            <w:rStyle w:val="Hyperlink"/>
          </w:rPr>
          <w:t xml:space="preserve">https://doi.org/10.1016/j.jml.2015.10.002</w:t>
        </w:r>
      </w:hyperlink>
    </w:p>
    <w:bookmarkEnd w:id="180"/>
    <w:bookmarkStart w:id="182"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81">
        <w:r>
          <w:rPr>
            <w:rStyle w:val="Hyperlink"/>
          </w:rPr>
          <w:t xml:space="preserve">https://doi.org/10.1037/a0014420</w:t>
        </w:r>
      </w:hyperlink>
    </w:p>
    <w:bookmarkEnd w:id="182"/>
    <w:bookmarkStart w:id="184"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83">
        <w:r>
          <w:rPr>
            <w:rStyle w:val="Hyperlink"/>
          </w:rPr>
          <w:t xml:space="preserve">https://doi.org/10.1016/j.neuropsychologia.2009.02.013</w:t>
        </w:r>
      </w:hyperlink>
    </w:p>
    <w:bookmarkEnd w:id="184"/>
    <w:bookmarkStart w:id="186"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185">
        <w:r>
          <w:rPr>
            <w:rStyle w:val="Hyperlink"/>
          </w:rPr>
          <w:t xml:space="preserve">https://doi.org/10.1111/j.1467-9280.2005.01634.x</w:t>
        </w:r>
      </w:hyperlink>
    </w:p>
    <w:bookmarkEnd w:id="186"/>
    <w:bookmarkStart w:id="188"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87">
        <w:r>
          <w:rPr>
            <w:rStyle w:val="Hyperlink"/>
          </w:rPr>
          <w:t xml:space="preserve">https://doi.org/10.3758/s13423-011-0086-9</w:t>
        </w:r>
      </w:hyperlink>
    </w:p>
    <w:bookmarkEnd w:id="188"/>
    <w:bookmarkStart w:id="190"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89">
        <w:r>
          <w:rPr>
            <w:rStyle w:val="Hyperlink"/>
          </w:rPr>
          <w:t xml:space="preserve">https://doi.org/10.1037/a0013396</w:t>
        </w:r>
      </w:hyperlink>
    </w:p>
    <w:bookmarkEnd w:id="190"/>
    <w:bookmarkStart w:id="192"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91">
        <w:r>
          <w:rPr>
            <w:rStyle w:val="Hyperlink"/>
          </w:rPr>
          <w:t xml:space="preserve">https://doi.org/10.1037/rev0000132</w:t>
        </w:r>
      </w:hyperlink>
    </w:p>
    <w:bookmarkEnd w:id="192"/>
    <w:bookmarkStart w:id="194"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93">
        <w:r>
          <w:rPr>
            <w:rStyle w:val="Hyperlink"/>
          </w:rPr>
          <w:t xml:space="preserve">https://doi.org/10.1038/s41562-024-01956-y</w:t>
        </w:r>
      </w:hyperlink>
    </w:p>
    <w:bookmarkEnd w:id="194"/>
    <w:bookmarkStart w:id="196"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95">
        <w:r>
          <w:rPr>
            <w:rStyle w:val="Hyperlink"/>
          </w:rPr>
          <w:t xml:space="preserve">https://doi.org/10.1525/collabra.130791</w:t>
        </w:r>
      </w:hyperlink>
    </w:p>
    <w:bookmarkEnd w:id="196"/>
    <w:bookmarkStart w:id="198"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97">
        <w:r>
          <w:rPr>
            <w:rStyle w:val="Hyperlink"/>
          </w:rPr>
          <w:t xml:space="preserve">https://doi.org/10.1037/0278-7393.32.4.792</w:t>
        </w:r>
      </w:hyperlink>
    </w:p>
    <w:bookmarkEnd w:id="198"/>
    <w:bookmarkStart w:id="200"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199">
        <w:r>
          <w:rPr>
            <w:rStyle w:val="Hyperlink"/>
          </w:rPr>
          <w:t xml:space="preserve">https://doi.org/10.1037/rev0000505</w:t>
        </w:r>
      </w:hyperlink>
    </w:p>
    <w:bookmarkEnd w:id="200"/>
    <w:bookmarkEnd w:id="201"/>
    <w:bookmarkEnd w:id="20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image" Id="rId66" Target="media/rId66.png" /><Relationship Type="http://schemas.openxmlformats.org/officeDocument/2006/relationships/image" Id="rId80" Target="media/rId80.png" /><Relationship Type="http://schemas.openxmlformats.org/officeDocument/2006/relationships/image" Id="rId96" Target="media/rId96.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hyperlink" Id="rId171" Target="https://doi.org/10.1002/acp.1611" TargetMode="External" /><Relationship Type="http://schemas.openxmlformats.org/officeDocument/2006/relationships/hyperlink" Id="rId163" Target="https://doi.org/10.1002/cpp.2489" TargetMode="External" /><Relationship Type="http://schemas.openxmlformats.org/officeDocument/2006/relationships/hyperlink" Id="rId147" Target="https://doi.org/10.1006/jmps.2001.1388" TargetMode="External" /><Relationship Type="http://schemas.openxmlformats.org/officeDocument/2006/relationships/hyperlink" Id="rId133" Target="https://doi.org/10.1016/S0005-7967(99)00123-0" TargetMode="External" /><Relationship Type="http://schemas.openxmlformats.org/officeDocument/2006/relationships/hyperlink" Id="rId137" Target="https://doi.org/10.1016/j.actpsy.2007.11.002" TargetMode="External" /><Relationship Type="http://schemas.openxmlformats.org/officeDocument/2006/relationships/hyperlink" Id="rId145" Target="https://doi.org/10.1016/j.brat.2017.03.018" TargetMode="External" /><Relationship Type="http://schemas.openxmlformats.org/officeDocument/2006/relationships/hyperlink" Id="rId158" Target="https://doi.org/10.1016/j.cpr.2016.04.010" TargetMode="External" /><Relationship Type="http://schemas.openxmlformats.org/officeDocument/2006/relationships/hyperlink" Id="rId154" Target="https://doi.org/10.1016/j.cpr.2018.08.005" TargetMode="External" /><Relationship Type="http://schemas.openxmlformats.org/officeDocument/2006/relationships/hyperlink" Id="rId130" Target="https://doi.org/10.1016/j.jbtep.2011.10.008" TargetMode="External" /><Relationship Type="http://schemas.openxmlformats.org/officeDocument/2006/relationships/hyperlink" Id="rId165" Target="https://doi.org/10.1016/j.jbtep.2019.01.006" TargetMode="External" /><Relationship Type="http://schemas.openxmlformats.org/officeDocument/2006/relationships/hyperlink" Id="rId179" Target="https://doi.org/10.1016/j.jml.2015.10.002" TargetMode="External" /><Relationship Type="http://schemas.openxmlformats.org/officeDocument/2006/relationships/hyperlink" Id="rId114" Target="https://doi.org/10.1016/j.jpsychires.2023.01.028" TargetMode="External" /><Relationship Type="http://schemas.openxmlformats.org/officeDocument/2006/relationships/hyperlink" Id="rId183" Target="https://doi.org/10.1016/j.neuropsychologia.2009.02.013" TargetMode="External" /><Relationship Type="http://schemas.openxmlformats.org/officeDocument/2006/relationships/hyperlink" Id="rId124" Target="https://doi.org/10.1037/0033-295X.103.4.670" TargetMode="External" /><Relationship Type="http://schemas.openxmlformats.org/officeDocument/2006/relationships/hyperlink" Id="rId116" Target="https://doi.org/10.1037/0096-3445.129.1.126" TargetMode="External" /><Relationship Type="http://schemas.openxmlformats.org/officeDocument/2006/relationships/hyperlink" Id="rId139" Target="https://doi.org/10.1037/0096-3445.133.1.3" TargetMode="External" /><Relationship Type="http://schemas.openxmlformats.org/officeDocument/2006/relationships/hyperlink" Id="rId197" Target="https://doi.org/10.1037/0278-7393.32.4.792" TargetMode="External" /><Relationship Type="http://schemas.openxmlformats.org/officeDocument/2006/relationships/hyperlink" Id="rId189" Target="https://doi.org/10.1037/a0013396" TargetMode="External" /><Relationship Type="http://schemas.openxmlformats.org/officeDocument/2006/relationships/hyperlink" Id="rId181" Target="https://doi.org/10.1037/a0014420" TargetMode="External" /><Relationship Type="http://schemas.openxmlformats.org/officeDocument/2006/relationships/hyperlink" Id="rId126" Target="https://doi.org/10.1037/a0018113" TargetMode="External" /><Relationship Type="http://schemas.openxmlformats.org/officeDocument/2006/relationships/hyperlink" Id="rId122" Target="https://doi.org/10.1037/a0033722" TargetMode="External" /><Relationship Type="http://schemas.openxmlformats.org/officeDocument/2006/relationships/hyperlink" Id="rId177" Target="https://doi.org/10.1037/a0039036" TargetMode="External" /><Relationship Type="http://schemas.openxmlformats.org/officeDocument/2006/relationships/hyperlink" Id="rId135" Target="https://doi.org/10.1037/rev0000015" TargetMode="External" /><Relationship Type="http://schemas.openxmlformats.org/officeDocument/2006/relationships/hyperlink" Id="rId191" Target="https://doi.org/10.1037/rev0000132" TargetMode="External" /><Relationship Type="http://schemas.openxmlformats.org/officeDocument/2006/relationships/hyperlink" Id="rId128" Target="https://doi.org/10.1037/rev0000334" TargetMode="External" /><Relationship Type="http://schemas.openxmlformats.org/officeDocument/2006/relationships/hyperlink" Id="rId199" Target="https://doi.org/10.1037/rev0000505" TargetMode="External" /><Relationship Type="http://schemas.openxmlformats.org/officeDocument/2006/relationships/hyperlink" Id="rId173" Target="https://doi.org/10.1037/xge0000598" TargetMode="External" /><Relationship Type="http://schemas.openxmlformats.org/officeDocument/2006/relationships/hyperlink" Id="rId152" Target="https://doi.org/10.1038/mp.2017.23" TargetMode="External" /><Relationship Type="http://schemas.openxmlformats.org/officeDocument/2006/relationships/hyperlink" Id="rId167" Target="https://doi.org/10.1038/nn.2271" TargetMode="External" /><Relationship Type="http://schemas.openxmlformats.org/officeDocument/2006/relationships/hyperlink" Id="rId193" Target="https://doi.org/10.1038/s41562-024-01956-y" TargetMode="External" /><Relationship Type="http://schemas.openxmlformats.org/officeDocument/2006/relationships/hyperlink" Id="rId118" Target="https://doi.org/10.1098/rsif.2023.0108" TargetMode="External" /><Relationship Type="http://schemas.openxmlformats.org/officeDocument/2006/relationships/hyperlink" Id="rId150" Target="https://doi.org/10.1101/lm.1022308" TargetMode="External" /><Relationship Type="http://schemas.openxmlformats.org/officeDocument/2006/relationships/hyperlink" Id="rId185" Target="https://doi.org/10.1111/j.1467-9280.2005.01634.x" TargetMode="External" /><Relationship Type="http://schemas.openxmlformats.org/officeDocument/2006/relationships/hyperlink" Id="rId161" Target="https://doi.org/10.1146/annurev-psych-010418-103358" TargetMode="External" /><Relationship Type="http://schemas.openxmlformats.org/officeDocument/2006/relationships/hyperlink" Id="rId156" Target="https://doi.org/10.1177/0956797615583071" TargetMode="External" /><Relationship Type="http://schemas.openxmlformats.org/officeDocument/2006/relationships/hyperlink" Id="rId175" Target="https://doi.org/10.1177/2167702621998315" TargetMode="External" /><Relationship Type="http://schemas.openxmlformats.org/officeDocument/2006/relationships/hyperlink" Id="rId141" Target="https://doi.org/10.1371/journal.pone.0004153" TargetMode="External" /><Relationship Type="http://schemas.openxmlformats.org/officeDocument/2006/relationships/hyperlink" Id="rId143" Target="https://doi.org/10.1371/journal.pone.0013706" TargetMode="External" /><Relationship Type="http://schemas.openxmlformats.org/officeDocument/2006/relationships/hyperlink" Id="rId169" Target="https://doi.org/10.1523/JNEUROSCI.3378-14.2015" TargetMode="External" /><Relationship Type="http://schemas.openxmlformats.org/officeDocument/2006/relationships/hyperlink" Id="rId195" Target="https://doi.org/10.1525/collabra.130791" TargetMode="External" /><Relationship Type="http://schemas.openxmlformats.org/officeDocument/2006/relationships/hyperlink" Id="rId120" Target="https://doi.org/10.3758/s13420-024-00645-0" TargetMode="External" /><Relationship Type="http://schemas.openxmlformats.org/officeDocument/2006/relationships/hyperlink" Id="rId187"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71" Target="https://doi.org/10.1002/acp.1611" TargetMode="External" /><Relationship Type="http://schemas.openxmlformats.org/officeDocument/2006/relationships/hyperlink" Id="rId163" Target="https://doi.org/10.1002/cpp.2489" TargetMode="External" /><Relationship Type="http://schemas.openxmlformats.org/officeDocument/2006/relationships/hyperlink" Id="rId147" Target="https://doi.org/10.1006/jmps.2001.1388" TargetMode="External" /><Relationship Type="http://schemas.openxmlformats.org/officeDocument/2006/relationships/hyperlink" Id="rId133" Target="https://doi.org/10.1016/S0005-7967(99)00123-0" TargetMode="External" /><Relationship Type="http://schemas.openxmlformats.org/officeDocument/2006/relationships/hyperlink" Id="rId137" Target="https://doi.org/10.1016/j.actpsy.2007.11.002" TargetMode="External" /><Relationship Type="http://schemas.openxmlformats.org/officeDocument/2006/relationships/hyperlink" Id="rId145" Target="https://doi.org/10.1016/j.brat.2017.03.018" TargetMode="External" /><Relationship Type="http://schemas.openxmlformats.org/officeDocument/2006/relationships/hyperlink" Id="rId158" Target="https://doi.org/10.1016/j.cpr.2016.04.010" TargetMode="External" /><Relationship Type="http://schemas.openxmlformats.org/officeDocument/2006/relationships/hyperlink" Id="rId154" Target="https://doi.org/10.1016/j.cpr.2018.08.005" TargetMode="External" /><Relationship Type="http://schemas.openxmlformats.org/officeDocument/2006/relationships/hyperlink" Id="rId130" Target="https://doi.org/10.1016/j.jbtep.2011.10.008" TargetMode="External" /><Relationship Type="http://schemas.openxmlformats.org/officeDocument/2006/relationships/hyperlink" Id="rId165" Target="https://doi.org/10.1016/j.jbtep.2019.01.006" TargetMode="External" /><Relationship Type="http://schemas.openxmlformats.org/officeDocument/2006/relationships/hyperlink" Id="rId179" Target="https://doi.org/10.1016/j.jml.2015.10.002" TargetMode="External" /><Relationship Type="http://schemas.openxmlformats.org/officeDocument/2006/relationships/hyperlink" Id="rId114" Target="https://doi.org/10.1016/j.jpsychires.2023.01.028" TargetMode="External" /><Relationship Type="http://schemas.openxmlformats.org/officeDocument/2006/relationships/hyperlink" Id="rId183" Target="https://doi.org/10.1016/j.neuropsychologia.2009.02.013" TargetMode="External" /><Relationship Type="http://schemas.openxmlformats.org/officeDocument/2006/relationships/hyperlink" Id="rId124" Target="https://doi.org/10.1037/0033-295X.103.4.670" TargetMode="External" /><Relationship Type="http://schemas.openxmlformats.org/officeDocument/2006/relationships/hyperlink" Id="rId116" Target="https://doi.org/10.1037/0096-3445.129.1.126" TargetMode="External" /><Relationship Type="http://schemas.openxmlformats.org/officeDocument/2006/relationships/hyperlink" Id="rId139" Target="https://doi.org/10.1037/0096-3445.133.1.3" TargetMode="External" /><Relationship Type="http://schemas.openxmlformats.org/officeDocument/2006/relationships/hyperlink" Id="rId197" Target="https://doi.org/10.1037/0278-7393.32.4.792" TargetMode="External" /><Relationship Type="http://schemas.openxmlformats.org/officeDocument/2006/relationships/hyperlink" Id="rId189" Target="https://doi.org/10.1037/a0013396" TargetMode="External" /><Relationship Type="http://schemas.openxmlformats.org/officeDocument/2006/relationships/hyperlink" Id="rId181" Target="https://doi.org/10.1037/a0014420" TargetMode="External" /><Relationship Type="http://schemas.openxmlformats.org/officeDocument/2006/relationships/hyperlink" Id="rId126" Target="https://doi.org/10.1037/a0018113" TargetMode="External" /><Relationship Type="http://schemas.openxmlformats.org/officeDocument/2006/relationships/hyperlink" Id="rId122" Target="https://doi.org/10.1037/a0033722" TargetMode="External" /><Relationship Type="http://schemas.openxmlformats.org/officeDocument/2006/relationships/hyperlink" Id="rId177" Target="https://doi.org/10.1037/a0039036" TargetMode="External" /><Relationship Type="http://schemas.openxmlformats.org/officeDocument/2006/relationships/hyperlink" Id="rId135" Target="https://doi.org/10.1037/rev0000015" TargetMode="External" /><Relationship Type="http://schemas.openxmlformats.org/officeDocument/2006/relationships/hyperlink" Id="rId191" Target="https://doi.org/10.1037/rev0000132" TargetMode="External" /><Relationship Type="http://schemas.openxmlformats.org/officeDocument/2006/relationships/hyperlink" Id="rId128" Target="https://doi.org/10.1037/rev0000334" TargetMode="External" /><Relationship Type="http://schemas.openxmlformats.org/officeDocument/2006/relationships/hyperlink" Id="rId199" Target="https://doi.org/10.1037/rev0000505" TargetMode="External" /><Relationship Type="http://schemas.openxmlformats.org/officeDocument/2006/relationships/hyperlink" Id="rId173" Target="https://doi.org/10.1037/xge0000598" TargetMode="External" /><Relationship Type="http://schemas.openxmlformats.org/officeDocument/2006/relationships/hyperlink" Id="rId152" Target="https://doi.org/10.1038/mp.2017.23" TargetMode="External" /><Relationship Type="http://schemas.openxmlformats.org/officeDocument/2006/relationships/hyperlink" Id="rId167" Target="https://doi.org/10.1038/nn.2271" TargetMode="External" /><Relationship Type="http://schemas.openxmlformats.org/officeDocument/2006/relationships/hyperlink" Id="rId193" Target="https://doi.org/10.1038/s41562-024-01956-y" TargetMode="External" /><Relationship Type="http://schemas.openxmlformats.org/officeDocument/2006/relationships/hyperlink" Id="rId118" Target="https://doi.org/10.1098/rsif.2023.0108" TargetMode="External" /><Relationship Type="http://schemas.openxmlformats.org/officeDocument/2006/relationships/hyperlink" Id="rId150" Target="https://doi.org/10.1101/lm.1022308" TargetMode="External" /><Relationship Type="http://schemas.openxmlformats.org/officeDocument/2006/relationships/hyperlink" Id="rId185" Target="https://doi.org/10.1111/j.1467-9280.2005.01634.x" TargetMode="External" /><Relationship Type="http://schemas.openxmlformats.org/officeDocument/2006/relationships/hyperlink" Id="rId161" Target="https://doi.org/10.1146/annurev-psych-010418-103358" TargetMode="External" /><Relationship Type="http://schemas.openxmlformats.org/officeDocument/2006/relationships/hyperlink" Id="rId156" Target="https://doi.org/10.1177/0956797615583071" TargetMode="External" /><Relationship Type="http://schemas.openxmlformats.org/officeDocument/2006/relationships/hyperlink" Id="rId175" Target="https://doi.org/10.1177/2167702621998315" TargetMode="External" /><Relationship Type="http://schemas.openxmlformats.org/officeDocument/2006/relationships/hyperlink" Id="rId141" Target="https://doi.org/10.1371/journal.pone.0004153" TargetMode="External" /><Relationship Type="http://schemas.openxmlformats.org/officeDocument/2006/relationships/hyperlink" Id="rId143" Target="https://doi.org/10.1371/journal.pone.0013706" TargetMode="External" /><Relationship Type="http://schemas.openxmlformats.org/officeDocument/2006/relationships/hyperlink" Id="rId169" Target="https://doi.org/10.1523/JNEUROSCI.3378-14.2015" TargetMode="External" /><Relationship Type="http://schemas.openxmlformats.org/officeDocument/2006/relationships/hyperlink" Id="rId195" Target="https://doi.org/10.1525/collabra.130791" TargetMode="External" /><Relationship Type="http://schemas.openxmlformats.org/officeDocument/2006/relationships/hyperlink" Id="rId120" Target="https://doi.org/10.3758/s13420-024-00645-0" TargetMode="External" /><Relationship Type="http://schemas.openxmlformats.org/officeDocument/2006/relationships/hyperlink" Id="rId187"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2026-06-15T14:54:34Z</dcterms:created>
  <dcterms:modified xsi:type="dcterms:W3CDTF">2026-06-15T14:54:34Z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