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Intrusive and Voluntary Memory from a Single System: A Retrieved-Context Account of Selective Interference</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figures/manuscript/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crossing reminder condition, intervening task, and retrieval measure.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figures/manuscript/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figures/manuscript/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(B) The interference intervention alters this structure during encoding. Without a pre-task reminder, task items are encoded in relatively distinct context states. With a pre-task film reminder, task encoding occurs after film-associated context has been reinstated. When task encoding is strong, task items become strongly linked to those film-overlapping context states. Thus, the same context that can cue film items can also cue task competitors during later retrieval. Blue marks film items or film-linked context, orange marks task items or task-linked context, green marks film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figures/manuscript/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(B) A maintained film goal provides an additional deliberate-retrieval signal through context-to-feature memory. Ongoing context can still cue both film items and task competitors, but the film goal adds support to film candidates rather than to task competitors. (C)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figures/manuscript/simulation1/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figures/manuscript/simulation1/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figures/manuscript/simulation1/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figures/manuscript/simulation2/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figures/manuscript/simulation2/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figures/manuscript/simulation2/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figures/manuscript/simulation2/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figures/manuscript/simulation2/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Intrusive and Voluntary Memory from a Single System: A Retrieved-Context Account of Selective Interference</dc:title>
  <dc:creator>Jordan B Gunn</dc:creator>
  <cp:keywords>intrusive memories, voluntary memory, trauma-film paradigm, visuospatial intervention, selective interference, retrieved-context theory, computational modeling</cp:keywords>
  <dcterms:created xsi:type="dcterms:W3CDTF">2026-06-24T06:37:41Z</dcterms:created>
  <dcterms:modified xsi:type="dcterms:W3CDTF">2026-06-24T06:37:41Z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Intrusive and Voluntary Memory from a Single System</vt:lpwstr>
  </property>
  <property fmtid="{D5CDD505-2E9C-101B-9397-08002B2CF9AE}" pid="13" name="toc-title">
    <vt:lpwstr>Table of contents</vt:lpwstr>
  </property>
</Properties>
</file>