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use simulations of emotional CMR to explore what the formalized account predicts about when and how the dissociation should appear.</w:t>
      </w:r>
      <w:r>
        <w:t xml:space="preserve"> </w:t>
      </w:r>
      <w:r>
        <w:t xml:space="preserve">The simulations first show how a film reminder can make task material compete with film recall by linking task encoding to film-associated context.</w:t>
      </w:r>
      <w:r>
        <w:t xml:space="preserve"> </w:t>
      </w:r>
      <w:r>
        <w:t xml:space="preserve">They then decompose why this competition has different effects across retrieval conditions: deliberate recall can give film material a more selective basis for recall, and recognition-like tests can present the candidate item for judgment rather than requiring it to be brought to mind.</w:t>
      </w:r>
      <w:r>
        <w:t xml:space="preserve"> </w:t>
      </w:r>
      <w:r>
        <w:t xml:space="preserve">The result is a mechanistic alternative to selective-vulnerability accounts of the selective-interference effect that clarifies boundary conditions for the dissociation and motivates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The studies behind this effect use tests that differ in whether film content has to come to mind or is presented for judgment.</w:t>
      </w:r>
      <w:r>
        <w:t xml:space="preserve"> </w:t>
      </w:r>
      <w:r>
        <w:t xml:space="preserve">Diary measures count film memories that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specific probing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Work beyond recognition tests asks whether the dissociation survives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r>
        <w:t xml:space="preserve">Panel A of</w:t>
      </w:r>
      <w:r>
        <w:t xml:space="preserve"> </w:t>
      </w:r>
      <w:hyperlink w:anchor="fig-empirical-target">
        <w:r>
          <w:rPr>
            <w:rStyle w:val="Hyperlink"/>
          </w:rPr>
          <w:t xml:space="preserve">Figure 1</w:t>
        </w:r>
      </w:hyperlink>
      <w:r>
        <w:t xml:space="preserve"> </w:t>
      </w:r>
      <w:r>
        <w:t xml:space="preserve">defines the simulated trauma-film sequence: film encoding, a possible reminder, task encoding, and later unguided or deliberate retrieval.</w:t>
      </w:r>
      <w:r>
        <w:t xml:space="preserve"> </w:t>
      </w:r>
      <w:r>
        <w:t xml:space="preserve">In the simulated vigilance-like retrieval setting, film-related cues can be present during retrieval, but the model still has to sample a film item from the current retrieval state.</w:t>
      </w:r>
      <w:r>
        <w:t xml:space="preserve"> </w:t>
      </w:r>
      <w:r>
        <w:t xml:space="preserve">Recognition differs because the candidate film item is already present at test.</w:t>
      </w:r>
      <w:r>
        <w:t xml:space="preserve"> </w:t>
      </w:r>
      <w:r>
        <w:t xml:space="preserve">When the test presents that item for judgment, memory can succeed through a different route than when film content has to be generated or reported.</w:t>
      </w:r>
      <w:r>
        <w:t xml:space="preserve"> </w:t>
      </w:r>
      <w:r>
        <w:t xml:space="preserve">The retrieved-context account must explain why reminder-linked task material can compete with film recall in vigilance-like conditions while recognition remains relatively preserved.</w:t>
      </w:r>
    </w:p>
    <w:p>
      <w:pPr>
        <w:pStyle w:val="BodyText"/>
      </w:pPr>
      <w:hyperlink w:anchor="fig-empirical-examples">
        <w:r>
          <w:rPr>
            <w:rStyle w:val="Hyperlink"/>
          </w:rPr>
          <w:t xml:space="preserve">Figure 2</w:t>
        </w:r>
      </w:hyperlink>
      <w:r>
        <w:t xml:space="preserve"> </w:t>
      </w:r>
      <w:r>
        <w:t xml:space="preserve">illustrates the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The simulations implement this control component with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a simplified film/source feature plays the same architectural role in this model.</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09" w:name="references"/>
    <w:p>
      <w:pPr>
        <w:pStyle w:val="Heading1"/>
      </w:pPr>
      <w:r>
        <w:t xml:space="preserve">References</w:t>
      </w:r>
    </w:p>
    <w:bookmarkStart w:id="208"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8">
        <w:r>
          <w:rPr>
            <w:rStyle w:val="Hyperlink"/>
          </w:rPr>
          <w:t xml:space="preserve">https://doi.org/10.1037/rev0000132</w:t>
        </w:r>
      </w:hyperlink>
    </w:p>
    <w:bookmarkEnd w:id="199"/>
    <w:bookmarkStart w:id="20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0">
        <w:r>
          <w:rPr>
            <w:rStyle w:val="Hyperlink"/>
          </w:rPr>
          <w:t xml:space="preserve">https://doi.org/10.1038/s41562-024-01956-y</w:t>
        </w:r>
      </w:hyperlink>
    </w:p>
    <w:bookmarkEnd w:id="201"/>
    <w:bookmarkStart w:id="20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2">
        <w:r>
          <w:rPr>
            <w:rStyle w:val="Hyperlink"/>
          </w:rPr>
          <w:t xml:space="preserve">https://doi.org/10.1525/collabra.130791</w:t>
        </w:r>
      </w:hyperlink>
    </w:p>
    <w:bookmarkEnd w:id="203"/>
    <w:bookmarkStart w:id="20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4">
        <w:r>
          <w:rPr>
            <w:rStyle w:val="Hyperlink"/>
          </w:rPr>
          <w:t xml:space="preserve">https://doi.org/10.1037/0278-7393.32.4.792</w:t>
        </w:r>
      </w:hyperlink>
    </w:p>
    <w:bookmarkEnd w:id="205"/>
    <w:bookmarkStart w:id="20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6">
        <w:r>
          <w:rPr>
            <w:rStyle w:val="Hyperlink"/>
          </w:rPr>
          <w:t xml:space="preserve">https://doi.org/10.1037/rev0000505</w:t>
        </w:r>
      </w:hyperlink>
    </w:p>
    <w:bookmarkEnd w:id="207"/>
    <w:bookmarkEnd w:id="208"/>
    <w:bookmarkEnd w:id="20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2026-06-30T15:18:14Z</dcterms:created>
  <dcterms:modified xsi:type="dcterms:W3CDTF">2026-06-30T15:18:14Z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