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8.png" ContentType="image/png"/>
  <Override PartName="/word/media/rId67.png" ContentType="image/png"/>
  <Override PartName="/word/media/rId63.png" ContentType="image/png"/>
  <Override PartName="/word/media/rId72.png" ContentType="image/png"/>
  <Override PartName="/word/media/rId77.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In the trauma-film paradigm, visuospatial tasks performed after film encoding or a later film reminder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unguided retrieval and deliberate recall draw on the same film and task associations but differ in how strongly retrieval is constrained toward film items.</w:t>
      </w:r>
      <w:r>
        <w:t xml:space="preserve"> </w:t>
      </w:r>
      <w:r>
        <w:t xml:space="preserve">In the model, film context remains active after encoding and can later be reinstated by reminders, so an interfering task performed in either state associates task items with context states similar to film context.</w:t>
      </w:r>
      <w:r>
        <w:t xml:space="preserve"> </w:t>
      </w:r>
      <w:r>
        <w:t xml:space="preserve">At retrieval, overlapping context can cue both film items and task competitors, reducing the probability that film items win retrieval even though stored film-item associations remain unchanged.</w:t>
      </w:r>
      <w:r>
        <w:t xml:space="preserve"> </w:t>
      </w:r>
      <w:r>
        <w:t xml:space="preserve">Deliberate recall is less vulnerable when task goals provide a film-directed start cue and selection emphasizes film items over competitors; externally supplied film-related cues can also steer access toward film context across test formats.</w:t>
      </w:r>
      <w:r>
        <w:t xml:space="preserve"> </w:t>
      </w:r>
      <w:r>
        <w:t xml:space="preserve">Together, the simulations reproduce selective impairment of unguided retrieval relative to deliberate recall and specify when the intrusion-voluntary-memory dissociation should be more or less pronounced, helping to interpret heterogeneity across empirical paradigms.</w:t>
      </w:r>
      <w:r>
        <w:t xml:space="preserve"> </w:t>
      </w:r>
      <w:r>
        <w:t xml:space="preserve">Our results show that selective interference can arise from retrieval dynamics in a single retrieved-context system.</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Related post-reminder studies show that a reminder-plus-Tetris procedure can reduce later intrusions after a longer delay</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family of interpretations treats the selective interference effect as evidence that the memory underlying intrusions is more vulnerable to interference than the memory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compete with consolidation of the sensory or intrusion-supporting trace, reducing later intrusions while leaving the contextual trace and voluntary memory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For post-reminder interventions,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 interference effect reflects a capacity to intentionally focus retrieval on goal-relevant event information while reducing the influence of competing memories.</w:t>
      </w:r>
    </w:p>
    <w:p>
      <w:pPr>
        <w:pStyle w:val="BodyText"/>
      </w:pPr>
      <w:r>
        <w:t xml:space="preserve">We formalize this proposal in an emotional variant of the Context Maintenance and Retrieval (CMR) framework</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 context cues candidate items, and retrieved or supplied items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Controlled retrieval can be represented in CMR by allowing recall to begin from a cued or reinstated context, by varying how sharply context-to-item support is converted into item selection, and by monitoring sampled candidates against a retrieval target</w:t>
      </w:r>
      <w:r>
        <w:t xml:space="preserve"> </w:t>
      </w:r>
      <w:r>
        <w:t xml:space="preserve">(</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preserve these retrieved-context operations while adding an emotional-context pathway and emotion-dependent binding</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properties make CMR a principled setting for a single-system retrieved-context account of selective interference.</w:t>
      </w:r>
    </w:p>
    <w:p>
      <w:pPr>
        <w:pStyle w:val="BodyText"/>
      </w:pPr>
      <w:r>
        <w:t xml:space="preserve">To map this framework onto the trauma-film paradigm, the model presents film, task, and delay-period items in sequence while context evolves.</w:t>
      </w:r>
      <w:r>
        <w:t xml:space="preserve"> </w:t>
      </w:r>
      <w:r>
        <w:t xml:space="preserve">Film reminders can reinstate film-associated context before task encoding, so task items are encoded while context remains similar to states associated with film items.</w:t>
      </w:r>
      <w:r>
        <w:t xml:space="preserve"> </w:t>
      </w:r>
      <w:r>
        <w:t xml:space="preserve">At retrieval, the current context state cues memory search, so film and task items can both receive support when they have been associated with similar context states.</w:t>
      </w:r>
      <w:r>
        <w:t xml:space="preserve"> </w:t>
      </w:r>
      <w:r>
        <w:t xml:space="preserve">Unguided and deliberate retrieval can draw on the same learned associations while differing in the context cues and monitoring applied during search.</w:t>
      </w:r>
      <w:r>
        <w:t xml:space="preserve"> </w:t>
      </w:r>
      <w:r>
        <w:t xml:space="preserve">Whereas unguided retrieval remains broadly cue-driven by the current context, control processes during deliberate recall can keep search oriented toward film targets.</w:t>
      </w:r>
      <w:r>
        <w:t xml:space="preserve"> </w:t>
      </w:r>
      <w:r>
        <w:t xml:space="preserve">The selective interference effect therefore reflects differential control over a shared associative memory, rather than selective vulnerability of separate memory representations.</w:t>
      </w:r>
    </w:p>
    <w:p>
      <w:pPr>
        <w:pStyle w:val="BodyText"/>
      </w:pPr>
      <w:r>
        <w:t xml:space="preserve">The simulations decompose the account at the level where CMR makes concrete commitments: how recall is distributed across film, task, and delay-period items, and how that distribution changes when cues act on different parts of the item-context loop.</w:t>
      </w:r>
      <w:r>
        <w:t xml:space="preserve"> </w:t>
      </w:r>
      <w:r>
        <w:t xml:space="preserve">Simulations 1 and 2 establish the core mechanism: reminder-driven task encoding creates position-structured overlap with the film context trajectory, and deliberate recall is protected when start-state control selects a diagnostic early-film context before retrieval.</w:t>
      </w:r>
      <w:r>
        <w:t xml:space="preserve"> </w:t>
      </w:r>
      <w:r>
        <w:t xml:space="preserve">Simulations 3 and 4 then examine test-phase consequences of bidirectional item-context associations, testing whether supplied film information helps sidestep context-binding interference instantiated by task items.</w:t>
      </w:r>
      <w:r>
        <w:t xml:space="preserve"> </w:t>
      </w:r>
      <w:r>
        <w:t xml:space="preserve">Simulation 5 examines possible accounts compatible with retrieved-context theory of how visuospatial interference tasks differ from comparison tasks in their effects on later memory, distinguishing encoding strength, context-drift, and source-context overlap accounts.</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Context-to-item retrieval uses current context to cue candidate items.</w:t>
      </w:r>
      <w:r>
        <w:t xml:space="preserve"> </w:t>
      </w:r>
      <w:r>
        <w:t xml:space="preserve">Competition follows when film items and task competitors are associated with similar context states.</w:t>
      </w:r>
      <w:r>
        <w:t xml:space="preserve"> </w:t>
      </w:r>
      <w:r>
        <w:t xml:space="preserve">Item-to-context retrieval allows recalled items, reminder cues, and supplied film items to reinstate associated context.</w:t>
      </w:r>
      <w:r>
        <w:t xml:space="preserve"> </w:t>
      </w:r>
      <w:r>
        <w:t xml:space="preserve">Film-directed retrieval control changes the starting cue and selection rule used to favor film items over task competitors.</w:t>
      </w:r>
      <w:r>
        <w:t xml:space="preserve"> </w:t>
      </w:r>
      <w:hyperlink w:anchor="fig-retrieved-context-account">
        <w:r>
          <w:rPr>
            <w:rStyle w:val="Hyperlink"/>
          </w:rPr>
          <w:t xml:space="preserve">Figure 1</w:t>
        </w:r>
      </w:hyperlink>
      <w:r>
        <w:t xml:space="preserve"> </w:t>
      </w:r>
      <w:r>
        <w:t xml:space="preserve">shows how these mechanisms map onto the trauma-film paradigm.</w:t>
      </w:r>
    </w:p>
    <w:p>
      <w:r>
        <w:br w:type="page"/>
      </w:r>
    </w:p>
    <w:bookmarkStart w:id="28" w:name="fig-retrieved-context-account"/>
    <w:p>
      <w:pPr>
        <w:pStyle w:val="FigureTitle"/>
      </w:pPr>
      <w:r>
        <w:t xml:space="preserve">Figure 1</w:t>
      </w:r>
    </w:p>
    <w:p>
      <w:pPr>
        <w:pStyle w:val="Caption"/>
      </w:pPr>
      <w:r>
        <w:rPr>
          <w:b/>
          <w:bCs/>
        </w:rPr>
        <w:t xml:space="preserve">A retrieved-context account of selective interference.</w:t>
      </w:r>
      <w:r>
        <w:t xml:space="preserve"> </w:t>
      </w:r>
      <w:r>
        <w:t xml:space="preserve">Task items interfere when they are bound to film-associated context strongly enough to be cued with film items, and deliberate recall gains protection when film-directed control favors film items within the same association set.</w:t>
      </w:r>
      <w:r>
        <w:t xml:space="preserve"> </w:t>
      </w:r>
      <w:r>
        <w:rPr>
          <w:b/>
          <w:bCs/>
        </w:rPr>
        <w:t xml:space="preserve">(A)</w:t>
      </w:r>
      <w:r>
        <w:t xml:space="preserve"> </w:t>
      </w:r>
      <w:r>
        <w:t xml:space="preserve">The simulated paradigm includes film encoding, a structured break, a film reminder, interference or comparison task, a delay period, and retrieval tests.</w:t>
      </w:r>
      <w:r>
        <w:t xml:space="preserve"> </w:t>
      </w:r>
      <w:r>
        <w:rPr>
          <w:b/>
          <w:bCs/>
        </w:rPr>
        <w:t xml:space="preserve">(B)</w:t>
      </w:r>
      <w:r>
        <w:t xml:space="preserve"> </w:t>
      </w:r>
      <w:r>
        <w:t xml:space="preserve">Film and task items remain distinct while becoming associated with context states active at encoding; contextual overlap makes task items likely to be cued alongside film items, and task encoding strength determines how strongly they compete once cued.</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The same stored associations support unguided retrieval and deliberate recall, with deliberate recall gaining protection from a film-directed start cue and film-directed selection.</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context when they are encoded soon after the film, after a reminder has reinstated film-associated context, or when they share a non-temporal source feature with film items.</w:t>
      </w:r>
      <w:r>
        <w:t xml:space="preserve"> </w:t>
      </w:r>
      <w:r>
        <w:t xml:space="preserve">Delay and filler activity move context away from the film, reducing the likelihood that later retrieval cues film items and task competitors together.</w:t>
      </w:r>
      <w:r>
        <w:t xml:space="preserve"> </w:t>
      </w:r>
      <w:r>
        <w:t xml:space="preserve">These conditions determine whether task items are likely to be cued alongside film items; task encoding strength determines how strongly they compete once cued.</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model, this source-context pathway can amplify competition when film and task items share the marked source feature.</w:t>
      </w:r>
    </w:p>
    <w:p>
      <w:pPr>
        <w:pStyle w:val="BodyText"/>
      </w:pPr>
      <w:r>
        <w:t xml:space="preserve">Context-to-item retrieval uses the current context state to cue candidate items.</w:t>
      </w:r>
      <w:r>
        <w:t xml:space="preserve"> </w:t>
      </w:r>
      <w:r>
        <w:t xml:space="preserve">Unguided retrieval is the model analogue of conditions in which film memories come to mind with little film-directed guidance from task goals or external cues.</w:t>
      </w:r>
      <w:r>
        <w:t xml:space="preserve"> </w:t>
      </w:r>
      <w:r>
        <w:t xml:space="preserve">When a retrieval context resembles states associated with both film items and task items, the same cue supports both sets.</w:t>
      </w:r>
      <w:r>
        <w:t xml:space="preserve"> </w:t>
      </w:r>
      <w:r>
        <w:t xml:space="preserve">Such broad, weakly guided retrieval is especially vulnerable to this competition: as task competitors receive support, any given film item becomes less likely to be selected for recall over competitor items.</w:t>
      </w:r>
      <w:r>
        <w:t xml:space="preserve"> </w:t>
      </w:r>
      <w:r>
        <w:t xml:space="preserve">The size of this effect depends on the number of competitors, their learned support, and the similarity between their associated temporal or source-context states and film context.</w:t>
      </w:r>
      <w:r>
        <w:t xml:space="preserve"> </w:t>
      </w:r>
      <w:r>
        <w:t xml:space="preserve">In these simulations, task modality is represented through those quantities: the learned support task items receive and the similarity between task-associated context and film-associated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 across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allow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In delayed-interference paradigms, a reminder of the film is used before task encoding in studies that interpret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the same item-to-context pathway to reinstate film-associated context, paralleling temporal-context explanations of human post-reminder effects</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Delayed interference is therefore graded by reminder strength and subsequent drift, because those quantities determine how much film-associated context remains available when the task is encoded.</w:t>
      </w:r>
    </w:p>
    <w:p>
      <w:pPr>
        <w:pStyle w:val="BodyText"/>
      </w:pPr>
      <w:r>
        <w:t xml:space="preserve">The same item-to-context pathway also matters at test.</w:t>
      </w:r>
      <w:r>
        <w:t xml:space="preserve"> </w:t>
      </w:r>
      <w:r>
        <w:t xml:space="preserve">During recall or monitoring, retrieved or presented items update context as retrieval unfolds.</w:t>
      </w:r>
      <w:r>
        <w:t xml:space="preserve"> </w:t>
      </w:r>
      <w:r>
        <w:t xml:space="preserve">Retrieving a film item pulls context toward film-associated states and can support additional film retrieval, whereas retrieving a task competitor pulls context toward task-associated states and can prolong competition.</w:t>
      </w:r>
      <w:r>
        <w:t xml:space="preserve"> </w:t>
      </w:r>
      <w:r>
        <w:t xml:space="preserve">Film-related cues supplied during test can likewise update context, making subsequent retrieval less dependent on internal cue maintenance.</w:t>
      </w:r>
      <w:r>
        <w:t xml:space="preserve"> </w:t>
      </w:r>
      <w:r>
        <w:t xml:space="preserve">Retrieval tests that supply a film item can be less vulnerable to interference, because the supplied item reinstates associated context and reduces reliance on selecting film items from a mixed competitor set</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film-directed retrieval over the same stored associations.</w:t>
      </w:r>
      <w:r>
        <w:t xml:space="preserve"> </w:t>
      </w:r>
      <w:r>
        <w:t xml:space="preserve">Its protection depends on how retrieval control changes the search.</w:t>
      </w:r>
      <w:r>
        <w:t xml:space="preserve"> </w:t>
      </w:r>
      <w:r>
        <w:t xml:space="preserve">Deliberate recall using context-to-item retrieval remains exposed to competitor interference.</w:t>
      </w:r>
      <w:r>
        <w:t xml:space="preserve"> </w:t>
      </w:r>
      <w:r>
        <w:t xml:space="preserve">The first control lever is cue construction or start-state control, which can reinstate context from the beginning of the film sequence before recall and bias search toward film items.</w:t>
      </w:r>
      <w:r>
        <w:t xml:space="preserve"> </w:t>
      </w:r>
      <w:r>
        <w:t xml:space="preserve">The second is competition focusing or filtering, which sharpens selection among candidates and favors strongly supported film items over weaker or off-target competitors.</w:t>
      </w:r>
      <w:r>
        <w:t xml:space="preserve"> </w:t>
      </w:r>
      <w:r>
        <w:t xml:space="preserve">These levers yield graded protection: deliberate recall can lose film items when competition is strong, but endogenous film-directed control can reduce that loss relative to broad retrieval from ongoing context.</w:t>
      </w:r>
    </w:p>
    <w:p>
      <w:pPr>
        <w:pStyle w:val="BodyText"/>
      </w:pPr>
      <w:r>
        <w:t xml:space="preserve">The simulations instantiate these commitments in an emotional CMR model with phase-specific encoding, reminder-driven reinstatement, retrieval-control mechanisms, and source-context overlap</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film, break/delay, post-film task, and filler/delay periods form a continuous encoded stream, and a film reminder can reinstate film-associated context before task encoding.</w:t>
      </w:r>
      <w:r>
        <w:t xml:space="preserve"> </w:t>
      </w:r>
      <w:r>
        <w:t xml:space="preserve">Second, non-film events from the break, task, and filler phases are encoded as distinct recallable items that can compete with film items during retrieval.</w:t>
      </w:r>
      <w:r>
        <w:t xml:space="preserve"> </w:t>
      </w:r>
      <w:r>
        <w:t xml:space="preserve">This setup lets selective interference appear as a redistribution of retrieval across encoded phases, rather than as a direct reduction in film-item strength.</w:t>
      </w:r>
    </w:p>
    <w:bookmarkEnd w:id="29"/>
    <w:bookmarkStart w:id="54"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baseline parameters, then specifies the context-updating, learning, retrieval, and control operations used to configure the selective-interference simulations.</w:t>
      </w:r>
    </w:p>
    <w:bookmarkStart w:id="33"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symbolic base parameters used by the model.</w:t>
      </w:r>
      <w:r>
        <w:t xml:space="preserve"> </w:t>
      </w:r>
      <w:r>
        <w:t xml:space="preserve">The table separates parameters that define the inherited CMR operations from parameters later scaled or manipulated in the simulations; numerical values and phase settings are specified in the simulation methodology.</w:t>
      </w:r>
    </w:p>
    <w:bookmarkStart w:id="30" w:name="tbl-base-parameters"/>
    <w:p>
      <w:pPr>
        <w:pStyle w:val="FigureTitle"/>
      </w:pPr>
      <w:r>
        <w:t xml:space="preserve">Table 1</w:t>
      </w:r>
    </w:p>
    <w:p>
      <w:pPr>
        <w:pStyle w:val="Caption"/>
      </w:pPr>
      <w:r>
        <w:t xml:space="preserve">Base parameters and roles in the model specification.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start-cue parameter</w:t>
            </w:r>
          </w:p>
        </w:tc>
        <w:tc>
          <w:tcPr/>
          <w:p>
            <w:pPr>
              <w:pStyle w:val="Compact"/>
            </w:pPr>
            <w:r>
              <w:t xml:space="preserve">Start-of-list context reinstatement or film-directed cueing</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Sharpness of retrieval competition</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30"/>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selective-interference simulations vary the new associations formed across phases.</w:t>
      </w:r>
      <w:r>
        <w:t xml:space="preserve"> </w:t>
      </w:r>
      <w:r>
        <w:t xml:space="preserve">These baseline associations are fixed model architecture and are held constant across the selective-interference simulations.</w:t>
      </w:r>
      <w:r>
        <w:t xml:space="preserve"> </w:t>
      </w:r>
      <w:r>
        <w:t xml:space="preserve">For the start unit and item-associated temporal context units:</w:t>
      </w:r>
    </w:p>
    <w:p>
      <w:pPr>
        <w:pStyle w:val="BodyText"/>
      </w:pPr>
      <w:bookmarkStart w:id="31"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31"/>
    </w:p>
    <w:p>
      <w:pPr>
        <w:pStyle w:val="FirstParagraph"/>
      </w:pPr>
      <w:bookmarkStart w:id="32"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32"/>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33"/>
    <w:bookmarkStart w:id="45"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reminded, or supplied items.</w:t>
      </w:r>
      <w:r>
        <w:t xml:space="preserve"> </w:t>
      </w: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34"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34"/>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35"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35"/>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36"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36"/>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37"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37"/>
    </w:p>
    <w:p>
      <w:pPr>
        <w:pStyle w:val="FirstParagraph"/>
      </w:pPr>
      <w:r>
        <w:t xml:space="preserve">A primacy function weights context-to-feature learning:</w:t>
      </w:r>
    </w:p>
    <w:p>
      <w:pPr>
        <w:pStyle w:val="BodyText"/>
      </w:pPr>
      <w:bookmarkStart w:id="38"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38"/>
    </w:p>
    <w:p>
      <w:pPr>
        <w:pStyle w:val="FirstParagraph"/>
      </w:pPr>
      <w:r>
        <w:t xml:space="preserve">Context-to-feature associations update as:</w:t>
      </w:r>
    </w:p>
    <w:p>
      <w:pPr>
        <w:pStyle w:val="BodyText"/>
      </w:pPr>
      <w:bookmarkStart w:id="39"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39"/>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40"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40"/>
    </w:p>
    <w:p>
      <w:pPr>
        <w:pStyle w:val="FirstParagraph"/>
      </w:pPr>
      <w:r>
        <w:t xml:space="preserve">The choice sensitivity</w:t>
      </w:r>
      <w:r>
        <w:t xml:space="preserve"> </w:t>
      </w:r>
      <m:oMath>
        <m:r>
          <m:t>τ</m:t>
        </m:r>
      </m:oMath>
      <w:r>
        <w:t xml:space="preserve"> </w:t>
      </w:r>
      <w:r>
        <w:t xml:space="preserve">sharpens competition among candidates:</w:t>
      </w:r>
    </w:p>
    <w:p>
      <w:pPr>
        <w:pStyle w:val="BodyText"/>
      </w:pPr>
      <w:bookmarkStart w:id="41"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41"/>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42"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42"/>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43"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43"/>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44"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44"/>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supplied film items use the context update without adding a new recallable event.</w:t>
      </w:r>
    </w:p>
    <w:bookmarkEnd w:id="45"/>
    <w:bookmarkStart w:id="49" w:name="retrieval-control"/>
    <w:p>
      <w:pPr>
        <w:pStyle w:val="Heading2"/>
      </w:pPr>
      <w:r>
        <w:t xml:space="preserve">Retrieval Control</w:t>
      </w:r>
    </w:p>
    <w:p>
      <w:pPr>
        <w:pStyle w:val="FirstParagraph"/>
      </w:pPr>
      <w:r>
        <w:t xml:space="preserve">Retrieval-control settings alter the starting state and selection process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film-directed start/context cueing:</w:t>
      </w:r>
    </w:p>
    <w:p>
      <w:pPr>
        <w:pStyle w:val="BodyText"/>
      </w:pPr>
      <w:bookmarkStart w:id="46" w:name="eq-deliberate-start-cue"/>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46"/>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start-of-list context reinstatement.</w:t>
      </w:r>
      <w:r>
        <w:t xml:space="preserve"> </w:t>
      </w:r>
      <w:r>
        <w:t xml:space="preserve">The second control setting is sharper selection,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sharpens competition among all candidates.</w:t>
      </w:r>
      <w:r>
        <w:t xml:space="preserve"> </w:t>
      </w:r>
      <w:r>
        <w:t xml:space="preserve">It protects film recall only when film-directed cueing gives film items stronger support than task competitors.</w:t>
      </w:r>
      <w:r>
        <w:t xml:space="preserve"> </w:t>
      </w:r>
      <w:r>
        <w:t xml:space="preserve">The third control setting is target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Target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target monitoring, the context update after sampled item</w:t>
      </w:r>
      <w:r>
        <w:t xml:space="preserve"> </w:t>
      </w:r>
      <m:oMath>
        <m:r>
          <m:t>i</m:t>
        </m:r>
      </m:oMath>
      <w:r>
        <w:t xml:space="preserve"> </w:t>
      </w:r>
      <w:r>
        <w:t xml:space="preserve">becomes:</w:t>
      </w:r>
    </w:p>
    <w:p>
      <w:pPr>
        <w:pStyle w:val="BodyText"/>
      </w:pPr>
      <w:bookmarkStart w:id="47"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47"/>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48"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48"/>
    </w:p>
    <w:p>
      <w:pPr>
        <w:pStyle w:val="FirstParagraph"/>
      </w:pPr>
      <w:r>
        <w:t xml:space="preserve">Supplied film items therefore use the same feature-to-context operation as sampled and reminded items.</w:t>
      </w:r>
    </w:p>
    <w:bookmarkEnd w:id="49"/>
    <w:bookmarkStart w:id="53" w:name="source-context"/>
    <w:p>
      <w:pPr>
        <w:pStyle w:val="Heading2"/>
      </w:pPr>
      <w:r>
        <w:t xml:space="preserve">Source Context</w:t>
      </w:r>
    </w:p>
    <w:p>
      <w:pPr>
        <w:pStyle w:val="FirstParagraph"/>
      </w:pPr>
      <w:r>
        <w:t xml:space="preserve">The source-context pathway adapts the emotional/source-context machinery of eCMR and CMR3 to the present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Here, we use the same architectural role for a simplified film-source dimension: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 unless a later source-overlap manipulation states otherwise.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50"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50"/>
    </w:p>
    <w:p>
      <w:pPr>
        <w:pStyle w:val="FirstParagraph"/>
      </w:pPr>
      <w:r>
        <w:t xml:space="preserve">Source-context-to-feature support begins at zero:</w:t>
      </w:r>
    </w:p>
    <w:p>
      <w:pPr>
        <w:pStyle w:val="BodyText"/>
      </w:pPr>
      <w:bookmarkStart w:id="51"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51"/>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52"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52"/>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in the current simulations,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At retrieval onset, all current simulations include a fixed partial reinstatement of the marked film-source context.</w:t>
      </w:r>
      <w:r>
        <w:t xml:space="preserve"> </w:t>
      </w:r>
      <w:r>
        <w:t xml:space="preserve">This operation represents the test setting orienting retrieval toward the film episode at the level of source context.</w:t>
      </w:r>
      <w:r>
        <w:t xml:space="preserve"> </w:t>
      </w:r>
      <w:r>
        <w:t xml:space="preserve">It is distinct from the temporal start-of-list cue manipulated in Simulation 2: an unguided-retrieval condition lacks deliberate temporal start-of-list reinstatement, but it is not a condition with no film-relevant test orientation at all.</w:t>
      </w:r>
      <w:r>
        <w:t xml:space="preserve"> </w:t>
      </w:r>
      <w:r>
        <w:t xml:space="preserve"> </w:t>
      </w:r>
      <w:r>
        <w:t xml:space="preserve">Task items are assigned the marked source feature only in later source-overlap variants.</w:t>
      </w:r>
      <w:r>
        <w:t xml:space="preserve"> </w:t>
      </w:r>
      <w:r>
        <w:t xml:space="preserve">When film and task items share the marked source feature and source context-to-feature learning is enabled,</w:t>
      </w:r>
      <w:r>
        <w:t xml:space="preserve"> </w:t>
      </w:r>
      <w:hyperlink w:anchor="eq-emot-mcf-learning">
        <w:r>
          <w:rPr>
            <w:rStyle w:val="Hyperlink"/>
          </w:rPr>
          <w:t xml:space="preserve">Equation 19</w:t>
        </w:r>
      </w:hyperlink>
      <w:r>
        <w:t xml:space="preserve"> </w:t>
      </w:r>
      <w:r>
        <w:t xml:space="preserve">can amplify competition beyond temporal proximity alone.</w:t>
      </w:r>
    </w:p>
    <w:p>
      <w:pPr>
        <w:pStyle w:val="BodyText"/>
      </w:pPr>
      <w:r>
        <w:t xml:space="preserve">These equations define the item-context architecture used in all simulations.</w:t>
      </w:r>
      <w:r>
        <w:t xml:space="preserve"> </w:t>
      </w:r>
      <w:r>
        <w:t xml:space="preserve">Because retrieval proceeds as a sequence of competitive samples terminated by a growing stop probability, task competitors can reduce film-item access by winning individual retrieval competitions before search terminates.</w:t>
      </w:r>
    </w:p>
    <w:bookmarkEnd w:id="53"/>
    <w:bookmarkEnd w:id="54"/>
    <w:bookmarkStart w:id="83" w:name="simulations"/>
    <w:p>
      <w:pPr>
        <w:pStyle w:val="Heading1"/>
      </w:pPr>
      <w:r>
        <w:t xml:space="preserve">Simulations</w:t>
      </w:r>
    </w:p>
    <w:p>
      <w:pPr>
        <w:pStyle w:val="FirstParagraph"/>
      </w:pPr>
      <w:r>
        <w:t xml:space="preserve">The simulations instantiate the retrieved-context account in a controlled trauma-film analogue.</w:t>
      </w:r>
      <w:r>
        <w:t xml:space="preserve"> </w:t>
      </w:r>
      <w:r>
        <w:t xml:space="preserve">They are organized into three linked groups: a core context-binding and retrieval-control demonstration, cue and test-format consequences of bidirectional item-context associations, and task-property boundary conditions.</w:t>
      </w:r>
      <w:r>
        <w:t xml:space="preserve"> </w:t>
      </w:r>
      <w:r>
        <w:t xml:space="preserve">Simulation 1 shows how a post-reminder task reduces film recall when task items receive strong context-to-feature learning in context states that overlap with the film trajectory.</w:t>
      </w:r>
      <w:r>
        <w:t xml:space="preserve"> </w:t>
      </w:r>
      <w:r>
        <w:t xml:space="preserve">Simulation 2 adds the intentionality manipulation by comparing unguided retrieval with deliberate recall and then decomposing the film-directed control settings that reduce deliberate-recall vulnerability.</w:t>
      </w:r>
      <w:r>
        <w:t xml:space="preserve"> </w:t>
      </w:r>
      <w:r>
        <w:t xml:space="preserve">Simulation 3 varies test-phase film-item cues drawn from the film sequence to separate cue-driven film access from diagnostic retrieval control.</w:t>
      </w:r>
      <w:r>
        <w:t xml:space="preserve"> </w:t>
      </w:r>
      <w:r>
        <w:t xml:space="preserve">Simulation 4 compares context-to-item recall with supplied-item access formats.</w:t>
      </w:r>
      <w:r>
        <w:t xml:space="preserve"> </w:t>
      </w:r>
      <w:r>
        <w:t xml:space="preserve">Simulation 5 examines which task properties make the post-film task effective, including task-item learning strength, contextual similarity, and source-context overlap.</w:t>
      </w:r>
    </w:p>
    <w:bookmarkStart w:id="57" w:name="methodology"/>
    <w:p>
      <w:pPr>
        <w:pStyle w:val="Heading2"/>
      </w:pPr>
      <w:r>
        <w:t xml:space="preserve">Methodology</w:t>
      </w:r>
    </w:p>
    <w:p>
      <w:pPr>
        <w:pStyle w:val="FirstParagraph"/>
      </w:pPr>
      <w:r>
        <w:t xml:space="preserve">Base parameters were anchored to an existing immediate free-recall dataset in which participants who reported concern about the war in Ukraine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This dataset provides an externally estimated eCMR regime for deliberate context-guided recall of affective and neutral photographs.</w:t>
      </w:r>
      <w:r>
        <w:t xml:space="preserve"> </w:t>
      </w:r>
      <w:r>
        <w:t xml:space="preserve">The fitted parameters set baseline encoding, retrieval, and stopping dynamics before the selective-interference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accomodate the difference in total encoded items between the immediate-recall paradigm and the current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current simulations.</w:t>
      </w:r>
    </w:p>
    <w:bookmarkStart w:id="55" w:name="tbl-simulation-parameters"/>
    <w:p>
      <w:pPr>
        <w:pStyle w:val="FigureTitle"/>
      </w:pPr>
      <w:r>
        <w:t xml:space="preserve">Table 2</w:t>
      </w:r>
    </w:p>
    <w:p>
      <w:pPr>
        <w:pStyle w:val="Caption"/>
      </w:pPr>
      <w:r>
        <w:t xml:space="preserve">Default numerical parameter values used in the current simulations.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Start-cue parameter</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o</m:t>
                  </m:r>
                  <m:r>
                    <m:rPr>
                      <m:sty m:val="p"/>
                    </m:rPr>
                    <m:t>u</m:t>
                  </m:r>
                  <m:r>
                    <m:rPr>
                      <m:sty m:val="p"/>
                    </m:rPr>
                    <m:t>r</m:t>
                  </m:r>
                  <m:r>
                    <m:rPr>
                      <m:sty m:val="p"/>
                    </m:rPr>
                    <m:t>c</m:t>
                  </m:r>
                  <m:r>
                    <m:rPr>
                      <m:sty m:val="p"/>
                    </m:rPr>
                    <m:t>e</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55"/>
    <w:p>
      <w:pPr>
        <w:pStyle w:val="AfterWithoutNote"/>
      </w:pPr>
      <w:r>
        <w:t xml:space="preserve">The current simulations update associations after context integration and disallow repeated sampling of the same item.</w:t>
      </w:r>
    </w:p>
    <w:p>
      <w:pPr>
        <w:pStyle w:val="BodyText"/>
      </w:pPr>
      <w:r>
        <w:t xml:space="preserve">Each simulated trial contains 16 film items, 16 break/buffer items, 16 task items, and 16 filler items.</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target monitoring count an off-target sample as a retrieval attempt, attenuate its context update, and still allow search to continue.</w:t>
      </w:r>
    </w:p>
    <w:p>
      <w:pPr>
        <w:pStyle w:val="BodyText"/>
      </w:pPr>
      <w:r>
        <w:t xml:space="preserve">Film, break/buffer, task, and filler items are encoded by the same CMR operations defined above.</w:t>
      </w:r>
      <w:r>
        <w:t xml:space="preserve"> </w:t>
      </w:r>
      <w:r>
        <w:t xml:space="preserve">Phase settings control temporal drift and context-to-feature learning strength.</w:t>
      </w:r>
      <w:r>
        <w:t xml:space="preserve"> </w:t>
      </w:r>
      <w:r>
        <w:t xml:space="preserve">In the no-reminder condition used for Simulation 1, the reminder-start and film-item reminder-cue drift scales are set to zero.</w:t>
      </w:r>
      <w:r>
        <w:t xml:space="preserve"> </w:t>
      </w:r>
      <w:r>
        <w:t xml:space="preserve">In the with-reminder condition, context first shifts toward the start state and then receives sequential film-item reminder cues before task encoding.</w:t>
      </w:r>
      <w:r>
        <w:t xml:space="preserve"> </w:t>
      </w:r>
      <w:r>
        <w:t xml:space="preserve">Reminder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but they do not apply</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do not add new recallable items.</w:t>
      </w:r>
      <w:r>
        <w:t xml:space="preserve"> </w:t>
      </w:r>
      <w:hyperlink w:anchor="tbl-simulation-phase-settings">
        <w:r>
          <w:rPr>
            <w:rStyle w:val="Hyperlink"/>
          </w:rPr>
          <w:t xml:space="preserve">Table 3</w:t>
        </w:r>
      </w:hyperlink>
      <w:r>
        <w:t xml:space="preserve"> </w:t>
      </w:r>
      <w:r>
        <w:t xml:space="preserve">summarizes the phase structure and settings used for the current Figure 2 simulations.</w:t>
      </w:r>
    </w:p>
    <w:bookmarkStart w:id="56" w:name="tbl-simulation-phase-settings"/>
    <w:p>
      <w:pPr>
        <w:pStyle w:val="FigureTitle"/>
      </w:pPr>
      <w:r>
        <w:t xml:space="preserve">Table 3</w:t>
      </w:r>
    </w:p>
    <w:p>
      <w:pPr>
        <w:pStyle w:val="Caption"/>
      </w:pPr>
      <w:r>
        <w:t xml:space="preserve">Phase structure and settings for the current Figure 2 simulations.</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film-item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sweep cell</w:t>
            </w:r>
          </w:p>
        </w:tc>
        <w:tc>
          <w:tcPr/>
          <w:p>
            <w:pPr>
              <w:pStyle w:val="Compact"/>
              <w:jc w:val="right"/>
            </w:pPr>
            <w:r>
              <w:t xml:space="preserve">5000</w:t>
            </w:r>
          </w:p>
        </w:tc>
        <w:tc>
          <w:tcPr/>
          <w:p>
            <w:pPr>
              <w:pStyle w:val="Compact"/>
            </w:pPr>
            <w:r>
              <w:t xml:space="preserve">Replications used for Figure 2 estimates</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film-item cue reinstatement</w:t>
            </w:r>
          </w:p>
        </w:tc>
      </w:tr>
      <w:tr>
        <w:tc>
          <w:tcPr/>
          <w:p>
            <w:pPr>
              <w:pStyle w:val="Compact"/>
            </w:pPr>
            <w:r>
              <w:t xml:space="preserve">Task learning factor</w:t>
            </w:r>
          </w:p>
        </w:tc>
        <w:tc>
          <w:tcPr/>
          <w:p>
            <w:pPr>
              <w:pStyle w:val="Compact"/>
              <w:jc w:val="right"/>
            </w:pPr>
            <w:r>
              <w:t xml:space="preserve">0.0–3.0 by 0.5</w:t>
            </w:r>
          </w:p>
        </w:tc>
        <w:tc>
          <w:tcPr/>
          <w:p>
            <w:pPr>
              <w:pStyle w:val="Compact"/>
            </w:pPr>
            <w:r>
              <w:t xml:space="preserve">Multiplies task-phase context-to-feature learning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56"/>
    <w:p>
      <w:pPr>
        <w:pStyle w:val="AfterWithoutNote"/>
      </w:pPr>
      <w:r>
        <w:t xml:space="preserve">For each condition and sweep value, the model encodes the phase sequence, enters retrieval,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 and repeats this process across simulated trials.</w:t>
      </w:r>
      <w:r>
        <w:t xml:space="preserve"> </w:t>
      </w:r>
      <w:r>
        <w:t xml:space="preserve">Serial-position curves estimate the probability that each encoded position appears at least once in the sampled retrieval sequence.</w:t>
      </w:r>
      <w:r>
        <w:t xml:space="preserve"> </w:t>
      </w:r>
      <w:r>
        <w:t xml:space="preserve">The model-state analyses in Figure 2 quantify two quantities that explain the behavioral curves.</w:t>
      </w:r>
      <w:r>
        <w:t xml:space="preserve"> </w:t>
      </w:r>
      <w:r>
        <w:t xml:space="preserve">The context-similarity analysis computes cosine similarity between unit-normalized temporal context states associated with film-item encoding and temporal context states active during task-item encoding.</w:t>
      </w:r>
      <w:r>
        <w:t xml:space="preserve"> </w:t>
      </w:r>
      <w:r>
        <w:t xml:space="preserve">The support-allocation analysis forms a film-context cue from the centroid of film encoding context states, applies that cue to</w:t>
      </w:r>
      <w:r>
        <w:t xml:space="preserve"> </w:t>
      </w:r>
      <m:oMath>
        <m:sSup>
          <m:e>
            <m:r>
              <m:t>M</m:t>
            </m:r>
          </m:e>
          <m:sup>
            <m:r>
              <m:t>C</m:t>
            </m:r>
            <m:r>
              <m:t>F</m:t>
            </m:r>
          </m:sup>
        </m:sSup>
      </m:oMath>
      <w:r>
        <w:t xml:space="preserve"> </w:t>
      </w:r>
      <w:r>
        <w:t xml:space="preserve">after task encoding, and computes task support divided by the sum of film and task support.</w:t>
      </w:r>
    </w:p>
    <w:bookmarkEnd w:id="57"/>
    <w:bookmarkStart w:id="62"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sweeps the task learning factor under no-reminder and with-reminder conditions.</w:t>
      </w:r>
      <w:r>
        <w:t xml:space="preserve"> </w:t>
      </w:r>
      <w:r>
        <w:t xml:space="preserve">The plotted task learning factor multiplies task-phase context-to-feature learning in</w:t>
      </w:r>
      <w:r>
        <w:t xml:space="preserve"> </w:t>
      </w:r>
      <w:hyperlink w:anchor="eq-mcf-learning">
        <w:r>
          <w:rPr>
            <w:rStyle w:val="Hyperlink"/>
          </w:rPr>
          <w:t xml:space="preserve">Equation 8</w:t>
        </w:r>
      </w:hyperlink>
      <w:r>
        <w:t xml:space="preserve">.</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context evolves continuously, the reminder manipulation also predicts where along the film sequence recall is lost, not only how much film recall changes.</w:t>
      </w:r>
      <w:r>
        <w:t xml:space="preserve"> </w:t>
      </w:r>
      <w:r>
        <w:t xml:space="preserve">Simulation 2 then examines whether film-directed retrieval control can protect recall by cueing a more diagnostic part of the film trajectory.</w:t>
      </w:r>
    </w:p>
    <w:bookmarkStart w:id="61" w:name="fig-simulation1-context-binding"/>
    <w:p>
      <w:pPr>
        <w:pStyle w:val="FigureTitle"/>
      </w:pPr>
      <w:r>
        <w:t xml:space="preserve">Figure 2</w:t>
      </w:r>
    </w:p>
    <w:p>
      <w:pPr>
        <w:pStyle w:val="Caption"/>
      </w:pPr>
      <w:r>
        <w:rPr>
          <w:b/>
          <w:bCs/>
        </w:rPr>
        <w:t xml:space="preserve">Reminder-driven context overlap makes task encoding strength consequential for film recall.</w:t>
      </w:r>
      <w:r>
        <w:t xml:space="preserve"> </w:t>
      </w:r>
      <w:r>
        <w:t xml:space="preserve">Simulation 1 demonstrates how task items can become competitors for film recall by varying task encoding strength with or without a sequential film-item reminder before task encoding.</w:t>
      </w:r>
      <w:r>
        <w:t xml:space="preserve"> </w:t>
      </w:r>
      <w:r>
        <w:rPr>
          <w:b/>
          <w:bCs/>
        </w:rPr>
        <w:t xml:space="preserve">(A)</w:t>
      </w:r>
      <w:r>
        <w:t xml:space="preserve"> </w:t>
      </w:r>
      <w:r>
        <w:t xml:space="preserve">Without a film reminder, task items become associated with later context states reached after drift away from the film, so stronger task encoding produces only modest redistribution from film items to task items.</w:t>
      </w:r>
      <w:r>
        <w:t xml:space="preserve"> </w:t>
      </w:r>
      <w:r>
        <w:rPr>
          <w:b/>
          <w:bCs/>
        </w:rPr>
        <w:t xml:space="preserve">(B)</w:t>
      </w:r>
      <w:r>
        <w:t xml:space="preserve"> </w:t>
      </w:r>
      <w:r>
        <w:t xml:space="preserve">With a film reminder, task items become associated with context states more similar to those associated with film items, so stronger task encoding produces larger redistribution from film items to task items.</w:t>
      </w:r>
      <w:r>
        <w:t xml:space="preserve"> </w:t>
      </w:r>
      <w:r>
        <w:rPr>
          <w:b/>
          <w:bCs/>
        </w:rPr>
        <w:t xml:space="preserve">(C)</w:t>
      </w:r>
      <w:r>
        <w:t xml:space="preserve"> </w:t>
      </w:r>
      <w:r>
        <w:t xml:space="preserve">The temporal-context trace remains position-resolved: reminder cues make the states active during task encoding more similar to positions along the film context trajectory.</w:t>
      </w:r>
      <w:r>
        <w:t xml:space="preserve"> </w:t>
      </w:r>
      <w:r>
        <w:rPr>
          <w:b/>
          <w:bCs/>
        </w:rPr>
        <w:t xml:space="preserve">(D)</w:t>
      </w:r>
      <w:r>
        <w:t xml:space="preserve"> </w:t>
      </w:r>
      <w:r>
        <w:t xml:space="preserve">When the model is probed with a broad film-context cue and the active source context, stronger task encoding assigns a larger share of item support to task items, especially after a film reminder.</w:t>
      </w:r>
    </w:p>
    <w:p>
      <w:pPr>
        <w:pStyle w:val="FigureWithoutNote"/>
      </w:pPr>
      <w:r>
        <w:drawing>
          <wp:inline>
            <wp:extent cx="5943600" cy="3562918"/>
            <wp:effectExtent b="0" l="0" r="0" t="0"/>
            <wp:docPr descr="" title="" id="59" name="Picture"/>
            <a:graphic>
              <a:graphicData uri="http://schemas.openxmlformats.org/drawingml/2006/picture">
                <pic:pic>
                  <pic:nvPicPr>
                    <pic:cNvPr descr="figures/simulation1_context_binding.png" id="60" name="Picture"/>
                    <pic:cNvPicPr>
                      <a:picLocks noChangeArrowheads="1" noChangeAspect="1"/>
                    </pic:cNvPicPr>
                  </pic:nvPicPr>
                  <pic:blipFill>
                    <a:blip r:embed="rId58"/>
                    <a:stretch>
                      <a:fillRect/>
                    </a:stretch>
                  </pic:blipFill>
                  <pic:spPr bwMode="auto">
                    <a:xfrm>
                      <a:off x="0" y="0"/>
                      <a:ext cx="5943600" cy="3562918"/>
                    </a:xfrm>
                    <a:prstGeom prst="rect">
                      <a:avLst/>
                    </a:prstGeom>
                    <a:noFill/>
                    <a:ln w="9525">
                      <a:noFill/>
                      <a:headEnd/>
                      <a:tailEnd/>
                    </a:ln>
                  </pic:spPr>
                </pic:pic>
              </a:graphicData>
            </a:graphic>
          </wp:inline>
        </w:drawing>
      </w:r>
    </w:p>
    <w:bookmarkEnd w:id="61"/>
    <w:p>
      <w:pPr>
        <w:pStyle w:val="AfterWithoutNote"/>
      </w:pPr>
      <w:r>
        <w:t xml:space="preserve">Panels A and B show phase-resolved recall probability across encoded positions.</w:t>
      </w:r>
      <w:r>
        <w:t xml:space="preserve"> </w:t>
      </w:r>
      <w:r>
        <w:t xml:space="preserve">Without a film reminder, increasing task learning produces only modest loss of film recall and only modest gain in task recall, because task items become associated with later context states reached after drift away from the film.</w:t>
      </w:r>
      <w:r>
        <w:t xml:space="preserve"> </w:t>
      </w:r>
      <w:r>
        <w:t xml:space="preserve">With a film reminder, the same task-learning manipulation produces a much larger redistribution from film positions to task positions.</w:t>
      </w:r>
      <w:r>
        <w:t xml:space="preserve"> </w:t>
      </w:r>
      <w:r>
        <w:t xml:space="preserve">The with-reminder condition therefore shows that task strength matters most when task items are encoded in a film-related context state.</w:t>
      </w:r>
      <w:r>
        <w:t xml:space="preserve"> </w:t>
      </w:r>
      <w:r>
        <w:t xml:space="preserve">This overlap is not a single quantity.</w:t>
      </w:r>
      <w:r>
        <w:t xml:space="preserve"> </w:t>
      </w:r>
      <w:r>
        <w:t xml:space="preserve">The temporal component remains position-resolved, as shown by the serial-position curves and the similarity matrix, while the fixed source-context settings add broader film-level support.</w:t>
      </w:r>
      <w:r>
        <w:t xml:space="preserve"> </w:t>
      </w:r>
      <w:r>
        <w:t xml:space="preserve">Because the sequential reminder drives context through film-item cues before task encoding, the strongest task competition arises when task items are encoded with both recent film-temporal context and active film-source context.</w:t>
      </w:r>
      <w:r>
        <w:t xml:space="preserve"> </w:t>
      </w:r>
      <w:r>
        <w:t xml:space="preserve">At the endpoints of the task-learning sweep, mean film recall in the no-reminder condition changes from 0.318 at task learning factor 0.0 to 0.268 at factor 3.0, while mean task recall changes from 0.000 to 0.143.</w:t>
      </w:r>
      <w:r>
        <w:t xml:space="preserve"> </w:t>
      </w:r>
      <w:r>
        <w:t xml:space="preserve">In the with-reminder condition, mean film recall changes from 0.306 to 0.064, while mean task recall changes from 0.000 to 0.384.</w:t>
      </w:r>
    </w:p>
    <w:p>
      <w:pPr>
        <w:pStyle w:val="BodyText"/>
      </w:pPr>
      <w:r>
        <w:t xml:space="preserve">Panels C and D explain why the no-reminder and with-reminder curves diverge.</w:t>
      </w:r>
      <w:r>
        <w:t xml:space="preserve"> </w:t>
      </w:r>
      <w:r>
        <w:t xml:space="preserve">Panel C quantifies temporal-context similarity between the states associated with film items and the states active during task encoding.</w:t>
      </w:r>
      <w:r>
        <w:t xml:space="preserve"> </w:t>
      </w:r>
      <w:r>
        <w:t xml:space="preserve">When a sequential film-item reminder reinstates the film trajectory before task encoding, the temporal context at task encoding becomes more similar to film-associated positions.</w:t>
      </w:r>
      <w:r>
        <w:t xml:space="preserve"> </w:t>
      </w:r>
      <w:r>
        <w:t xml:space="preserve">Panel D quantifies how much support task items receive from a broad film-context centroid cue after task encoding, including the source-context support available at that point in the paradigm.</w:t>
      </w:r>
      <w:r>
        <w:t xml:space="preserve"> </w:t>
      </w:r>
      <w:r>
        <w:t xml:space="preserve">As task context-to-feature learning increases, task items receive a larger share of item support when this broad temporal/source cue probes retrieval, especially after the film reminder.</w:t>
      </w:r>
      <w:r>
        <w:t xml:space="preserve"> </w:t>
      </w:r>
      <w:r>
        <w:t xml:space="preserve">Across the task-learning sweep, film encoding settings remain unchanged.</w:t>
      </w:r>
      <w:r>
        <w:t xml:space="preserve"> </w:t>
      </w:r>
      <w:r>
        <w:t xml:space="preserve">The loss of film recall comes from stronger support for task items that can be cued by film-associated context.</w:t>
      </w:r>
      <w:r>
        <w:t xml:space="preserve"> </w:t>
      </w:r>
      <w:r>
        <w:t xml:space="preserve">Task items remain distinct from film items but become increasingly likely to win retrieval from film-related cues.</w:t>
      </w:r>
      <w:r>
        <w:t xml:space="preserve"> </w:t>
      </w:r>
      <w:r>
        <w:t xml:space="preserve">Simulation 2 next examines whether film-directed retrieval control reduces the impact of these task-item associations by cueing a more diagnostic part of the film trajectory.</w:t>
      </w:r>
    </w:p>
    <w:bookmarkEnd w:id="62"/>
    <w:bookmarkStart w:id="71" w:name="X61cfa1f4b6f5f81a08acf6762affb886f5840ec"/>
    <w:p>
      <w:pPr>
        <w:pStyle w:val="Heading2"/>
      </w:pPr>
      <w:r>
        <w:t xml:space="preserve">Simulation 2: Retrieval Control and Film-Directed Recall</w:t>
      </w:r>
    </w:p>
    <w:p>
      <w:pPr>
        <w:pStyle w:val="FirstParagraph"/>
      </w:pPr>
      <w:r>
        <w:t xml:space="preserve">Simulation 2 turns from encoding conditions to retrieval control.</w:t>
      </w:r>
      <w:r>
        <w:t xml:space="preserve"> </w:t>
      </w:r>
      <w:r>
        <w:t xml:space="preserve">The broader Simulation 2 package decomposes deliberate recall into three film-directed control operations: start-of-list context reinstatement, selection sharpening, and target monitoring.</w:t>
      </w:r>
      <w:r>
        <w:t xml:space="preserve"> </w:t>
      </w:r>
      <w:r>
        <w:t xml:space="preserve">Figure 3 isolates the first operation.</w:t>
      </w:r>
      <w:r>
        <w:t xml:space="preserve"> </w:t>
      </w:r>
      <w:r>
        <w:t xml:space="preserve">In the model, deliberate recall can begin by drifting current context toward the start-of-list state before the first retrieval attempt.</w:t>
      </w:r>
      <w:r>
        <w:t xml:space="preserve"> </w:t>
      </w:r>
      <w:r>
        <w:t xml:space="preserve">Because film items are encoded first, the start-of-list state is film-relevant in the present paradigm: reinstating it changes the context used to cue the first retrieval competition while leaving the learned film and task associations otherwise unchanged.</w:t>
      </w:r>
      <w:r>
        <w:t xml:space="preserve"> </w:t>
      </w:r>
      <w:r>
        <w:t xml:space="preserve">This operation differs from test-phase film-item cueing: it targets the beginning of the film trajectory, where the retrieval context is more diagnostic of film items than of late non-film competitors.</w:t>
      </w:r>
      <w:r>
        <w:t xml:space="preserve"> </w:t>
      </w:r>
      <w:r>
        <w:t xml:space="preserve">All conditions in the current Simulation 2 figures also include the fixed film-source retrieval orientation described above.</w:t>
      </w:r>
      <w:r>
        <w:t xml:space="preserve"> </w:t>
      </w:r>
      <w:r>
        <w:t xml:space="preserve">Thus,</w:t>
      </w:r>
      <w:r>
        <w:t xml:space="preserve"> </w:t>
      </w:r>
      <w:r>
        <w:t xml:space="preserve">“no start-of-list reinstatement”</w:t>
      </w:r>
      <w:r>
        <w:t xml:space="preserve"> </w:t>
      </w:r>
      <w:r>
        <w:t xml:space="preserve">means no deliberate temporal start cue, not the absence of any film-relevant test context.</w:t>
      </w:r>
      <w:r>
        <w:t xml:space="preserve"> </w:t>
      </w:r>
      <w:r>
        <w:t xml:space="preserve">The simulation holds the post-reminder task condition fixed at task learning factor 2.0 and varies the degree of start-of-list context reinstatement.</w:t>
      </w:r>
      <w:r>
        <w:t xml:space="preserve"> </w:t>
      </w:r>
      <w:r>
        <w:t xml:space="preserve">The plotted reinstatement values are multiples of the fitted start-cue parameter, so 1.0 corresponds to</w:t>
      </w:r>
      <w:r>
        <w:t xml:space="preserve"> </w:t>
      </w:r>
      <m:oMath>
        <m:sSub>
          <m:e>
            <m:r>
              <m:t>β</m:t>
            </m:r>
          </m:e>
          <m:sub>
            <m:r>
              <m:t>s</m:t>
            </m:r>
            <m:r>
              <m:t>t</m:t>
            </m:r>
            <m:r>
              <m:t>a</m:t>
            </m:r>
            <m:r>
              <m:t>r</m:t>
            </m:r>
            <m:r>
              <m:t>t</m:t>
            </m:r>
          </m:sub>
        </m:sSub>
      </m:oMath>
      <w:r>
        <w:t xml:space="preserve"> </w:t>
      </w:r>
      <w:r>
        <w:t xml:space="preserve">in</w:t>
      </w:r>
      <w:r>
        <w:t xml:space="preserve"> </w:t>
      </w:r>
      <w:hyperlink w:anchor="eq-deliberate-start-cue">
        <w:r>
          <w:rPr>
            <w:rStyle w:val="Hyperlink"/>
          </w:rPr>
          <w:t xml:space="preserve">Equation 14</w:t>
        </w:r>
      </w:hyperlink>
      <w:r>
        <w:t xml:space="preserve">.</w:t>
      </w:r>
    </w:p>
    <w:bookmarkStart w:id="66" w:name="Xe96feb7454d6b23e449dfafb9c326dcfa9c3226"/>
    <w:p>
      <w:pPr>
        <w:pStyle w:val="FigureTitle"/>
      </w:pPr>
      <w:r>
        <w:t xml:space="preserve">Figure 3</w:t>
      </w:r>
    </w:p>
    <w:p>
      <w:pPr>
        <w:pStyle w:val="Caption"/>
      </w:pPr>
      <w:r>
        <w:rPr>
          <w:b/>
          <w:bCs/>
        </w:rPr>
        <w:t xml:space="preserve">Start-of-list context reinstatement protects film recall by changing the context that cues retrieval.</w:t>
      </w:r>
      <w:r>
        <w:t xml:space="preserve"> </w:t>
      </w:r>
      <w:r>
        <w:t xml:space="preserve">Simulation 2 demonstrates how a deliberate-recall start operation can protect film recall after post-reminder task encoding by drifting retrieval context toward the start-of-list state immediately before the first retrieval attempt.</w:t>
      </w:r>
      <w:r>
        <w:t xml:space="preserve"> </w:t>
      </w:r>
      <w:r>
        <w:rPr>
          <w:b/>
          <w:bCs/>
        </w:rPr>
        <w:t xml:space="preserve">(A)</w:t>
      </w:r>
      <w:r>
        <w:t xml:space="preserve"> </w:t>
      </w:r>
      <w:r>
        <w:t xml:space="preserve">Before any item is sampled, stronger start-of-list context reinstatement makes the retrieval context support early film items rather than late filler items.</w:t>
      </w:r>
      <w:r>
        <w:t xml:space="preserve"> </w:t>
      </w:r>
      <w:r>
        <w:rPr>
          <w:b/>
          <w:bCs/>
        </w:rPr>
        <w:t xml:space="preserve">(B)</w:t>
      </w:r>
      <w:r>
        <w:t xml:space="preserve"> </w:t>
      </w:r>
      <w:r>
        <w:t xml:space="preserve">This pre-recall support shift makes recall more likely to begin with film items, especially items from the beginning of the film sequence.</w:t>
      </w:r>
      <w:r>
        <w:t xml:space="preserve"> </w:t>
      </w:r>
      <w:r>
        <w:rPr>
          <w:b/>
          <w:bCs/>
        </w:rPr>
        <w:t xml:space="preserve">(C)</w:t>
      </w:r>
      <w:r>
        <w:t xml:space="preserve"> </w:t>
      </w:r>
      <w:r>
        <w:t xml:space="preserve">Across the sampled retrieval sequence, stronger start-of-list context reinstatement increases access to film items, with the largest gains concentrated near the beginning of the film sequence.</w:t>
      </w:r>
      <w:r>
        <w:t xml:space="preserve"> </w:t>
      </w:r>
      <w:r>
        <w:t xml:space="preserve">Because sampled early film items reinstate nearby early-film context, and because context drifts gradually during retrieval, a start-of-recall context shift can affect later samples as well as the first sampled item.</w:t>
      </w:r>
    </w:p>
    <w:p>
      <w:pPr>
        <w:pStyle w:val="FigureWithoutNote"/>
      </w:pPr>
      <w:r>
        <w:drawing>
          <wp:inline>
            <wp:extent cx="5943600" cy="4209375"/>
            <wp:effectExtent b="0" l="0" r="0" t="0"/>
            <wp:docPr descr="" title="" id="64" name="Picture"/>
            <a:graphic>
              <a:graphicData uri="http://schemas.openxmlformats.org/drawingml/2006/picture">
                <pic:pic>
                  <pic:nvPicPr>
                    <pic:cNvPr descr="figures/simulation2_start_context_reinstatement.png" id="65" name="Picture"/>
                    <pic:cNvPicPr>
                      <a:picLocks noChangeArrowheads="1" noChangeAspect="1"/>
                    </pic:cNvPicPr>
                  </pic:nvPicPr>
                  <pic:blipFill>
                    <a:blip r:embed="rId63"/>
                    <a:stretch>
                      <a:fillRect/>
                    </a:stretch>
                  </pic:blipFill>
                  <pic:spPr bwMode="auto">
                    <a:xfrm>
                      <a:off x="0" y="0"/>
                      <a:ext cx="5943600" cy="4209375"/>
                    </a:xfrm>
                    <a:prstGeom prst="rect">
                      <a:avLst/>
                    </a:prstGeom>
                    <a:noFill/>
                    <a:ln w="9525">
                      <a:noFill/>
                      <a:headEnd/>
                      <a:tailEnd/>
                    </a:ln>
                  </pic:spPr>
                </pic:pic>
              </a:graphicData>
            </a:graphic>
          </wp:inline>
        </w:drawing>
      </w:r>
    </w:p>
    <w:bookmarkEnd w:id="66"/>
    <w:p>
      <w:pPr>
        <w:pStyle w:val="AfterWithoutNote"/>
      </w:pPr>
      <w:r>
        <w:t xml:space="preserve">Panel A probes</w:t>
      </w:r>
      <w:r>
        <w:t xml:space="preserve"> </w:t>
      </w:r>
      <m:oMath>
        <m:sSup>
          <m:e>
            <m:r>
              <m:t>M</m:t>
            </m:r>
          </m:e>
          <m:sup>
            <m:r>
              <m:t>C</m:t>
            </m:r>
            <m:r>
              <m:t>F</m:t>
            </m:r>
          </m:sup>
        </m:sSup>
      </m:oMath>
      <w:r>
        <w:t xml:space="preserve"> </w:t>
      </w:r>
      <w:r>
        <w:t xml:space="preserve">with the pre-recall retrieval context before Luce choice, stopping, or sampled-item context updating.</w:t>
      </w:r>
      <w:r>
        <w:t xml:space="preserve"> </w:t>
      </w:r>
      <w:r>
        <w:t xml:space="preserve">With no start-of-list context reinstatement, support is concentrated in late filler positions because the retrieval context reflects the post-filler state.</w:t>
      </w:r>
      <w:r>
        <w:t xml:space="preserve"> </w:t>
      </w:r>
      <w:r>
        <w:t xml:space="preserve">As start-of-list context reinstatement increases, support shifts toward early film positions.</w:t>
      </w:r>
      <w:r>
        <w:t xml:space="preserve"> </w:t>
      </w:r>
      <w:r>
        <w:t xml:space="preserve">Panels B and C apply the same retrieval settings to sampled retrieval sequences.</w:t>
      </w:r>
      <w:r>
        <w:t xml:space="preserve"> </w:t>
      </w:r>
      <w:r>
        <w:t xml:space="preserve">Panel B shows that this support shift changes recall initiation, with first recalls moving from filler positions when start-of-list context reinstatement is omitted to early film positions as reinstatement increases.</w:t>
      </w:r>
      <w:r>
        <w:t xml:space="preserve"> </w:t>
      </w:r>
      <w:r>
        <w:t xml:space="preserve">Panel C shows that the initiation shift has full-sequence consequences: sampled early film items reinstate nearby early-film context and raise film-item access across subsequent samples.</w:t>
      </w:r>
      <w:r>
        <w:t xml:space="preserve"> </w:t>
      </w:r>
      <w:r>
        <w:t xml:space="preserve">Under the strong task setting used here, task items remain available to be sampled later in the sequence, so the next step is to examine how selection operates once a retrieval cue has been set.</w:t>
      </w:r>
    </w:p>
    <w:p>
      <w:pPr>
        <w:pStyle w:val="BodyText"/>
      </w:pPr>
      <w:r>
        <w:t xml:space="preserve">The second control setting is retrieval selectivity.</w:t>
      </w:r>
      <w:r>
        <w:t xml:space="preserve"> </w:t>
      </w:r>
      <w:r>
        <w:t xml:space="preserve">This manipulation scales the choice-sensitivity parameter</w:t>
      </w:r>
      <w:r>
        <w:t xml:space="preserve"> </w:t>
      </w:r>
      <m:oMath>
        <m:r>
          <m:t>τ</m:t>
        </m:r>
      </m:oMath>
      <w:r>
        <w:t xml:space="preserve"> </w:t>
      </w:r>
      <w:r>
        <w:t xml:space="preserve">in</w:t>
      </w:r>
      <w:r>
        <w:t xml:space="preserve"> </w:t>
      </w:r>
      <w:hyperlink w:anchor="eq-choice-sensitivity">
        <w:r>
          <w:rPr>
            <w:rStyle w:val="Hyperlink"/>
          </w:rPr>
          <w:t xml:space="preserve">Equation 10</w:t>
        </w:r>
      </w:hyperlink>
      <w:r>
        <w:t xml:space="preserve">, changing how sharply candidate support is converted into selection probability.</w:t>
      </w:r>
      <w:r>
        <w:t xml:space="preserve"> </w:t>
      </w:r>
      <w:r>
        <w:t xml:space="preserve">It does not supply a film cue by itself.</w:t>
      </w:r>
      <w:r>
        <w:t xml:space="preserve"> </w:t>
      </w:r>
      <w:r>
        <w:t xml:space="preserve">Instead, it makes the candidate structure supplied by the current context more consequential.</w:t>
      </w:r>
      <w:r>
        <w:t xml:space="preserve"> </w:t>
      </w:r>
      <w:r>
        <w:t xml:space="preserve">Figure 4 crosses retrieval selectivity with start-of-list context reinstatement while holding the same post-reminder task condition fixed.</w:t>
      </w:r>
      <w:r>
        <w:t xml:space="preserve"> </w:t>
      </w:r>
      <w:r>
        <w:t xml:space="preserve">The final panel introduces target monitoring as a post-off-target recovery operation.</w:t>
      </w:r>
      <w:r>
        <w:t xml:space="preserve"> </w:t>
      </w:r>
      <w:r>
        <w:t xml:space="preserve">Here, target monitoring refers to control engaged after a sampled candidate is recognized as off target: the operation can reduce how strongly that candidate pulls subsequent search away from film context that is already accessible.</w:t>
      </w:r>
      <w:r>
        <w:t xml:space="preserve"> </w:t>
      </w:r>
      <w:r>
        <w:t xml:space="preserve">The concrete CMR-style implementation used here is rejected-sample updating.</w:t>
      </w:r>
      <w:r>
        <w:t xml:space="preserve"> </w:t>
      </w:r>
      <w:r>
        <w:t xml:space="preserve">Sampled off-target candidates still occupy retrieval attempts, but their context update is multiplied by</w:t>
      </w:r>
      <w:r>
        <w:t xml:space="preserve"> </w:t>
      </w:r>
      <m:oMath>
        <m:r>
          <m:t>κ</m:t>
        </m:r>
      </m:oMath>
      <w:r>
        <w:t xml:space="preserve">, with</w:t>
      </w:r>
      <w:r>
        <w:t xml:space="preserve"> </w:t>
      </w:r>
      <m:oMath>
        <m:r>
          <m:t>κ</m:t>
        </m:r>
        <m:r>
          <m:rPr>
            <m:sty m:val="p"/>
          </m:rPr>
          <m:t>=</m:t>
        </m:r>
        <m:r>
          <m:t>1</m:t>
        </m:r>
      </m:oMath>
      <w:r>
        <w:t xml:space="preserve"> </w:t>
      </w:r>
      <w:r>
        <w:t xml:space="preserve">giving the normal sampled-item update and</w:t>
      </w:r>
      <w:r>
        <w:t xml:space="preserve"> </w:t>
      </w:r>
      <m:oMath>
        <m:r>
          <m:t>κ</m:t>
        </m:r>
        <m:r>
          <m:rPr>
            <m:sty m:val="p"/>
          </m:rPr>
          <m:t>=</m:t>
        </m:r>
        <m:r>
          <m:t>0</m:t>
        </m:r>
      </m:oMath>
      <w:r>
        <w:t xml:space="preserve"> </w:t>
      </w:r>
      <w:r>
        <w:t xml:space="preserve">preventing off-target context updating.</w:t>
      </w:r>
    </w:p>
    <w:bookmarkStart w:id="70" w:name="fig-simulation2-retrieval-selectivity"/>
    <w:p>
      <w:pPr>
        <w:pStyle w:val="FigureTitle"/>
      </w:pPr>
      <w:r>
        <w:t xml:space="preserve">Figure 4</w:t>
      </w:r>
    </w:p>
    <w:p>
      <w:pPr>
        <w:pStyle w:val="Caption"/>
      </w:pPr>
      <w:r>
        <w:rPr>
          <w:b/>
          <w:bCs/>
        </w:rPr>
        <w:t xml:space="preserve">Retrieval selectivity sharpens the current search path, while target monitoring limits drift after off-target samples.</w:t>
      </w:r>
      <w:r>
        <w:t xml:space="preserve"> </w:t>
      </w:r>
      <w:r>
        <w:t xml:space="preserve">Simulation 2 demonstrates why deliberate recall requires more than globally sharper selection by first varying retrieval selectivity after post-reminder task encoding, with or without start-of-list context reinstatement, and then examining a rejected-sample implementation of off-target recovery.</w:t>
      </w:r>
      <w:r>
        <w:t xml:space="preserve"> </w:t>
      </w:r>
      <w:r>
        <w:rPr>
          <w:b/>
          <w:bCs/>
        </w:rPr>
        <w:t xml:space="preserve">(A)</w:t>
      </w:r>
      <w:r>
        <w:t xml:space="preserve"> </w:t>
      </w:r>
      <w:r>
        <w:t xml:space="preserve">With start-of-list reinstatement, higher retrieval selectivity increases short-lag transitions, indicating stronger local search around the currently active temporal neighborhood.</w:t>
      </w:r>
      <w:r>
        <w:t xml:space="preserve"> </w:t>
      </w:r>
      <w:r>
        <w:rPr>
          <w:b/>
          <w:bCs/>
        </w:rPr>
        <w:t xml:space="preserve">(B)</w:t>
      </w:r>
      <w:r>
        <w:t xml:space="preserve"> </w:t>
      </w:r>
      <w:r>
        <w:t xml:space="preserve">Without start-of-list reinstatement, sharper local search amplifies recall of late non-film items because the ongoing retrieval context most strongly supports those positions.</w:t>
      </w:r>
      <w:r>
        <w:t xml:space="preserve"> </w:t>
      </w:r>
      <w:r>
        <w:rPr>
          <w:b/>
          <w:bCs/>
        </w:rPr>
        <w:t xml:space="preserve">(C)</w:t>
      </w:r>
      <w:r>
        <w:t xml:space="preserve"> </w:t>
      </w:r>
      <w:r>
        <w:t xml:space="preserve">With start-of-list reinstatement, the same increase in retrieval selectivity amplifies recall of film items because retrieval begins from context that supports the start of the film sequence.</w:t>
      </w:r>
      <w:r>
        <w:t xml:space="preserve"> </w:t>
      </w:r>
      <w:r>
        <w:rPr>
          <w:b/>
          <w:bCs/>
        </w:rPr>
        <w:t xml:space="preserve">(D)</w:t>
      </w:r>
      <w:r>
        <w:t xml:space="preserve"> </w:t>
      </w:r>
      <w:r>
        <w:t xml:space="preserve">A concrete rejected-sample implementation shows the same constraint: reducing the context update after off-target samples helps retrieval return to film items only when start-of-list reinstatement has already made film items accessible.</w:t>
      </w:r>
      <w:r>
        <w:t xml:space="preserve"> </w:t>
      </w:r>
      <w:r>
        <w:t xml:space="preserve">Together, the panels show that selection sharpening is conditional on the current retrieval context, whereas target monitoring can limit the aftereffects of off-target samples without supplying a film cue by itself.</w:t>
      </w:r>
    </w:p>
    <w:p>
      <w:pPr>
        <w:pStyle w:val="FigureWithoutNote"/>
      </w:pPr>
      <w:r>
        <w:drawing>
          <wp:inline>
            <wp:extent cx="5943600" cy="4052068"/>
            <wp:effectExtent b="0" l="0" r="0" t="0"/>
            <wp:docPr descr="" title="" id="68" name="Picture"/>
            <a:graphic>
              <a:graphicData uri="http://schemas.openxmlformats.org/drawingml/2006/picture">
                <pic:pic>
                  <pic:nvPicPr>
                    <pic:cNvPr descr="figures/simulation2_retrieval_selectivity.png" id="69" name="Picture"/>
                    <pic:cNvPicPr>
                      <a:picLocks noChangeArrowheads="1" noChangeAspect="1"/>
                    </pic:cNvPicPr>
                  </pic:nvPicPr>
                  <pic:blipFill>
                    <a:blip r:embed="rId67"/>
                    <a:stretch>
                      <a:fillRect/>
                    </a:stretch>
                  </pic:blipFill>
                  <pic:spPr bwMode="auto">
                    <a:xfrm>
                      <a:off x="0" y="0"/>
                      <a:ext cx="5943600" cy="4052068"/>
                    </a:xfrm>
                    <a:prstGeom prst="rect">
                      <a:avLst/>
                    </a:prstGeom>
                    <a:noFill/>
                    <a:ln w="9525">
                      <a:noFill/>
                      <a:headEnd/>
                      <a:tailEnd/>
                    </a:ln>
                  </pic:spPr>
                </pic:pic>
              </a:graphicData>
            </a:graphic>
          </wp:inline>
        </w:drawing>
      </w:r>
    </w:p>
    <w:bookmarkEnd w:id="70"/>
    <w:p>
      <w:pPr>
        <w:pStyle w:val="AfterWithoutNote"/>
      </w:pPr>
      <w:r>
        <w:t xml:space="preserve">Panel A shows the local-search consequence of increasing retrieval selectivity in the start-of-list reinstatement condition.</w:t>
      </w:r>
      <w:r>
        <w:t xml:space="preserve"> </w:t>
      </w:r>
      <w:r>
        <w:t xml:space="preserve">Because the Luce choice rule exaggerates differences in candidate support, higher values make successive recalls cluster more strongly around nearby encoded positions.</w:t>
      </w:r>
      <w:r>
        <w:t xml:space="preserve"> </w:t>
      </w:r>
      <w:r>
        <w:t xml:space="preserve">Panels B and C show that the recall consequences of this local search depend on the retrieval context.</w:t>
      </w:r>
      <w:r>
        <w:t xml:space="preserve"> </w:t>
      </w:r>
      <w:r>
        <w:t xml:space="preserve">When recall begins from the ongoing post-filler context, increasing retrieval selectivity favors the late non-film items most strongly supported by that context.</w:t>
      </w:r>
      <w:r>
        <w:t xml:space="preserve"> </w:t>
      </w:r>
      <w:r>
        <w:t xml:space="preserve">When recall begins after start-of-list context reinstatement, increasing retrieval selectivity favors the early film items supported by the reinstated context.</w:t>
      </w:r>
      <w:r>
        <w:t xml:space="preserve"> </w:t>
      </w:r>
      <w:r>
        <w:t xml:space="preserve">Panel D conditions on transitions where the current sample is off target, retrieval continues, and at least one film item remains unsampled.</w:t>
      </w:r>
      <w:r>
        <w:t xml:space="preserve"> </w:t>
      </w:r>
      <w:r>
        <w:t xml:space="preserve">Without start-of-list context reinstatement, the probability that the next sample is a film item remains near zero across the</w:t>
      </w:r>
      <w:r>
        <w:t xml:space="preserve"> </w:t>
      </w:r>
      <m:oMath>
        <m:r>
          <m:t>κ</m:t>
        </m:r>
      </m:oMath>
      <w:r>
        <w:t xml:space="preserve"> </w:t>
      </w:r>
      <w:r>
        <w:t xml:space="preserve">sweep.</w:t>
      </w:r>
      <w:r>
        <w:t xml:space="preserve"> </w:t>
      </w:r>
      <w:r>
        <w:t xml:space="preserve">With start-of-list context reinstatement, lowering</w:t>
      </w:r>
      <w:r>
        <w:t xml:space="preserve"> </w:t>
      </w:r>
      <m:oMath>
        <m:r>
          <m:t>κ</m:t>
        </m:r>
      </m:oMath>
      <w:r>
        <w:t xml:space="preserve"> </w:t>
      </w:r>
      <w:r>
        <w:t xml:space="preserve">from 1.0 to 0.0 raises this film-return probability from 0.059 to 0.643.</w:t>
      </w:r>
      <w:r>
        <w:t xml:space="preserve"> </w:t>
      </w:r>
      <w:r>
        <w:t xml:space="preserve">Across Figures 3 and 4, deliberate recall is protected by a sequence of control settings: start-of-list context reinstatement supplies a diagnostic early-film retrieval cue, retrieval selectivity sharpens whatever the current context supports, and target monitoring limits the context-updating consequences of sampled off-target candidates.</w:t>
      </w:r>
      <w:r>
        <w:t xml:space="preserve"> </w:t>
      </w:r>
      <w:r>
        <w:t xml:space="preserve">This sequence motivates Simulation 3: externally supplied film-item cues also update context, but they sample positions from the film sequence rather than deliberately reinstating the start-of-list state.</w:t>
      </w:r>
      <w:r>
        <w:t xml:space="preserve"> </w:t>
      </w:r>
      <w:r>
        <w:t xml:space="preserve">Their protective value therefore depends on whether the reinstated context favors film items over task competitors.</w:t>
      </w:r>
    </w:p>
    <w:bookmarkEnd w:id="71"/>
    <w:bookmarkStart w:id="76" w:name="X7a91ecbf00d273371c5cbe062d581d5817d0f04"/>
    <w:p>
      <w:pPr>
        <w:pStyle w:val="Heading2"/>
      </w:pPr>
      <w:r>
        <w:t xml:space="preserve">Simulation 3: Film Cue Inclusion and Retrieval Intentionality</w:t>
      </w:r>
    </w:p>
    <w:p>
      <w:pPr>
        <w:pStyle w:val="FirstParagraph"/>
      </w:pPr>
      <w:r>
        <w:t xml:space="preserve">Simulation 3 asks whether externally supplied film cues have the same protective value as deliberate start-of-list reinstatement.</w:t>
      </w:r>
      <w:r>
        <w:t xml:space="preserve"> </w:t>
      </w:r>
      <w:r>
        <w:t xml:space="preserve">The model implements film cue inclusion as intermittent test-phase cues: after every fourth retrieval attempt, the test supplies a randomly selected film item.</w:t>
      </w:r>
      <w:r>
        <w:t xml:space="preserve"> </w:t>
      </w:r>
      <w:r>
        <w:t xml:space="preserve">The supplied cue does not occupy a response slot, does not make the cued item unavailable for later recall, and adds no new learning.</w:t>
      </w:r>
      <w:r>
        <w:t xml:space="preserve"> </w:t>
      </w:r>
      <w:r>
        <w:t xml:space="preserve">Instead, it updates temporal and source context through the supplied item’s feature-to-context associations, after which ordinary retrieval resumes.</w:t>
      </w:r>
      <w:r>
        <w:t xml:space="preserve"> </w:t>
      </w:r>
      <w:r>
        <w:t xml:space="preserve">Cue strength is plotted as a multiplier on the fitted recall context-update rate</w:t>
      </w:r>
      <w:r>
        <w:t xml:space="preserve"> </w:t>
      </w:r>
      <m:oMath>
        <m:sSub>
          <m:e>
            <m:r>
              <m:t>β</m:t>
            </m:r>
          </m:e>
          <m:sub>
            <m:r>
              <m:t>r</m:t>
            </m:r>
            <m:r>
              <m:t>e</m:t>
            </m:r>
            <m:r>
              <m:t>c</m:t>
            </m:r>
          </m:sub>
        </m:sSub>
      </m:oMath>
      <w:r>
        <w:t xml:space="preserve">.</w:t>
      </w:r>
      <w:r>
        <w:t xml:space="preserve"> </w:t>
      </w:r>
      <w:r>
        <w:t xml:space="preserve">The vertical reference line in Figure 5 marks the cue strength that would make the supplied-cue context update approximately equal to the fitted encoding drift rate</w:t>
      </w:r>
      <w:r>
        <w:t xml:space="preserve"> </w:t>
      </w:r>
      <m:oMath>
        <m:sSub>
          <m:e>
            <m:r>
              <m:t>β</m:t>
            </m:r>
          </m:e>
          <m:sub>
            <m:r>
              <m:t>e</m:t>
            </m:r>
            <m:r>
              <m:t>n</m:t>
            </m:r>
            <m:r>
              <m:t>c</m:t>
            </m:r>
          </m:sub>
        </m:sSub>
      </m:oMath>
      <w:r>
        <w:t xml:space="preserve">.</w:t>
      </w:r>
    </w:p>
    <w:bookmarkStart w:id="75" w:name="fig-simulation3-film-cue-inclusion"/>
    <w:p>
      <w:pPr>
        <w:pStyle w:val="FigureTitle"/>
      </w:pPr>
      <w:r>
        <w:t xml:space="preserve">Figure 5</w:t>
      </w:r>
    </w:p>
    <w:p>
      <w:pPr>
        <w:pStyle w:val="Caption"/>
      </w:pPr>
      <w:r>
        <w:rPr>
          <w:b/>
          <w:bCs/>
        </w:rPr>
        <w:t xml:space="preserve">Intermittent test-phase film cues increase film access without replacing the intentionality manipulation.</w:t>
      </w:r>
      <w:r>
        <w:t xml:space="preserve"> </w:t>
      </w:r>
      <w:r>
        <w:t xml:space="preserve">Simulation 3 compares unguided retrieval with deliberate recall while varying the strength of intermittent supplied film-item cues during retrieval.</w:t>
      </w:r>
      <w:r>
        <w:t xml:space="preserve"> </w:t>
      </w:r>
      <w:r>
        <w:rPr>
          <w:b/>
          <w:bCs/>
        </w:rPr>
        <w:t xml:space="preserve">(A)</w:t>
      </w:r>
      <w:r>
        <w:t xml:space="preserve"> </w:t>
      </w:r>
      <w:r>
        <w:t xml:space="preserve">Supplied film cues occur after scheduled retrieval attempts, update context, and then allow the next ordinary retrieval competition; they are not counted as responses and do not add learning.</w:t>
      </w:r>
      <w:r>
        <w:t xml:space="preserve"> </w:t>
      </w:r>
      <w:r>
        <w:rPr>
          <w:b/>
          <w:bCs/>
        </w:rPr>
        <w:t xml:space="preserve">(B)</w:t>
      </w:r>
      <w:r>
        <w:t xml:space="preserve"> </w:t>
      </w:r>
      <w:r>
        <w:t xml:space="preserve">Film-item recall increases with cue strength, but the deliberate-minus-unguided intentionality gap remains nearly stable across weak-to-moderate cue reinstatement.</w:t>
      </w:r>
      <w:r>
        <w:t xml:space="preserve"> </w:t>
      </w:r>
      <w:r>
        <w:t xml:space="preserve">Only stronger cue reinstatement begins to narrow the gap.</w:t>
      </w:r>
      <w:r>
        <w:t xml:space="preserve"> </w:t>
      </w:r>
      <w:r>
        <w:rPr>
          <w:b/>
          <w:bCs/>
        </w:rPr>
        <w:t xml:space="preserve">(C)</w:t>
      </w:r>
      <w:r>
        <w:t xml:space="preserve"> </w:t>
      </w:r>
      <w:r>
        <w:t xml:space="preserve">Under unguided retrieval, supplied film cues modestly raise film recall but task and filler competitors remain prominent.</w:t>
      </w:r>
      <w:r>
        <w:t xml:space="preserve"> </w:t>
      </w:r>
      <w:r>
        <w:rPr>
          <w:b/>
          <w:bCs/>
        </w:rPr>
        <w:t xml:space="preserve">(D)</w:t>
      </w:r>
      <w:r>
        <w:t xml:space="preserve"> </w:t>
      </w:r>
      <w:r>
        <w:t xml:space="preserve">Under deliberate recall, film recall is already supported by start-of-list control, and supplied cues produce additional film access without eliminating task competition.</w:t>
      </w:r>
    </w:p>
    <w:p>
      <w:pPr>
        <w:pStyle w:val="FigureWithoutNote"/>
      </w:pPr>
      <w:r>
        <w:drawing>
          <wp:inline>
            <wp:extent cx="5943600" cy="4067901"/>
            <wp:effectExtent b="0" l="0" r="0" t="0"/>
            <wp:docPr descr="" title="" id="73" name="Picture"/>
            <a:graphic>
              <a:graphicData uri="http://schemas.openxmlformats.org/drawingml/2006/picture">
                <pic:pic>
                  <pic:nvPicPr>
                    <pic:cNvPr descr="figures/simulation3_film_cue_inclusion.png" id="74" name="Picture"/>
                    <pic:cNvPicPr>
                      <a:picLocks noChangeArrowheads="1" noChangeAspect="1"/>
                    </pic:cNvPicPr>
                  </pic:nvPicPr>
                  <pic:blipFill>
                    <a:blip r:embed="rId72"/>
                    <a:stretch>
                      <a:fillRect/>
                    </a:stretch>
                  </pic:blipFill>
                  <pic:spPr bwMode="auto">
                    <a:xfrm>
                      <a:off x="0" y="0"/>
                      <a:ext cx="5943600" cy="4067901"/>
                    </a:xfrm>
                    <a:prstGeom prst="rect">
                      <a:avLst/>
                    </a:prstGeom>
                    <a:noFill/>
                    <a:ln w="9525">
                      <a:noFill/>
                      <a:headEnd/>
                      <a:tailEnd/>
                    </a:ln>
                  </pic:spPr>
                </pic:pic>
              </a:graphicData>
            </a:graphic>
          </wp:inline>
        </w:drawing>
      </w:r>
    </w:p>
    <w:bookmarkEnd w:id="75"/>
    <w:p>
      <w:pPr>
        <w:pStyle w:val="AfterWithoutNote"/>
      </w:pPr>
      <w:r>
        <w:t xml:space="preserve">Panel B gives the primary test of the Simulation 3 prediction.</w:t>
      </w:r>
      <w:r>
        <w:t xml:space="preserve"> </w:t>
      </w:r>
      <w:r>
        <w:t xml:space="preserve">Weak-to-moderate test-phase film cues increase film-item recall while leaving the intentionality gap largely intact.</w:t>
      </w:r>
      <w:r>
        <w:t xml:space="preserve"> </w:t>
      </w:r>
      <w:r>
        <w:t xml:space="preserve">For example, increasing film-cue reinstatement from 0.00 to 0.675 raises film recall mass from 0.008 to 0.210 under unguided retrieval and from 2.229 to 2.400 under deliberate recall, while the deliberate-minus-unguided gap changes only from 2.221 to 2.190.</w:t>
      </w:r>
      <w:r>
        <w:t xml:space="preserve"> </w:t>
      </w:r>
      <w:r>
        <w:t xml:space="preserve">This pattern shows that an externally supplied film cue can improve access to film material without acting like the diagnostic start-of-list control operation in Simulation 2.</w:t>
      </w:r>
      <w:r>
        <w:t xml:space="preserve"> </w:t>
      </w:r>
      <w:r>
        <w:t xml:space="preserve">At stronger cue values, the intentionality gap begins to narrow because cue-driven context reinstatement itself becomes strong enough to guide unguided retrieval toward film items.</w:t>
      </w:r>
    </w:p>
    <w:p>
      <w:pPr>
        <w:pStyle w:val="BodyText"/>
      </w:pPr>
      <w:r>
        <w:t xml:space="preserve">Panels C and D show how this effect unfolds over the full encoded sequence.</w:t>
      </w:r>
      <w:r>
        <w:t xml:space="preserve"> </w:t>
      </w:r>
      <w:r>
        <w:t xml:space="preserve">The cue manipulation does not remove the task competitors created by reminder-driven task encoding.</w:t>
      </w:r>
      <w:r>
        <w:t xml:space="preserve"> </w:t>
      </w:r>
      <w:r>
        <w:t xml:space="preserve">Instead, it changes the context available to subsequent search.</w:t>
      </w:r>
      <w:r>
        <w:t xml:space="preserve"> </w:t>
      </w:r>
      <w:r>
        <w:t xml:space="preserve">The result is a graded cue effect: supplied film items can increase film access, but they reduce selective interference only to the extent that the reinstated context discriminates film targets from task and filler competitors.</w:t>
      </w:r>
    </w:p>
    <w:bookmarkEnd w:id="76"/>
    <w:bookmarkStart w:id="81" w:name="X4b971085a32b00b7d6d10c2980fa2959349f2f4"/>
    <w:p>
      <w:pPr>
        <w:pStyle w:val="Heading2"/>
      </w:pPr>
      <w:r>
        <w:t xml:space="preserve">Simulation 4: Context-to-Item and Item-to-Context Test Formats</w:t>
      </w:r>
    </w:p>
    <w:p>
      <w:pPr>
        <w:pStyle w:val="FirstParagraph"/>
      </w:pPr>
      <w:r>
        <w:t xml:space="preserve">Simulation 4 extends the cue logic to test format.</w:t>
      </w:r>
      <w:r>
        <w:t xml:space="preserve"> </w:t>
      </w:r>
      <w:r>
        <w:t xml:space="preserve">The relevant architectural distinction is between context-to-item recall, in which film items must win selection from a mixed competitor set, and supplied-item access, in which the test provides item information that can reinstate associated context directly.</w:t>
      </w:r>
      <w:r>
        <w:t xml:space="preserve"> </w:t>
      </w:r>
      <w:r>
        <w:t xml:space="preserve">This comparison does not require treating recognition as fully modeled by CMR.</w:t>
      </w:r>
      <w:r>
        <w:t xml:space="preserve"> </w:t>
      </w:r>
      <w:r>
        <w:t xml:space="preserve">Instead, it asks whether a supplied film item changes vulnerability to context-binding interference because the retrieval problem no longer begins with selecting a film item from context alone.</w:t>
      </w:r>
    </w:p>
    <w:p>
      <w:pPr>
        <w:pStyle w:val="BodyText"/>
      </w:pPr>
      <w:r>
        <w:t xml:space="preserve">The predicted contrast follows from the bidirectional item-context loop.</w:t>
      </w:r>
      <w:r>
        <w:t xml:space="preserve"> </w:t>
      </w:r>
      <w:r>
        <w:t xml:space="preserve">When the test begins from context, film and task items compete according to their context-to-feature support.</w:t>
      </w:r>
      <w:r>
        <w:t xml:space="preserve"> </w:t>
      </w:r>
      <w:r>
        <w:t xml:space="preserve">When the test supplies an item, the item-to-context pathway is engaged first, so performance can be less sensitive to whether a film item would have won an unguided context-to-item competition.</w:t>
      </w:r>
      <w:r>
        <w:t xml:space="preserve"> </w:t>
      </w:r>
      <w:r>
        <w:t xml:space="preserve">This provides a test-format consequence of the same mechanism examined in Simulation 3, without assuming a separate recognition decision model.</w:t>
      </w:r>
    </w:p>
    <w:bookmarkStart w:id="80" w:name="fig-simulation4-test-format-schematic"/>
    <w:p>
      <w:pPr>
        <w:pStyle w:val="FigureTitle"/>
      </w:pPr>
      <w:r>
        <w:t xml:space="preserve">Figure 6</w:t>
      </w:r>
    </w:p>
    <w:p>
      <w:pPr>
        <w:pStyle w:val="Caption"/>
      </w:pPr>
      <w:r>
        <w:rPr>
          <w:b/>
          <w:bCs/>
        </w:rPr>
        <w:t xml:space="preserve">Retrieval format changes where interference can enter.</w:t>
      </w:r>
      <w:r>
        <w:t xml:space="preserve"> </w:t>
      </w:r>
      <w:r>
        <w:t xml:space="preserve">Simulation 4 distinguishes context-guided retrieval from supplied-item retrieval.</w:t>
      </w:r>
      <w:r>
        <w:t xml:space="preserve"> </w:t>
      </w:r>
      <w:r>
        <w:rPr>
          <w:b/>
          <w:bCs/>
        </w:rPr>
        <w:t xml:space="preserve">(A)</w:t>
      </w:r>
      <w:r>
        <w:t xml:space="preserve"> </w:t>
      </w:r>
      <w:r>
        <w:t xml:space="preserve">When retrieval begins from context, the same context state can cue multiple candidates; task items therefore compete with film items when both have been encoded in overlapping contexts.</w:t>
      </w:r>
      <w:r>
        <w:t xml:space="preserve"> </w:t>
      </w:r>
      <w:r>
        <w:t xml:space="preserve">When retrieval begins from a supplied film item, the item reinstates its associated context instead, so the task item is not an equivalent competitor at the point of access.</w:t>
      </w:r>
      <w:r>
        <w:t xml:space="preserve"> </w:t>
      </w:r>
      <w:r>
        <w:rPr>
          <w:b/>
          <w:bCs/>
        </w:rPr>
        <w:t xml:space="preserve">(B)</w:t>
      </w:r>
      <w:r>
        <w:t xml:space="preserve"> </w:t>
      </w:r>
      <w:r>
        <w:t xml:space="preserve">In CMR, this asymmetry corresponds to two retrieval directions: context-to-feature associations cue candidate items, whereas feature-to-context associations reinstate context from a supplied item.</w:t>
      </w:r>
      <w:r>
        <w:t xml:space="preserve"> </w:t>
      </w:r>
      <w:r>
        <w:t xml:space="preserve">Simulation 4 uses this distinction to ask why item-cued or recognition-like tests may show preserved access even when context-guided recall is sensitive to interference.</w:t>
      </w:r>
    </w:p>
    <w:p>
      <w:pPr>
        <w:pStyle w:val="FigureWithoutNote"/>
      </w:pPr>
      <w:r>
        <w:drawing>
          <wp:inline>
            <wp:extent cx="5943600" cy="2773680"/>
            <wp:effectExtent b="0" l="0" r="0" t="0"/>
            <wp:docPr descr="" title="" id="78" name="Picture"/>
            <a:graphic>
              <a:graphicData uri="http://schemas.openxmlformats.org/drawingml/2006/picture">
                <pic:pic>
                  <pic:nvPicPr>
                    <pic:cNvPr descr="figures/simulation4_test_format_schematic.png" id="79" name="Picture"/>
                    <pic:cNvPicPr>
                      <a:picLocks noChangeArrowheads="1" noChangeAspect="1"/>
                    </pic:cNvPicPr>
                  </pic:nvPicPr>
                  <pic:blipFill>
                    <a:blip r:embed="rId77"/>
                    <a:stretch>
                      <a:fillRect/>
                    </a:stretch>
                  </pic:blipFill>
                  <pic:spPr bwMode="auto">
                    <a:xfrm>
                      <a:off x="0" y="0"/>
                      <a:ext cx="5943600" cy="2773680"/>
                    </a:xfrm>
                    <a:prstGeom prst="rect">
                      <a:avLst/>
                    </a:prstGeom>
                    <a:noFill/>
                    <a:ln w="9525">
                      <a:noFill/>
                      <a:headEnd/>
                      <a:tailEnd/>
                    </a:ln>
                  </pic:spPr>
                </pic:pic>
              </a:graphicData>
            </a:graphic>
          </wp:inline>
        </w:drawing>
      </w:r>
    </w:p>
    <w:bookmarkEnd w:id="80"/>
    <w:bookmarkEnd w:id="81"/>
    <w:bookmarkStart w:id="82" w:name="X3bccd27e2ac34ffe83600109912b9a30086b735"/>
    <w:p>
      <w:pPr>
        <w:pStyle w:val="Heading2"/>
      </w:pPr>
      <w:r>
        <w:t xml:space="preserve">Simulation 5: Task Specificity and Source-Context Overlap</w:t>
      </w:r>
    </w:p>
    <w:p>
      <w:pPr>
        <w:pStyle w:val="FirstParagraph"/>
      </w:pPr>
      <w:r>
        <w:t xml:space="preserve">Simulation 5 turns to task specificity.</w:t>
      </w:r>
      <w:r>
        <w:t xml:space="preserve"> </w:t>
      </w:r>
      <w:r>
        <w:t xml:space="preserve">In the model,</w:t>
      </w:r>
      <w:r>
        <w:t xml:space="preserve"> </w:t>
      </w:r>
      <w:r>
        <w:t xml:space="preserve">“visuospatial”</w:t>
      </w:r>
      <w:r>
        <w:t xml:space="preserve"> </w:t>
      </w:r>
      <w:r>
        <w:t xml:space="preserve">and</w:t>
      </w:r>
      <w:r>
        <w:t xml:space="preserve"> </w:t>
      </w:r>
      <w:r>
        <w:t xml:space="preserve">“comparison”</w:t>
      </w:r>
      <w:r>
        <w:t xml:space="preserve"> </w:t>
      </w:r>
      <w:r>
        <w:t xml:space="preserve">are not primitive task labels.</w:t>
      </w:r>
      <w:r>
        <w:t xml:space="preserve"> </w:t>
      </w:r>
      <w:r>
        <w:t xml:space="preserve">A post-film task becomes effective when its items are strong competitors, when they are encoded in temporal-context states that overlap with the film trajectory, or when they share a source-context state with film items.</w:t>
      </w:r>
      <w:r>
        <w:t xml:space="preserve"> </w:t>
      </w:r>
      <w:r>
        <w:t xml:space="preserve">These factors can vary independently, so a task label is interpretable only through its consequences for competitor strength and contextual overlap.</w:t>
      </w:r>
    </w:p>
    <w:p>
      <w:pPr>
        <w:pStyle w:val="BodyText"/>
      </w:pPr>
      <w:r>
        <w:t xml:space="preserve">The task-specificity simulations therefore decompose three candidate routes to interference.</w:t>
      </w:r>
      <w:r>
        <w:t xml:space="preserve"> </w:t>
      </w:r>
      <w:r>
        <w:t xml:space="preserve">Increasing task learning changes how strongly task items win once cued.</w:t>
      </w:r>
      <w:r>
        <w:t xml:space="preserve"> </w:t>
      </w:r>
      <w:r>
        <w:t xml:space="preserve">Changing temporal overlap alters whether task items are cued alongside film items.</w:t>
      </w:r>
      <w:r>
        <w:t xml:space="preserve"> </w:t>
      </w:r>
      <w:r>
        <w:t xml:space="preserve">Changing source-context overlap tests whether non-temporal source matching can amplify competition beyond temporal proximity alone.</w:t>
      </w:r>
      <w:r>
        <w:t xml:space="preserve"> </w:t>
      </w:r>
      <w:r>
        <w:t xml:space="preserve">The predicted behavioral readouts are film-item access, task-competitor retrieval, and the phase-resolved distribution of recall across the encoded stream.</w:t>
      </w:r>
    </w:p>
    <w:bookmarkEnd w:id="82"/>
    <w:bookmarkEnd w:id="83"/>
    <w:bookmarkStart w:id="84" w:name="general-discussion"/>
    <w:p>
      <w:pPr>
        <w:pStyle w:val="Heading1"/>
      </w:pPr>
      <w:r>
        <w:t xml:space="preserve">General Discussion</w:t>
      </w:r>
    </w:p>
    <w:bookmarkEnd w:id="84"/>
    <w:bookmarkStart w:id="153" w:name="references"/>
    <w:p>
      <w:pPr>
        <w:pStyle w:val="Heading1"/>
      </w:pPr>
      <w:r>
        <w:t xml:space="preserve">References</w:t>
      </w:r>
    </w:p>
    <w:bookmarkStart w:id="152" w:name="refs"/>
    <w:bookmarkStart w:id="86"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85">
        <w:r>
          <w:rPr>
            <w:rStyle w:val="Hyperlink"/>
          </w:rPr>
          <w:t xml:space="preserve">https://doi.org/10.1016/j.jpsychires.2023.01.028</w:t>
        </w:r>
      </w:hyperlink>
    </w:p>
    <w:bookmarkEnd w:id="86"/>
    <w:bookmarkStart w:id="88"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87">
        <w:r>
          <w:rPr>
            <w:rStyle w:val="Hyperlink"/>
          </w:rPr>
          <w:t xml:space="preserve">https://doi.org/10.1037/a0033722</w:t>
        </w:r>
      </w:hyperlink>
    </w:p>
    <w:bookmarkEnd w:id="88"/>
    <w:bookmarkStart w:id="90"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89">
        <w:r>
          <w:rPr>
            <w:rStyle w:val="Hyperlink"/>
          </w:rPr>
          <w:t xml:space="preserve">https://doi.org/10.1037/0033-295X.103.4.670</w:t>
        </w:r>
      </w:hyperlink>
    </w:p>
    <w:bookmarkEnd w:id="90"/>
    <w:bookmarkStart w:id="92"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91">
        <w:r>
          <w:rPr>
            <w:rStyle w:val="Hyperlink"/>
          </w:rPr>
          <w:t xml:space="preserve">https://doi.org/10.1037/a0018113</w:t>
        </w:r>
      </w:hyperlink>
    </w:p>
    <w:bookmarkEnd w:id="92"/>
    <w:bookmarkStart w:id="94"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93">
        <w:r>
          <w:rPr>
            <w:rStyle w:val="Hyperlink"/>
          </w:rPr>
          <w:t xml:space="preserve">https://doi.org/10.1037/rev0000334</w:t>
        </w:r>
      </w:hyperlink>
    </w:p>
    <w:bookmarkEnd w:id="94"/>
    <w:bookmarkStart w:id="96"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95">
        <w:r>
          <w:rPr>
            <w:rStyle w:val="Hyperlink"/>
          </w:rPr>
          <w:t xml:space="preserve">https://doi.org/10.1016/j.jbtep.2011.10.008</w:t>
        </w:r>
      </w:hyperlink>
    </w:p>
    <w:bookmarkEnd w:id="96"/>
    <w:bookmarkStart w:id="97"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97"/>
    <w:bookmarkStart w:id="99"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98">
        <w:r>
          <w:rPr>
            <w:rStyle w:val="Hyperlink"/>
          </w:rPr>
          <w:t xml:space="preserve">https://doi.org/10.1016/S0005-7967(99)00123-0</w:t>
        </w:r>
      </w:hyperlink>
    </w:p>
    <w:bookmarkEnd w:id="99"/>
    <w:bookmarkStart w:id="101"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00">
        <w:r>
          <w:rPr>
            <w:rStyle w:val="Hyperlink"/>
          </w:rPr>
          <w:t xml:space="preserve">https://doi.org/10.1016/j.actpsy.2007.11.002</w:t>
        </w:r>
      </w:hyperlink>
    </w:p>
    <w:bookmarkEnd w:id="101"/>
    <w:bookmarkStart w:id="103"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02">
        <w:r>
          <w:rPr>
            <w:rStyle w:val="Hyperlink"/>
          </w:rPr>
          <w:t xml:space="preserve">https://doi.org/10.1037/0096-3445.133.1.3</w:t>
        </w:r>
      </w:hyperlink>
    </w:p>
    <w:bookmarkEnd w:id="103"/>
    <w:bookmarkStart w:id="105"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04">
        <w:r>
          <w:rPr>
            <w:rStyle w:val="Hyperlink"/>
          </w:rPr>
          <w:t xml:space="preserve">https://doi.org/10.1371/journal.pone.0004153</w:t>
        </w:r>
      </w:hyperlink>
    </w:p>
    <w:bookmarkEnd w:id="105"/>
    <w:bookmarkStart w:id="107"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06">
        <w:r>
          <w:rPr>
            <w:rStyle w:val="Hyperlink"/>
          </w:rPr>
          <w:t xml:space="preserve">https://doi.org/10.1371/journal.pone.0013706</w:t>
        </w:r>
      </w:hyperlink>
    </w:p>
    <w:bookmarkEnd w:id="107"/>
    <w:bookmarkStart w:id="109"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08">
        <w:r>
          <w:rPr>
            <w:rStyle w:val="Hyperlink"/>
          </w:rPr>
          <w:t xml:space="preserve">https://doi.org/10.1016/j.brat.2017.03.018</w:t>
        </w:r>
      </w:hyperlink>
    </w:p>
    <w:bookmarkEnd w:id="109"/>
    <w:bookmarkStart w:id="111"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10">
        <w:r>
          <w:rPr>
            <w:rStyle w:val="Hyperlink"/>
          </w:rPr>
          <w:t xml:space="preserve">https://doi.org/10.1006/jmps.2001.1388</w:t>
        </w:r>
      </w:hyperlink>
    </w:p>
    <w:bookmarkEnd w:id="111"/>
    <w:bookmarkStart w:id="112"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12"/>
    <w:bookmarkStart w:id="114"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13">
        <w:r>
          <w:rPr>
            <w:rStyle w:val="Hyperlink"/>
          </w:rPr>
          <w:t xml:space="preserve">https://doi.org/10.1038/mp.2017.23</w:t>
        </w:r>
      </w:hyperlink>
    </w:p>
    <w:bookmarkEnd w:id="114"/>
    <w:bookmarkStart w:id="116"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15">
        <w:r>
          <w:rPr>
            <w:rStyle w:val="Hyperlink"/>
          </w:rPr>
          <w:t xml:space="preserve">https://doi.org/10.1016/j.cpr.2018.08.005</w:t>
        </w:r>
      </w:hyperlink>
    </w:p>
    <w:bookmarkEnd w:id="116"/>
    <w:bookmarkStart w:id="118"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17">
        <w:r>
          <w:rPr>
            <w:rStyle w:val="Hyperlink"/>
          </w:rPr>
          <w:t xml:space="preserve">https://doi.org/10.1177/0956797615583071</w:t>
        </w:r>
      </w:hyperlink>
    </w:p>
    <w:bookmarkEnd w:id="118"/>
    <w:bookmarkStart w:id="120"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19">
        <w:r>
          <w:rPr>
            <w:rStyle w:val="Hyperlink"/>
          </w:rPr>
          <w:t xml:space="preserve">https://doi.org/10.1016/j.cpr.2016.04.010</w:t>
        </w:r>
      </w:hyperlink>
    </w:p>
    <w:bookmarkEnd w:id="120"/>
    <w:bookmarkStart w:id="121"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21"/>
    <w:bookmarkStart w:id="123"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22">
        <w:r>
          <w:rPr>
            <w:rStyle w:val="Hyperlink"/>
          </w:rPr>
          <w:t xml:space="preserve">https://doi.org/10.1002/cpp.2489</w:t>
        </w:r>
      </w:hyperlink>
    </w:p>
    <w:bookmarkEnd w:id="123"/>
    <w:bookmarkStart w:id="125"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24">
        <w:r>
          <w:rPr>
            <w:rStyle w:val="Hyperlink"/>
          </w:rPr>
          <w:t xml:space="preserve">https://doi.org/10.1016/j.jbtep.2019.01.006</w:t>
        </w:r>
      </w:hyperlink>
    </w:p>
    <w:bookmarkEnd w:id="125"/>
    <w:bookmarkStart w:id="127"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26">
        <w:r>
          <w:rPr>
            <w:rStyle w:val="Hyperlink"/>
          </w:rPr>
          <w:t xml:space="preserve">https://doi.org/10.1038/nn.2271</w:t>
        </w:r>
      </w:hyperlink>
    </w:p>
    <w:bookmarkEnd w:id="127"/>
    <w:bookmarkStart w:id="129"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28">
        <w:r>
          <w:rPr>
            <w:rStyle w:val="Hyperlink"/>
          </w:rPr>
          <w:t xml:space="preserve">https://doi.org/10.1002/acp.1611</w:t>
        </w:r>
      </w:hyperlink>
    </w:p>
    <w:bookmarkEnd w:id="129"/>
    <w:bookmarkStart w:id="131"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30">
        <w:r>
          <w:rPr>
            <w:rStyle w:val="Hyperlink"/>
          </w:rPr>
          <w:t xml:space="preserve">https://doi.org/10.1037/xge0000598</w:t>
        </w:r>
      </w:hyperlink>
    </w:p>
    <w:bookmarkEnd w:id="131"/>
    <w:bookmarkStart w:id="133"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32">
        <w:r>
          <w:rPr>
            <w:rStyle w:val="Hyperlink"/>
          </w:rPr>
          <w:t xml:space="preserve">https://doi.org/10.1177/2167702621998315</w:t>
        </w:r>
      </w:hyperlink>
    </w:p>
    <w:bookmarkEnd w:id="133"/>
    <w:bookmarkStart w:id="135"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34">
        <w:r>
          <w:rPr>
            <w:rStyle w:val="Hyperlink"/>
          </w:rPr>
          <w:t xml:space="preserve">https://doi.org/10.1037/a0039036</w:t>
        </w:r>
      </w:hyperlink>
    </w:p>
    <w:bookmarkEnd w:id="135"/>
    <w:bookmarkStart w:id="13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36">
        <w:r>
          <w:rPr>
            <w:rStyle w:val="Hyperlink"/>
          </w:rPr>
          <w:t xml:space="preserve">https://doi.org/10.1037/a0014420</w:t>
        </w:r>
      </w:hyperlink>
    </w:p>
    <w:bookmarkEnd w:id="137"/>
    <w:bookmarkStart w:id="13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38">
        <w:r>
          <w:rPr>
            <w:rStyle w:val="Hyperlink"/>
          </w:rPr>
          <w:t xml:space="preserve">https://doi.org/10.1016/j.neuropsychologia.2009.02.013</w:t>
        </w:r>
      </w:hyperlink>
    </w:p>
    <w:bookmarkEnd w:id="139"/>
    <w:bookmarkStart w:id="141"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40">
        <w:r>
          <w:rPr>
            <w:rStyle w:val="Hyperlink"/>
          </w:rPr>
          <w:t xml:space="preserve">https://doi.org/10.3758/s13423-011-0086-9</w:t>
        </w:r>
      </w:hyperlink>
    </w:p>
    <w:bookmarkEnd w:id="141"/>
    <w:bookmarkStart w:id="143"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42">
        <w:r>
          <w:rPr>
            <w:rStyle w:val="Hyperlink"/>
          </w:rPr>
          <w:t xml:space="preserve">https://doi.org/10.1037/a0013396</w:t>
        </w:r>
      </w:hyperlink>
    </w:p>
    <w:bookmarkEnd w:id="143"/>
    <w:bookmarkStart w:id="145"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44">
        <w:r>
          <w:rPr>
            <w:rStyle w:val="Hyperlink"/>
          </w:rPr>
          <w:t xml:space="preserve">https://doi.org/10.1037/rev0000132</w:t>
        </w:r>
      </w:hyperlink>
    </w:p>
    <w:bookmarkEnd w:id="145"/>
    <w:bookmarkStart w:id="147"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46">
        <w:r>
          <w:rPr>
            <w:rStyle w:val="Hyperlink"/>
          </w:rPr>
          <w:t xml:space="preserve">https://doi.org/10.1038/s41562-024-01956-y</w:t>
        </w:r>
      </w:hyperlink>
    </w:p>
    <w:bookmarkEnd w:id="147"/>
    <w:bookmarkStart w:id="149"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48">
        <w:r>
          <w:rPr>
            <w:rStyle w:val="Hyperlink"/>
          </w:rPr>
          <w:t xml:space="preserve">https://doi.org/10.1525/collabra.130791</w:t>
        </w:r>
      </w:hyperlink>
    </w:p>
    <w:bookmarkEnd w:id="149"/>
    <w:bookmarkStart w:id="151"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50">
        <w:r>
          <w:rPr>
            <w:rStyle w:val="Hyperlink"/>
          </w:rPr>
          <w:t xml:space="preserve">https://doi.org/10.1037/0278-7393.32.4.792</w:t>
        </w:r>
      </w:hyperlink>
    </w:p>
    <w:bookmarkEnd w:id="151"/>
    <w:bookmarkEnd w:id="152"/>
    <w:bookmarkEnd w:id="15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25" Target="media/rId25.png" /><Relationship Type="http://schemas.openxmlformats.org/officeDocument/2006/relationships/hyperlink" Id="rId128" Target="https://doi.org/10.1002/acp.1611" TargetMode="External" /><Relationship Type="http://schemas.openxmlformats.org/officeDocument/2006/relationships/hyperlink" Id="rId122" Target="https://doi.org/10.1002/cpp.2489" TargetMode="External" /><Relationship Type="http://schemas.openxmlformats.org/officeDocument/2006/relationships/hyperlink" Id="rId110" Target="https://doi.org/10.1006/jmps.2001.1388" TargetMode="External" /><Relationship Type="http://schemas.openxmlformats.org/officeDocument/2006/relationships/hyperlink" Id="rId98" Target="https://doi.org/10.1016/S0005-7967(99)00123-0" TargetMode="External" /><Relationship Type="http://schemas.openxmlformats.org/officeDocument/2006/relationships/hyperlink" Id="rId100" Target="https://doi.org/10.1016/j.actpsy.2007.11.002" TargetMode="External" /><Relationship Type="http://schemas.openxmlformats.org/officeDocument/2006/relationships/hyperlink" Id="rId108" Target="https://doi.org/10.1016/j.brat.2017.03.018" TargetMode="External" /><Relationship Type="http://schemas.openxmlformats.org/officeDocument/2006/relationships/hyperlink" Id="rId119" Target="https://doi.org/10.1016/j.cpr.2016.04.010" TargetMode="External" /><Relationship Type="http://schemas.openxmlformats.org/officeDocument/2006/relationships/hyperlink" Id="rId115" Target="https://doi.org/10.1016/j.cpr.2018.08.005" TargetMode="External" /><Relationship Type="http://schemas.openxmlformats.org/officeDocument/2006/relationships/hyperlink" Id="rId95" Target="https://doi.org/10.1016/j.jbtep.2011.10.008" TargetMode="External" /><Relationship Type="http://schemas.openxmlformats.org/officeDocument/2006/relationships/hyperlink" Id="rId124" Target="https://doi.org/10.1016/j.jbtep.2019.01.006" TargetMode="External" /><Relationship Type="http://schemas.openxmlformats.org/officeDocument/2006/relationships/hyperlink" Id="rId85" Target="https://doi.org/10.1016/j.jpsychires.2023.01.028" TargetMode="External" /><Relationship Type="http://schemas.openxmlformats.org/officeDocument/2006/relationships/hyperlink" Id="rId138" Target="https://doi.org/10.1016/j.neuropsychologia.2009.02.013" TargetMode="External" /><Relationship Type="http://schemas.openxmlformats.org/officeDocument/2006/relationships/hyperlink" Id="rId89" Target="https://doi.org/10.1037/0033-295X.103.4.670" TargetMode="External" /><Relationship Type="http://schemas.openxmlformats.org/officeDocument/2006/relationships/hyperlink" Id="rId102" Target="https://doi.org/10.1037/0096-3445.133.1.3" TargetMode="External" /><Relationship Type="http://schemas.openxmlformats.org/officeDocument/2006/relationships/hyperlink" Id="rId150" Target="https://doi.org/10.1037/0278-7393.32.4.792" TargetMode="External" /><Relationship Type="http://schemas.openxmlformats.org/officeDocument/2006/relationships/hyperlink" Id="rId142" Target="https://doi.org/10.1037/a0013396" TargetMode="External" /><Relationship Type="http://schemas.openxmlformats.org/officeDocument/2006/relationships/hyperlink" Id="rId136" Target="https://doi.org/10.1037/a0014420" TargetMode="External" /><Relationship Type="http://schemas.openxmlformats.org/officeDocument/2006/relationships/hyperlink" Id="rId91" Target="https://doi.org/10.1037/a0018113" TargetMode="External" /><Relationship Type="http://schemas.openxmlformats.org/officeDocument/2006/relationships/hyperlink" Id="rId87" Target="https://doi.org/10.1037/a0033722" TargetMode="External" /><Relationship Type="http://schemas.openxmlformats.org/officeDocument/2006/relationships/hyperlink" Id="rId134" Target="https://doi.org/10.1037/a0039036" TargetMode="External" /><Relationship Type="http://schemas.openxmlformats.org/officeDocument/2006/relationships/hyperlink" Id="rId144" Target="https://doi.org/10.1037/rev0000132" TargetMode="External" /><Relationship Type="http://schemas.openxmlformats.org/officeDocument/2006/relationships/hyperlink" Id="rId93" Target="https://doi.org/10.1037/rev0000334" TargetMode="External" /><Relationship Type="http://schemas.openxmlformats.org/officeDocument/2006/relationships/hyperlink" Id="rId130" Target="https://doi.org/10.1037/xge0000598" TargetMode="External" /><Relationship Type="http://schemas.openxmlformats.org/officeDocument/2006/relationships/hyperlink" Id="rId113" Target="https://doi.org/10.1038/mp.2017.23" TargetMode="External" /><Relationship Type="http://schemas.openxmlformats.org/officeDocument/2006/relationships/hyperlink" Id="rId126" Target="https://doi.org/10.1038/nn.2271" TargetMode="External" /><Relationship Type="http://schemas.openxmlformats.org/officeDocument/2006/relationships/hyperlink" Id="rId146" Target="https://doi.org/10.1038/s41562-024-01956-y" TargetMode="External" /><Relationship Type="http://schemas.openxmlformats.org/officeDocument/2006/relationships/hyperlink" Id="rId117" Target="https://doi.org/10.1177/0956797615583071" TargetMode="External" /><Relationship Type="http://schemas.openxmlformats.org/officeDocument/2006/relationships/hyperlink" Id="rId132" Target="https://doi.org/10.1177/2167702621998315" TargetMode="External" /><Relationship Type="http://schemas.openxmlformats.org/officeDocument/2006/relationships/hyperlink" Id="rId104" Target="https://doi.org/10.1371/journal.pone.0004153" TargetMode="External" /><Relationship Type="http://schemas.openxmlformats.org/officeDocument/2006/relationships/hyperlink" Id="rId106" Target="https://doi.org/10.1371/journal.pone.0013706" TargetMode="External" /><Relationship Type="http://schemas.openxmlformats.org/officeDocument/2006/relationships/hyperlink" Id="rId148" Target="https://doi.org/10.1525/collabra.130791" TargetMode="External" /><Relationship Type="http://schemas.openxmlformats.org/officeDocument/2006/relationships/hyperlink" Id="rId140"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28" Target="https://doi.org/10.1002/acp.1611" TargetMode="External" /><Relationship Type="http://schemas.openxmlformats.org/officeDocument/2006/relationships/hyperlink" Id="rId122" Target="https://doi.org/10.1002/cpp.2489" TargetMode="External" /><Relationship Type="http://schemas.openxmlformats.org/officeDocument/2006/relationships/hyperlink" Id="rId110" Target="https://doi.org/10.1006/jmps.2001.1388" TargetMode="External" /><Relationship Type="http://schemas.openxmlformats.org/officeDocument/2006/relationships/hyperlink" Id="rId98" Target="https://doi.org/10.1016/S0005-7967(99)00123-0" TargetMode="External" /><Relationship Type="http://schemas.openxmlformats.org/officeDocument/2006/relationships/hyperlink" Id="rId100" Target="https://doi.org/10.1016/j.actpsy.2007.11.002" TargetMode="External" /><Relationship Type="http://schemas.openxmlformats.org/officeDocument/2006/relationships/hyperlink" Id="rId108" Target="https://doi.org/10.1016/j.brat.2017.03.018" TargetMode="External" /><Relationship Type="http://schemas.openxmlformats.org/officeDocument/2006/relationships/hyperlink" Id="rId119" Target="https://doi.org/10.1016/j.cpr.2016.04.010" TargetMode="External" /><Relationship Type="http://schemas.openxmlformats.org/officeDocument/2006/relationships/hyperlink" Id="rId115" Target="https://doi.org/10.1016/j.cpr.2018.08.005" TargetMode="External" /><Relationship Type="http://schemas.openxmlformats.org/officeDocument/2006/relationships/hyperlink" Id="rId95" Target="https://doi.org/10.1016/j.jbtep.2011.10.008" TargetMode="External" /><Relationship Type="http://schemas.openxmlformats.org/officeDocument/2006/relationships/hyperlink" Id="rId124" Target="https://doi.org/10.1016/j.jbtep.2019.01.006" TargetMode="External" /><Relationship Type="http://schemas.openxmlformats.org/officeDocument/2006/relationships/hyperlink" Id="rId85" Target="https://doi.org/10.1016/j.jpsychires.2023.01.028" TargetMode="External" /><Relationship Type="http://schemas.openxmlformats.org/officeDocument/2006/relationships/hyperlink" Id="rId138" Target="https://doi.org/10.1016/j.neuropsychologia.2009.02.013" TargetMode="External" /><Relationship Type="http://schemas.openxmlformats.org/officeDocument/2006/relationships/hyperlink" Id="rId89" Target="https://doi.org/10.1037/0033-295X.103.4.670" TargetMode="External" /><Relationship Type="http://schemas.openxmlformats.org/officeDocument/2006/relationships/hyperlink" Id="rId102" Target="https://doi.org/10.1037/0096-3445.133.1.3" TargetMode="External" /><Relationship Type="http://schemas.openxmlformats.org/officeDocument/2006/relationships/hyperlink" Id="rId150" Target="https://doi.org/10.1037/0278-7393.32.4.792" TargetMode="External" /><Relationship Type="http://schemas.openxmlformats.org/officeDocument/2006/relationships/hyperlink" Id="rId142" Target="https://doi.org/10.1037/a0013396" TargetMode="External" /><Relationship Type="http://schemas.openxmlformats.org/officeDocument/2006/relationships/hyperlink" Id="rId136" Target="https://doi.org/10.1037/a0014420" TargetMode="External" /><Relationship Type="http://schemas.openxmlformats.org/officeDocument/2006/relationships/hyperlink" Id="rId91" Target="https://doi.org/10.1037/a0018113" TargetMode="External" /><Relationship Type="http://schemas.openxmlformats.org/officeDocument/2006/relationships/hyperlink" Id="rId87" Target="https://doi.org/10.1037/a0033722" TargetMode="External" /><Relationship Type="http://schemas.openxmlformats.org/officeDocument/2006/relationships/hyperlink" Id="rId134" Target="https://doi.org/10.1037/a0039036" TargetMode="External" /><Relationship Type="http://schemas.openxmlformats.org/officeDocument/2006/relationships/hyperlink" Id="rId144" Target="https://doi.org/10.1037/rev0000132" TargetMode="External" /><Relationship Type="http://schemas.openxmlformats.org/officeDocument/2006/relationships/hyperlink" Id="rId93" Target="https://doi.org/10.1037/rev0000334" TargetMode="External" /><Relationship Type="http://schemas.openxmlformats.org/officeDocument/2006/relationships/hyperlink" Id="rId130" Target="https://doi.org/10.1037/xge0000598" TargetMode="External" /><Relationship Type="http://schemas.openxmlformats.org/officeDocument/2006/relationships/hyperlink" Id="rId113" Target="https://doi.org/10.1038/mp.2017.23" TargetMode="External" /><Relationship Type="http://schemas.openxmlformats.org/officeDocument/2006/relationships/hyperlink" Id="rId126" Target="https://doi.org/10.1038/nn.2271" TargetMode="External" /><Relationship Type="http://schemas.openxmlformats.org/officeDocument/2006/relationships/hyperlink" Id="rId146" Target="https://doi.org/10.1038/s41562-024-01956-y" TargetMode="External" /><Relationship Type="http://schemas.openxmlformats.org/officeDocument/2006/relationships/hyperlink" Id="rId117" Target="https://doi.org/10.1177/0956797615583071" TargetMode="External" /><Relationship Type="http://schemas.openxmlformats.org/officeDocument/2006/relationships/hyperlink" Id="rId132" Target="https://doi.org/10.1177/2167702621998315" TargetMode="External" /><Relationship Type="http://schemas.openxmlformats.org/officeDocument/2006/relationships/hyperlink" Id="rId104" Target="https://doi.org/10.1371/journal.pone.0004153" TargetMode="External" /><Relationship Type="http://schemas.openxmlformats.org/officeDocument/2006/relationships/hyperlink" Id="rId106" Target="https://doi.org/10.1371/journal.pone.0013706" TargetMode="External" /><Relationship Type="http://schemas.openxmlformats.org/officeDocument/2006/relationships/hyperlink" Id="rId148" Target="https://doi.org/10.1525/collabra.130791" TargetMode="External" /><Relationship Type="http://schemas.openxmlformats.org/officeDocument/2006/relationships/hyperlink" Id="rId140"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2026-05-26T11:38:26Z</dcterms:created>
  <dcterms:modified xsi:type="dcterms:W3CDTF">2026-05-26T11:38:26Z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