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1.png" ContentType="image/png"/>
  <Override PartName="/word/media/rId28.png" ContentType="image/png"/>
  <Override PartName="/word/media/rId31.png" ContentType="image/png"/>
  <Override PartName="/word/media/rId41.png" ContentType="image/png"/>
  <Override PartName="/word/media/rId38.png" ContentType="image/png"/>
  <Override PartName="/word/media/rId35.png" ContentType="image/png"/>
  <Override PartName="/word/media/rId45.png" ContentType="image/png"/>
  <Override PartName="/word/media/rId51.png" ContentType="image/png"/>
  <Override PartName="/word/media/rId48.png" ContentType="image/png"/>
  <Override PartName="/word/media/rId54.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retrieved-context account of selective interference in intrusive and voluntary remembering</w:t>
      </w:r>
    </w:p>
    <w:p>
      <w:pPr>
        <w:pStyle w:val="Author"/>
      </w:pPr>
      <w:r>
        <w:t xml:space="preserve">Jordan B Gunn</w:t>
      </w:r>
    </w:p>
    <w:bookmarkStart w:id="20" w:name="abstract"/>
    <w:p>
      <w:pPr>
        <w:pStyle w:val="Heading1"/>
      </w:pPr>
      <w:r>
        <w:t xml:space="preserve">Abstract</w:t>
      </w:r>
    </w:p>
    <w:p>
      <w:pPr>
        <w:pStyle w:val="FirstParagraph"/>
      </w:pPr>
      <w:r>
        <w:t xml:space="preserve">In the trauma-film paradigm, a visuospatial task after a later film reminder can reduce the frequency of film intrusions while leaving voluntary memory relatively intact.</w:t>
      </w:r>
      <w:r>
        <w:t xml:space="preserve"> </w:t>
      </w:r>
      <w:r>
        <w:t xml:space="preserve">This selective interference effect is often treated as evidence that involuntary and deliberate remembering depend on different memory representations.</w:t>
      </w:r>
      <w:r>
        <w:t xml:space="preserve"> </w:t>
      </w:r>
      <w:r>
        <w:t xml:space="preserve">We propose instead that the dissociation can reflect differences in how retrieval is cued and controlled.</w:t>
      </w:r>
      <w:r>
        <w:t xml:space="preserve"> </w:t>
      </w:r>
      <w:r>
        <w:t xml:space="preserve">We implement this account in an emotional Context Maintenance and Retrieval (eCMR) model that simulates film, reminder, and task encoding and predicts sequences of film and non-film recall events.</w:t>
      </w:r>
      <w:r>
        <w:t xml:space="preserve"> </w:t>
      </w:r>
      <w:r>
        <w:t xml:space="preserve">In the model, a film reminder reinstates film-associated context before the task.</w:t>
      </w:r>
      <w:r>
        <w:t xml:space="preserve"> </w:t>
      </w:r>
      <w:r>
        <w:t xml:space="preserve">Task items are then encoded in association with that context, so later film-associated context can cue task competitors as well as film items.</w:t>
      </w:r>
      <w:r>
        <w:t xml:space="preserve"> </w:t>
      </w:r>
      <w:r>
        <w:t xml:space="preserve">Deliberate recall is less affected when a maintained film-retrieval goal gives film candidates an additional source of support without equally supporting task competitors.</w:t>
      </w:r>
      <w:r>
        <w:t xml:space="preserve"> </w:t>
      </w:r>
      <w:r>
        <w:t xml:space="preserve">In tasks like recognition, the test presents the item, so the model evaluates the item’s fit to context instead of selecting among film and task candidates.</w:t>
      </w:r>
      <w:r>
        <w:t xml:space="preserve"> </w:t>
      </w:r>
      <w:r>
        <w:t xml:space="preserve">This comparison can therefore make voluntary memory appear spared because of test format rather than because voluntary remembering is generally unaffected.</w:t>
      </w:r>
      <w:r>
        <w:t xml:space="preserve"> </w:t>
      </w:r>
      <w:r>
        <w:t xml:space="preserve">Interpreting selective interference this way motivates better-matched tests of intrusive and voluntary remembering and situates trauma-film findings within a broader computational account of episodic retrieval.</w:t>
      </w:r>
    </w:p>
    <w:p>
      <w:r>
        <w:br w:type="page"/>
      </w:r>
    </w:p>
    <w:bookmarkEnd w:id="20"/>
    <w:bookmarkStart w:id="27" w:name="introduction"/>
    <w:p>
      <w:pPr>
        <w:pStyle w:val="Heading1"/>
      </w:pPr>
      <w:r>
        <w:t xml:space="preserve">Introduction</w:t>
      </w:r>
    </w:p>
    <w:p>
      <w:pPr>
        <w:pStyle w:val="FirstParagraph"/>
      </w:pPr>
      <w:r>
        <w:drawing>
          <wp:inline>
            <wp:extent cx="5334000" cy="4326781"/>
            <wp:effectExtent b="0" l="0" r="0" t="0"/>
            <wp:docPr descr="" title="" id="22" name="Picture"/>
            <a:graphic>
              <a:graphicData uri="http://schemas.openxmlformats.org/drawingml/2006/picture">
                <pic:pic>
                  <pic:nvPicPr>
                    <pic:cNvPr descr="../work/empirical_target/empirical_target_composite.png" id="23" name="Picture"/>
                    <pic:cNvPicPr>
                      <a:picLocks noChangeArrowheads="1" noChangeAspect="1"/>
                    </pic:cNvPicPr>
                  </pic:nvPicPr>
                  <pic:blipFill>
                    <a:blip r:embed="rId21"/>
                    <a:stretch>
                      <a:fillRect/>
                    </a:stretch>
                  </pic:blipFill>
                  <pic:spPr bwMode="auto">
                    <a:xfrm>
                      <a:off x="0" y="0"/>
                      <a:ext cx="5334000" cy="4326781"/>
                    </a:xfrm>
                    <a:prstGeom prst="rect">
                      <a:avLst/>
                    </a:prstGeom>
                    <a:noFill/>
                    <a:ln w="9525">
                      <a:noFill/>
                      <a:headEnd/>
                      <a:tailEnd/>
                    </a:ln>
                  </pic:spPr>
                </pic:pic>
              </a:graphicData>
            </a:graphic>
          </wp:inline>
        </w:drawing>
      </w:r>
    </w:p>
    <w:p>
      <w:pPr>
        <w:pStyle w:val="BodyText"/>
      </w:pPr>
      <w:r>
        <w:t xml:space="preserve">Figure 1.</w:t>
      </w:r>
      <w:r>
        <w:t xml:space="preserve"> </w:t>
      </w:r>
      <w:r>
        <w:rPr>
          <w:b/>
          <w:bCs/>
        </w:rPr>
        <w:t xml:space="preserve">Paradigm variables and canonical selective interference effect.</w:t>
      </w:r>
      <w:r>
        <w:t xml:space="preserve"> </w:t>
      </w:r>
      <w:r>
        <w:t xml:space="preserve">(A) The modeled trauma-film paradigm includes film encoding, an intervening delay, a possible pre-task film reminder, an intervening task, a post-task delay, and a later test of unguided or voluntary recall. (B) The canonical selective interference effect is summarized as a schematic interaction among reminder condition, intervening task, and retrieval condition. Columns distinguish whether the task is preceded by a film reminder, rows distinguish intrusion-like film access from voluntary film recall, and paired bars compare film output after a comparison task versus an interference task. The interference task produces the largest reduction in intrusion-like film access when it follows a film reminder, whereas voluntary film recall shows a smaller reduction under the same conditions. Bars are schematic and do not plot empirical counts, fitted values, or model output.</w:t>
      </w:r>
    </w:p>
    <w:p>
      <w:r>
        <w:br w:type="page"/>
      </w:r>
    </w:p>
    <w:p>
      <w:pPr>
        <w:pStyle w:val="BodyText"/>
      </w:pPr>
      <w:r>
        <w:drawing>
          <wp:inline>
            <wp:extent cx="5334000" cy="4327349"/>
            <wp:effectExtent b="0" l="0" r="0" t="0"/>
            <wp:docPr descr="" title="" id="25" name="Picture"/>
            <a:graphic>
              <a:graphicData uri="http://schemas.openxmlformats.org/drawingml/2006/picture">
                <pic:pic>
                  <pic:nvPicPr>
                    <pic:cNvPr descr="../work/empirical_target/empirical_selective_interference_examples.png" id="26" name="Picture"/>
                    <pic:cNvPicPr>
                      <a:picLocks noChangeArrowheads="1" noChangeAspect="1"/>
                    </pic:cNvPicPr>
                  </pic:nvPicPr>
                  <pic:blipFill>
                    <a:blip r:embed="rId24"/>
                    <a:stretch>
                      <a:fillRect/>
                    </a:stretch>
                  </pic:blipFill>
                  <pic:spPr bwMode="auto">
                    <a:xfrm>
                      <a:off x="0" y="0"/>
                      <a:ext cx="5334000" cy="4327349"/>
                    </a:xfrm>
                    <a:prstGeom prst="rect">
                      <a:avLst/>
                    </a:prstGeom>
                    <a:noFill/>
                    <a:ln w="9525">
                      <a:noFill/>
                      <a:headEnd/>
                      <a:tailEnd/>
                    </a:ln>
                  </pic:spPr>
                </pic:pic>
              </a:graphicData>
            </a:graphic>
          </wp:inline>
        </w:drawing>
      </w:r>
    </w:p>
    <w:p>
      <w:pPr>
        <w:pStyle w:val="BodyText"/>
      </w:pPr>
      <w:r>
        <w:t xml:space="preserve">Figure 2.</w:t>
      </w:r>
      <w:r>
        <w:t xml:space="preserve"> </w:t>
      </w:r>
      <w:r>
        <w:rPr>
          <w:b/>
          <w:bCs/>
        </w:rPr>
        <w:t xml:space="preserve">Empirical examples of selective interference across retrieval formats.</w:t>
      </w:r>
      <w:r>
        <w:t xml:space="preserve"> </w:t>
      </w:r>
      <w:r>
        <w:t xml:space="preserve">Rows show three exemplar studies that differ in how intrusion-like and voluntary memory are measured: a delayed-reminder diary-plus-recognition design, a delayed-reminder diary-plus-free-recall design, and a trauma-film-cued vigilance-intrusion-plus-recognition design. Left panels plot intrusion-like film access and right panels plot deliberate memory. Gray bars indicate comparison or rest conditions and orange bars indicate Tetris interference. Bar heights reproduce published condition means in native study units, so y-axis scales differ across outcomes.</w:t>
      </w:r>
    </w:p>
    <w:p>
      <w:r>
        <w:br w:type="page"/>
      </w:r>
    </w:p>
    <w:bookmarkEnd w:id="27"/>
    <w:bookmarkStart w:id="34" w:name="Xc30ecb24643046c4752102619295de1bc2871c8"/>
    <w:p>
      <w:pPr>
        <w:pStyle w:val="Heading1"/>
      </w:pPr>
      <w:r>
        <w:t xml:space="preserve">A Retrieved-Context Account of Selective Interference</w:t>
      </w:r>
    </w:p>
    <w:p>
      <w:pPr>
        <w:pStyle w:val="FirstParagraph"/>
      </w:pPr>
      <w:r>
        <w:drawing>
          <wp:inline>
            <wp:extent cx="5334000" cy="4291032"/>
            <wp:effectExtent b="0" l="0" r="0" t="0"/>
            <wp:docPr descr="" title="" id="29" name="Picture"/>
            <a:graphic>
              <a:graphicData uri="http://schemas.openxmlformats.org/drawingml/2006/picture">
                <pic:pic>
                  <pic:nvPicPr>
                    <pic:cNvPr descr="../work/retrieved_context_account/retrieved_context_encoding_associations_composite.png" id="30" name="Picture"/>
                    <pic:cNvPicPr>
                      <a:picLocks noChangeArrowheads="1" noChangeAspect="1"/>
                    </pic:cNvPicPr>
                  </pic:nvPicPr>
                  <pic:blipFill>
                    <a:blip r:embed="rId28"/>
                    <a:stretch>
                      <a:fillRect/>
                    </a:stretch>
                  </pic:blipFill>
                  <pic:spPr bwMode="auto">
                    <a:xfrm>
                      <a:off x="0" y="0"/>
                      <a:ext cx="5334000" cy="4291032"/>
                    </a:xfrm>
                    <a:prstGeom prst="rect">
                      <a:avLst/>
                    </a:prstGeom>
                    <a:noFill/>
                    <a:ln w="9525">
                      <a:noFill/>
                      <a:headEnd/>
                      <a:tailEnd/>
                    </a:ln>
                  </pic:spPr>
                </pic:pic>
              </a:graphicData>
            </a:graphic>
          </wp:inline>
        </w:drawing>
      </w:r>
    </w:p>
    <w:p>
      <w:pPr>
        <w:pStyle w:val="BodyText"/>
      </w:pPr>
      <w:r>
        <w:t xml:space="preserve">Figure 3.</w:t>
      </w:r>
      <w:r>
        <w:t xml:space="preserve"> </w:t>
      </w:r>
      <w:r>
        <w:rPr>
          <w:b/>
          <w:bCs/>
        </w:rPr>
        <w:t xml:space="preserve">Encoding and associative structure in the retrieved-context account.</w:t>
      </w:r>
      <w:r>
        <w:t xml:space="preserve"> </w:t>
      </w:r>
      <w:r>
        <w:t xml:space="preserve">(A) The model stores bidirectional item-context associations. Context-to-feature associations cue candidate items from the current context, and feature-to-context associations reinstate context when an item is recalled or when a reminder or test cue is presented. (B) The interference manipulation changes which context states task items are linked to during encoding. Without a pre-task reminder, task items are encoded after context has drifted away from the film. With a pre-task film reminder, film-associated context is reinstated before task encoding, so task items are learned while that context remains active. Thus, the same context that can cue film items can also cue task competitors during later retrieval. When task encoding is strong, those task items become stronger competitors during later context-guided retrieval. Circles mark item features: F labels film items and T labels task items. Squares mark context states. Blue marks film items or film-linked context, orange marks task items or task-linked context, green marks reminder cues, and gray marks neutral, delay, comparison, or shared model structure.</w:t>
      </w:r>
    </w:p>
    <w:p>
      <w:r>
        <w:br w:type="page"/>
      </w:r>
    </w:p>
    <w:p>
      <w:pPr>
        <w:pStyle w:val="BodyText"/>
      </w:pPr>
      <w:r>
        <w:drawing>
          <wp:inline>
            <wp:extent cx="5334000" cy="4043058"/>
            <wp:effectExtent b="0" l="0" r="0" t="0"/>
            <wp:docPr descr="" title="" id="32" name="Picture"/>
            <a:graphic>
              <a:graphicData uri="http://schemas.openxmlformats.org/drawingml/2006/picture">
                <pic:pic>
                  <pic:nvPicPr>
                    <pic:cNvPr descr="../work/retrieved_context_account/retrieved_context_retrieval_operations_composite.png" id="33" name="Picture"/>
                    <pic:cNvPicPr>
                      <a:picLocks noChangeArrowheads="1" noChangeAspect="1"/>
                    </pic:cNvPicPr>
                  </pic:nvPicPr>
                  <pic:blipFill>
                    <a:blip r:embed="rId31"/>
                    <a:stretch>
                      <a:fillRect/>
                    </a:stretch>
                  </pic:blipFill>
                  <pic:spPr bwMode="auto">
                    <a:xfrm>
                      <a:off x="0" y="0"/>
                      <a:ext cx="5334000" cy="4043058"/>
                    </a:xfrm>
                    <a:prstGeom prst="rect">
                      <a:avLst/>
                    </a:prstGeom>
                    <a:noFill/>
                    <a:ln w="9525">
                      <a:noFill/>
                      <a:headEnd/>
                      <a:tailEnd/>
                    </a:ln>
                  </pic:spPr>
                </pic:pic>
              </a:graphicData>
            </a:graphic>
          </wp:inline>
        </w:drawing>
      </w:r>
    </w:p>
    <w:p>
      <w:pPr>
        <w:pStyle w:val="BodyText"/>
      </w:pPr>
      <w:r>
        <w:t xml:space="preserve">Figure 4.</w:t>
      </w:r>
      <w:r>
        <w:t xml:space="preserve"> </w:t>
      </w:r>
      <w:r>
        <w:rPr>
          <w:b/>
          <w:bCs/>
        </w:rPr>
        <w:t xml:space="preserve">Retrieval operations in the retrieved-context account.</w:t>
      </w:r>
      <w:r>
        <w:t xml:space="preserve"> </w:t>
      </w:r>
      <w:r>
        <w:t xml:space="preserve">(A) The upper box represents stored film and task associations; the lower boxes compare the context state used to begin unguided retrieval and deliberate recall. Stored film and task associations can be sampled from different starting contexts. Unguided retrieval begins from ongoing context, which can support film and task candidates together. Deliberate recall can begin with start-of-film context reinstatement, which favors film candidates while leaving task candidates possible. (B) A maintained film goal provides an additional deliberate-retrieval signal during context-to-feature sampling. Ongoing context can still cue both film items and task competitors, but the maintained goal adds support to film candidates rather than to task competitors. (C) Rows compare film recall, unmonitored task recall, and monitored task recall. Sampled outputs update the next retrieval context through feature-to-context memory. Recalling a film item keeps later search biased toward film candidates. Recalling a task item without monitoring can shift later context toward task candidates. With retrieval monitoring, the task-item update is dampened, preserving some film-candidate support. Blue marks film items, film-biased context, or stronger film support; orange marks task items, task-biased context, or stronger task support; gray marks shared context and associative operations. Dashed outlines or arrows mark weaker support or dampened updating, not unavailable candidates.</w:t>
      </w:r>
    </w:p>
    <w:p>
      <w:r>
        <w:br w:type="page"/>
      </w:r>
    </w:p>
    <w:bookmarkEnd w:id="34"/>
    <w:bookmarkStart w:id="44" w:name="X0b57449337501b368012fcfcd473e33f3217151"/>
    <w:p>
      <w:pPr>
        <w:pStyle w:val="Heading1"/>
      </w:pPr>
      <w:r>
        <w:t xml:space="preserve">Simulation 1: Task Encoding and Context Similarity</w:t>
      </w:r>
    </w:p>
    <w:p>
      <w:pPr>
        <w:pStyle w:val="FirstParagraph"/>
      </w:pPr>
      <w:r>
        <w:drawing>
          <wp:inline>
            <wp:extent cx="5334000" cy="4710489"/>
            <wp:effectExtent b="0" l="0" r="0" t="0"/>
            <wp:docPr descr="" title="" id="36" name="Picture"/>
            <a:graphic>
              <a:graphicData uri="http://schemas.openxmlformats.org/drawingml/2006/picture">
                <pic:pic>
                  <pic:nvPicPr>
                    <pic:cNvPr descr="../work/simulation1_unguided_cued/simulation1_unguided_cued_sequence_summary.png" id="37" name="Picture"/>
                    <pic:cNvPicPr>
                      <a:picLocks noChangeArrowheads="1" noChangeAspect="1"/>
                    </pic:cNvPicPr>
                  </pic:nvPicPr>
                  <pic:blipFill>
                    <a:blip r:embed="rId35"/>
                    <a:stretch>
                      <a:fillRect/>
                    </a:stretch>
                  </pic:blipFill>
                  <pic:spPr bwMode="auto">
                    <a:xfrm>
                      <a:off x="0" y="0"/>
                      <a:ext cx="5334000" cy="4710489"/>
                    </a:xfrm>
                    <a:prstGeom prst="rect">
                      <a:avLst/>
                    </a:prstGeom>
                    <a:noFill/>
                    <a:ln w="9525">
                      <a:noFill/>
                      <a:headEnd/>
                      <a:tailEnd/>
                    </a:ln>
                  </pic:spPr>
                </pic:pic>
              </a:graphicData>
            </a:graphic>
          </wp:inline>
        </w:drawing>
      </w:r>
    </w:p>
    <w:p>
      <w:pPr>
        <w:pStyle w:val="BodyText"/>
      </w:pPr>
      <w:r>
        <w:t xml:space="preserve">Figure 5.</w:t>
      </w:r>
      <w:r>
        <w:t xml:space="preserve"> </w:t>
      </w:r>
      <w:r>
        <w:rPr>
          <w:b/>
          <w:bCs/>
        </w:rPr>
        <w:t xml:space="preserve">Simulation 1: unguided film recall after task encoding.</w:t>
      </w:r>
      <w:r>
        <w:t xml:space="preserve"> </w:t>
      </w:r>
      <w:r>
        <w:t xml:space="preserve">Reminder condition and task encoding strength were crossed while retrieval mode was held unguided; weak film cues were supplied periodically during recall in every condition. (A) Example generated recall sequences for each condition. Each horizontal lane is one simulated trial selected near the condition mean for film output, with output positions running left to right. Colors mark film items, task items, delay/filler items, and unfilled output positions. (B) Mean number of film items recalled across all simulated trials. Film-item recall was lowest when a film reminder preceded strong task encoding, isolating the unguided-retrieval component of the selective interference effect.</w:t>
      </w:r>
    </w:p>
    <w:p>
      <w:r>
        <w:br w:type="page"/>
      </w:r>
    </w:p>
    <w:p>
      <w:pPr>
        <w:pStyle w:val="BodyText"/>
      </w:pPr>
      <w:r>
        <w:drawing>
          <wp:inline>
            <wp:extent cx="5334000" cy="5011008"/>
            <wp:effectExtent b="0" l="0" r="0" t="0"/>
            <wp:docPr descr="" title="" id="39" name="Picture"/>
            <a:graphic>
              <a:graphicData uri="http://schemas.openxmlformats.org/drawingml/2006/picture">
                <pic:pic>
                  <pic:nvPicPr>
                    <pic:cNvPr descr="../work/simulation1_unguided_cued/simulation1_unguided_cued_recall_distributions.png" id="40" name="Picture"/>
                    <pic:cNvPicPr>
                      <a:picLocks noChangeArrowheads="1" noChangeAspect="1"/>
                    </pic:cNvPicPr>
                  </pic:nvPicPr>
                  <pic:blipFill>
                    <a:blip r:embed="rId38"/>
                    <a:stretch>
                      <a:fillRect/>
                    </a:stretch>
                  </pic:blipFill>
                  <pic:spPr bwMode="auto">
                    <a:xfrm>
                      <a:off x="0" y="0"/>
                      <a:ext cx="5334000" cy="5011008"/>
                    </a:xfrm>
                    <a:prstGeom prst="rect">
                      <a:avLst/>
                    </a:prstGeom>
                    <a:noFill/>
                    <a:ln w="9525">
                      <a:noFill/>
                      <a:headEnd/>
                      <a:tailEnd/>
                    </a:ln>
                  </pic:spPr>
                </pic:pic>
              </a:graphicData>
            </a:graphic>
          </wp:inline>
        </w:drawing>
      </w:r>
    </w:p>
    <w:p>
      <w:pPr>
        <w:pStyle w:val="BodyText"/>
      </w:pPr>
      <w:r>
        <w:t xml:space="preserve">Figure 6.</w:t>
      </w:r>
      <w:r>
        <w:t xml:space="preserve"> </w:t>
      </w:r>
      <w:r>
        <w:rPr>
          <w:b/>
          <w:bCs/>
        </w:rPr>
        <w:t xml:space="preserve">Simulation 1: reminder-linked task encoding redistributes recall probability by encoded position.</w:t>
      </w:r>
      <w:r>
        <w:t xml:space="preserve"> </w:t>
      </w:r>
      <w:r>
        <w:t xml:space="preserve">Reminder condition and task encoding strength were crossed while retrieval was held unguided; weak film cues were supplied periodically during recall in all conditions. (A) Without a pre-task film reminder, recall probability by encoded position changes only modestly when task encoding is strengthened. (B)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encoding strength therefore changes recall probability by encoded position most clearly when task encoding follows a film reminder.</w:t>
      </w:r>
    </w:p>
    <w:p>
      <w:r>
        <w:br w:type="page"/>
      </w:r>
    </w:p>
    <w:p>
      <w:pPr>
        <w:pStyle w:val="BodyText"/>
      </w:pPr>
      <w:r>
        <w:drawing>
          <wp:inline>
            <wp:extent cx="5334000" cy="5080000"/>
            <wp:effectExtent b="0" l="0" r="0" t="0"/>
            <wp:docPr descr="" title="" id="42" name="Picture"/>
            <a:graphic>
              <a:graphicData uri="http://schemas.openxmlformats.org/drawingml/2006/picture">
                <pic:pic>
                  <pic:nvPicPr>
                    <pic:cNvPr descr="../work/simulation1_unguided_cued/simulation1_unguided_cued_context_overlap.png" id="43" name="Picture"/>
                    <pic:cNvPicPr>
                      <a:picLocks noChangeArrowheads="1" noChangeAspect="1"/>
                    </pic:cNvPicPr>
                  </pic:nvPicPr>
                  <pic:blipFill>
                    <a:blip r:embed="rId41"/>
                    <a:stretch>
                      <a:fillRect/>
                    </a:stretch>
                  </pic:blipFill>
                  <pic:spPr bwMode="auto">
                    <a:xfrm>
                      <a:off x="0" y="0"/>
                      <a:ext cx="5334000" cy="5080000"/>
                    </a:xfrm>
                    <a:prstGeom prst="rect">
                      <a:avLst/>
                    </a:prstGeom>
                    <a:noFill/>
                    <a:ln w="9525">
                      <a:noFill/>
                      <a:headEnd/>
                      <a:tailEnd/>
                    </a:ln>
                  </pic:spPr>
                </pic:pic>
              </a:graphicData>
            </a:graphic>
          </wp:inline>
        </w:drawing>
      </w:r>
    </w:p>
    <w:p>
      <w:pPr>
        <w:pStyle w:val="BodyText"/>
      </w:pPr>
      <w:r>
        <w:t xml:space="preserve">Figure 7.</w:t>
      </w:r>
      <w:r>
        <w:t xml:space="preserve"> </w:t>
      </w:r>
      <w:r>
        <w:rPr>
          <w:b/>
          <w:bCs/>
        </w:rPr>
        <w:t xml:space="preserve">Simulation 1: reminder reinstatement increases similarity between film- and task-encoding contexts.</w:t>
      </w:r>
      <w:r>
        <w:t xml:space="preserve"> </w:t>
      </w:r>
      <w:r>
        <w:t xml:space="preserve">Reminder condition was varied before task encoding while retrieval was held unguided. (A) Mean context similarity between each encoded film position and the task-encoding period, averaging across encoded task positions. (B)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r>
        <w:br w:type="page"/>
      </w:r>
    </w:p>
    <w:bookmarkEnd w:id="44"/>
    <w:bookmarkStart w:id="60" w:name="X01bab10be8432eead1f631bed9fce6a815fd83d"/>
    <w:p>
      <w:pPr>
        <w:pStyle w:val="Heading1"/>
      </w:pPr>
      <w:r>
        <w:t xml:space="preserve">Simulation 2: Control Mechanisms for Deliberate Recall</w:t>
      </w:r>
    </w:p>
    <w:p>
      <w:pPr>
        <w:pStyle w:val="FirstParagraph"/>
      </w:pPr>
      <w:r>
        <w:drawing>
          <wp:inline>
            <wp:extent cx="5334000" cy="3227353"/>
            <wp:effectExtent b="0" l="0" r="0" t="0"/>
            <wp:docPr descr="" title="" id="46" name="Picture"/>
            <a:graphic>
              <a:graphicData uri="http://schemas.openxmlformats.org/drawingml/2006/picture">
                <pic:pic>
                  <pic:nvPicPr>
                    <pic:cNvPr descr="../work/simulation2_control_cued_behavioral/simulation2_control_cued_behavioral.png" id="47" name="Picture"/>
                    <pic:cNvPicPr>
                      <a:picLocks noChangeArrowheads="1" noChangeAspect="1"/>
                    </pic:cNvPicPr>
                  </pic:nvPicPr>
                  <pic:blipFill>
                    <a:blip r:embed="rId45"/>
                    <a:stretch>
                      <a:fillRect/>
                    </a:stretch>
                  </pic:blipFill>
                  <pic:spPr bwMode="auto">
                    <a:xfrm>
                      <a:off x="0" y="0"/>
                      <a:ext cx="5334000" cy="3227353"/>
                    </a:xfrm>
                    <a:prstGeom prst="rect">
                      <a:avLst/>
                    </a:prstGeom>
                    <a:noFill/>
                    <a:ln w="9525">
                      <a:noFill/>
                      <a:headEnd/>
                      <a:tailEnd/>
                    </a:ln>
                  </pic:spPr>
                </pic:pic>
              </a:graphicData>
            </a:graphic>
          </wp:inline>
        </w:drawing>
      </w:r>
    </w:p>
    <w:p>
      <w:pPr>
        <w:pStyle w:val="BodyText"/>
      </w:pPr>
      <w:r>
        <w:t xml:space="preserve">Figure 8.</w:t>
      </w:r>
      <w:r>
        <w:t xml:space="preserve"> </w:t>
      </w:r>
      <w:r>
        <w:rPr>
          <w:b/>
          <w:bCs/>
        </w:rPr>
        <w:t xml:space="preserve">Simulation 2: deliberate film recall is protected from reminder-linked task interference.</w:t>
      </w:r>
      <w:r>
        <w:t xml:space="preserve"> </w:t>
      </w:r>
      <w:r>
        <w:t xml:space="preserve">Reminder condition and task encoding strength were crossed as in Simulation 1 while retrieval mode was varied between unguided recall and deliberate film recall. Deliberate film recall combined start-of-film context reinstatement, a maintained film-retrieval goal, and post-retrieval context monitoring. Weak film cues were supplied periodically during recall in all conditions. Rows compare retrieval modes, columns compare reminder conditions, and paired bars compare weak versus strong task encoding. Strong task encoding reduced film recall most clearly when it followed a film reminder, but this reduction was much larger under unguided recall than under deliberate film recall. The model therefore simulates a selective interference effect: the reminder-plus-strong-task intervention strongly reduces unguided film access while leaving deliberate film recall relatively preserved.</w:t>
      </w:r>
    </w:p>
    <w:p>
      <w:r>
        <w:br w:type="page"/>
      </w:r>
    </w:p>
    <w:p>
      <w:pPr>
        <w:pStyle w:val="BodyText"/>
      </w:pPr>
      <w:r>
        <w:drawing>
          <wp:inline>
            <wp:extent cx="5334000" cy="2384611"/>
            <wp:effectExtent b="0" l="0" r="0" t="0"/>
            <wp:docPr descr="" title="" id="49" name="Picture"/>
            <a:graphic>
              <a:graphicData uri="http://schemas.openxmlformats.org/drawingml/2006/picture">
                <pic:pic>
                  <pic:nvPicPr>
                    <pic:cNvPr descr="../work/simulation2_retrieval_control_decomposition/simulation2_retrieval_control_decomposition.png" id="50" name="Picture"/>
                    <pic:cNvPicPr>
                      <a:picLocks noChangeArrowheads="1" noChangeAspect="1"/>
                    </pic:cNvPicPr>
                  </pic:nvPicPr>
                  <pic:blipFill>
                    <a:blip r:embed="rId48"/>
                    <a:stretch>
                      <a:fillRect/>
                    </a:stretch>
                  </pic:blipFill>
                  <pic:spPr bwMode="auto">
                    <a:xfrm>
                      <a:off x="0" y="0"/>
                      <a:ext cx="5334000" cy="2384611"/>
                    </a:xfrm>
                    <a:prstGeom prst="rect">
                      <a:avLst/>
                    </a:prstGeom>
                    <a:noFill/>
                    <a:ln w="9525">
                      <a:noFill/>
                      <a:headEnd/>
                      <a:tailEnd/>
                    </a:ln>
                  </pic:spPr>
                </pic:pic>
              </a:graphicData>
            </a:graphic>
          </wp:inline>
        </w:drawing>
      </w:r>
    </w:p>
    <w:p>
      <w:pPr>
        <w:pStyle w:val="BodyText"/>
      </w:pPr>
      <w:r>
        <w:t xml:space="preserve">Figure 9.</w:t>
      </w:r>
      <w:r>
        <w:t xml:space="preserve"> </w:t>
      </w:r>
      <w:r>
        <w:rPr>
          <w:b/>
          <w:bCs/>
        </w:rPr>
        <w:t xml:space="preserve">Simulation 2: different retrieval controls preserve film recall to different degrees.</w:t>
      </w:r>
      <w:r>
        <w:t xml:space="preserve"> </w:t>
      </w:r>
      <w:r>
        <w:t xml:space="preserve">Each control setting was evaluated at two endpoints of the interference manipulation: one without a pre-task reminder and with weak task encoding, and one with a pre-task film reminder and with strong task encoding. Weak film cues were supplied periodically during recall in all conditions. Mean film-item recall is shown for each control setting at the two endpoints. Start-of-film reinstatement and retrieval monitoring increase film recall in some conditions, but the smallest endpoint differences occur when deliberate recall includes a film-retrieval goal.</w:t>
      </w:r>
    </w:p>
    <w:p>
      <w:r>
        <w:br w:type="page"/>
      </w:r>
    </w:p>
    <w:p>
      <w:pPr>
        <w:pStyle w:val="BodyText"/>
      </w:pPr>
      <w:r>
        <w:drawing>
          <wp:inline>
            <wp:extent cx="5334000" cy="5080000"/>
            <wp:effectExtent b="0" l="0" r="0" t="0"/>
            <wp:docPr descr="" title="" id="52" name="Picture"/>
            <a:graphic>
              <a:graphicData uri="http://schemas.openxmlformats.org/drawingml/2006/picture">
                <pic:pic>
                  <pic:nvPicPr>
                    <pic:cNvPr descr="../work/simulation2_film_retrieval_goal_context_overlap/simulation2_film_retrieval_goal_context_overlap.png" id="53" name="Picture"/>
                    <pic:cNvPicPr>
                      <a:picLocks noChangeArrowheads="1" noChangeAspect="1"/>
                    </pic:cNvPicPr>
                  </pic:nvPicPr>
                  <pic:blipFill>
                    <a:blip r:embed="rId51"/>
                    <a:stretch>
                      <a:fillRect/>
                    </a:stretch>
                  </pic:blipFill>
                  <pic:spPr bwMode="auto">
                    <a:xfrm>
                      <a:off x="0" y="0"/>
                      <a:ext cx="5334000" cy="5080000"/>
                    </a:xfrm>
                    <a:prstGeom prst="rect">
                      <a:avLst/>
                    </a:prstGeom>
                    <a:noFill/>
                    <a:ln w="9525">
                      <a:noFill/>
                      <a:headEnd/>
                      <a:tailEnd/>
                    </a:ln>
                  </pic:spPr>
                </pic:pic>
              </a:graphicData>
            </a:graphic>
          </wp:inline>
        </w:drawing>
      </w:r>
    </w:p>
    <w:p>
      <w:pPr>
        <w:pStyle w:val="BodyText"/>
      </w:pPr>
      <w:r>
        <w:t xml:space="preserve">Figure 10.</w:t>
      </w:r>
      <w:r>
        <w:t xml:space="preserve"> </w:t>
      </w:r>
      <w:r>
        <w:rPr>
          <w:b/>
          <w:bCs/>
        </w:rPr>
        <w:t xml:space="preserve">Simulation 2: a film-retrieval goal separates film-directed retrieval from task-context similarity.</w:t>
      </w:r>
      <w:r>
        <w:t xml:space="preserve"> </w:t>
      </w:r>
      <w:r>
        <w:t xml:space="preserve">The high-interference condition was held fixed: a film reminder preceded strong task encoding, and weak film cues were supplied periodically during recall. A film-retrieval goal is a maintained film-category cue that supports film items during deliberate recall, distinct from the external film reminder and test-phase film cues. (A) Mean similarity between task-encoding contexts and film-directed retrieval cues, averaging across encoded task positions for each encoded film position. (B) Full similarity matrices for the same condition. The left matrix uses temporal context alone; the right matrix schematically adds the maintained film-category cue to the film-directed retrieval cue. Brighter cells indicate greater similarity to task-encoding context. Adding the maintained film-category cue reduces similarity between film-directed retrieval cues and task-encoding contexts, providing a route to film recall that depends less on temporal context remaining selective for film items.</w:t>
      </w:r>
    </w:p>
    <w:p>
      <w:r>
        <w:br w:type="page"/>
      </w:r>
    </w:p>
    <w:p>
      <w:pPr>
        <w:pStyle w:val="BodyText"/>
      </w:pPr>
      <w:r>
        <w:drawing>
          <wp:inline>
            <wp:extent cx="5334000" cy="5036698"/>
            <wp:effectExtent b="0" l="0" r="0" t="0"/>
            <wp:docPr descr="" title="" id="55" name="Picture"/>
            <a:graphic>
              <a:graphicData uri="http://schemas.openxmlformats.org/drawingml/2006/picture">
                <pic:pic>
                  <pic:nvPicPr>
                    <pic:cNvPr descr="../work/simulation2_start_context_reinstatement/simulation2_start_context_reinstatement.png" id="56" name="Picture"/>
                    <pic:cNvPicPr>
                      <a:picLocks noChangeArrowheads="1" noChangeAspect="1"/>
                    </pic:cNvPicPr>
                  </pic:nvPicPr>
                  <pic:blipFill>
                    <a:blip r:embed="rId54"/>
                    <a:stretch>
                      <a:fillRect/>
                    </a:stretch>
                  </pic:blipFill>
                  <pic:spPr bwMode="auto">
                    <a:xfrm>
                      <a:off x="0" y="0"/>
                      <a:ext cx="5334000" cy="5036698"/>
                    </a:xfrm>
                    <a:prstGeom prst="rect">
                      <a:avLst/>
                    </a:prstGeom>
                    <a:noFill/>
                    <a:ln w="9525">
                      <a:noFill/>
                      <a:headEnd/>
                      <a:tailEnd/>
                    </a:ln>
                  </pic:spPr>
                </pic:pic>
              </a:graphicData>
            </a:graphic>
          </wp:inline>
        </w:drawing>
      </w:r>
    </w:p>
    <w:p>
      <w:pPr>
        <w:pStyle w:val="BodyText"/>
      </w:pPr>
      <w:r>
        <w:t xml:space="preserve">Figure 11.</w:t>
      </w:r>
      <w:r>
        <w:t xml:space="preserve"> </w:t>
      </w:r>
      <w:r>
        <w:rPr>
          <w:b/>
          <w:bCs/>
        </w:rPr>
        <w:t xml:space="preserve">Simulation 2: start-of-film context reinstatement protects early encoded film positions.</w:t>
      </w:r>
      <w:r>
        <w:t xml:space="preserve"> </w:t>
      </w:r>
      <w:r>
        <w:t xml:space="preserve">Unguided recall was compared with start-of-film context reinstatement while the condition with a pre-task film reminder and strong task encoding was held fixed and retrieval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before task encoding. (A) Item accessibility before the first recall attempt. Reinstatement increases accessibility most strongly for early encoded film positions. (B) First recall probability distribution. Reinstatement shifts recall initiation toward early film positions. (C) Full recall probability distribution. The early-film bias remains visible across the recall period, while later film positions remain more vulnerable under reminder-linked strong task encoding. Start-of-film context reinstatement therefore protects early encoded film positions by shifting retrieval initiation toward the start of the film sequence.</w:t>
      </w:r>
    </w:p>
    <w:p>
      <w:r>
        <w:br w:type="page"/>
      </w:r>
    </w:p>
    <w:p>
      <w:pPr>
        <w:pStyle w:val="BodyText"/>
      </w:pPr>
      <w:r>
        <w:drawing>
          <wp:inline>
            <wp:extent cx="5334000" cy="5060611"/>
            <wp:effectExtent b="0" l="0" r="0" t="0"/>
            <wp:docPr descr="" title="" id="58" name="Picture"/>
            <a:graphic>
              <a:graphicData uri="http://schemas.openxmlformats.org/drawingml/2006/picture">
                <pic:pic>
                  <pic:nvPicPr>
                    <pic:cNvPr descr="../work/simulation2_target_monitoring_diagnostic/simulation2_target_monitoring_diagnostic.png" id="59" name="Picture"/>
                    <pic:cNvPicPr>
                      <a:picLocks noChangeArrowheads="1" noChangeAspect="1"/>
                    </pic:cNvPicPr>
                  </pic:nvPicPr>
                  <pic:blipFill>
                    <a:blip r:embed="rId57"/>
                    <a:stretch>
                      <a:fillRect/>
                    </a:stretch>
                  </pic:blipFill>
                  <pic:spPr bwMode="auto">
                    <a:xfrm>
                      <a:off x="0" y="0"/>
                      <a:ext cx="5334000" cy="5060611"/>
                    </a:xfrm>
                    <a:prstGeom prst="rect">
                      <a:avLst/>
                    </a:prstGeom>
                    <a:noFill/>
                    <a:ln w="9525">
                      <a:noFill/>
                      <a:headEnd/>
                      <a:tailEnd/>
                    </a:ln>
                  </pic:spPr>
                </pic:pic>
              </a:graphicData>
            </a:graphic>
          </wp:inline>
        </w:drawing>
      </w:r>
    </w:p>
    <w:p>
      <w:pPr>
        <w:pStyle w:val="BodyText"/>
      </w:pPr>
      <w:r>
        <w:t xml:space="preserve">Figure 12.</w:t>
      </w:r>
      <w:r>
        <w:t xml:space="preserve"> </w:t>
      </w:r>
      <w:r>
        <w:rPr>
          <w:b/>
          <w:bCs/>
        </w:rPr>
        <w:t xml:space="preserve">Simulation 2: retrieval monitoring supports return to film recall.</w:t>
      </w:r>
      <w:r>
        <w:t xml:space="preserve"> </w:t>
      </w:r>
      <w:r>
        <w:t xml:space="preserve">The condition with a pre-task film reminder and strong task encoding was held fixed, start-of-film context reinstatement was present, and retrieval monitoring strength was varied. Retrieval monitoring dampens context updating after non-film samples during deliberate recall. Weak film cues were supplied periodically during recall. (A) Model-diagnostic probability that a non-film sample was followed by a film output as retrieval monitoring increased. (B) Recall probability by encoded position with no retrieval monitoring versus the moderate retrieval-monitoring setting used in the Simulation 2 anchor figure. Shaded bands mark film, break, task, and filler positions; the green line marks the reminder immediately before task encoding. Retrieval monitoring therefore supports film recall after search is pulled away from the film sequence, increasing film recall probability under reminder-linked strong task encoding.</w:t>
      </w:r>
    </w:p>
    <w:p>
      <w:r>
        <w:br w:type="page"/>
      </w:r>
    </w:p>
    <w:bookmarkEnd w:id="60"/>
    <w:bookmarkStart w:id="64" w:name="recognition-like-test-format"/>
    <w:p>
      <w:pPr>
        <w:pStyle w:val="Heading1"/>
      </w:pPr>
      <w:r>
        <w:t xml:space="preserve">Recognition-Like Test Format</w:t>
      </w:r>
    </w:p>
    <w:p>
      <w:pPr>
        <w:pStyle w:val="FirstParagraph"/>
      </w:pPr>
      <w:r>
        <w:drawing>
          <wp:inline>
            <wp:extent cx="5334000" cy="3873500"/>
            <wp:effectExtent b="0" l="0" r="0" t="0"/>
            <wp:docPr descr="" title="" id="62" name="Picture"/>
            <a:graphic>
              <a:graphicData uri="http://schemas.openxmlformats.org/drawingml/2006/picture">
                <pic:pic>
                  <pic:nvPicPr>
                    <pic:cNvPr descr="../work/simulation4_recognition_full_figure/item_context_recognition.png" id="63" name="Picture"/>
                    <pic:cNvPicPr>
                      <a:picLocks noChangeArrowheads="1" noChangeAspect="1"/>
                    </pic:cNvPicPr>
                  </pic:nvPicPr>
                  <pic:blipFill>
                    <a:blip r:embed="rId61"/>
                    <a:stretch>
                      <a:fillRect/>
                    </a:stretch>
                  </pic:blipFill>
                  <pic:spPr bwMode="auto">
                    <a:xfrm>
                      <a:off x="0" y="0"/>
                      <a:ext cx="5334000" cy="3873500"/>
                    </a:xfrm>
                    <a:prstGeom prst="rect">
                      <a:avLst/>
                    </a:prstGeom>
                    <a:noFill/>
                    <a:ln w="9525">
                      <a:noFill/>
                      <a:headEnd/>
                      <a:tailEnd/>
                    </a:ln>
                  </pic:spPr>
                </pic:pic>
              </a:graphicData>
            </a:graphic>
          </wp:inline>
        </w:drawing>
      </w:r>
    </w:p>
    <w:p>
      <w:pPr>
        <w:pStyle w:val="BodyText"/>
      </w:pPr>
      <w:r>
        <w:t xml:space="preserve">Figure 13.</w:t>
      </w:r>
      <w:r>
        <w:t xml:space="preserve"> </w:t>
      </w:r>
      <w:r>
        <w:rPr>
          <w:b/>
          <w:bCs/>
        </w:rPr>
        <w:t xml:space="preserve">Item-to-context retrieval bypasses reminder-linked task interference.</w:t>
      </w:r>
      <w:r>
        <w:t xml:space="preserve"> </w:t>
      </w:r>
      <w:r>
        <w:t xml:space="preserve">(A) CMR stores bidirectional associations between item features and context. Feature-to-context memory lets an available item reinstate its associated context, whereas context-to-feature memory lets context cue candidate items. (B) When film-associated context cues items, film items and reminder-linked task items can both receive support. When a film item reinstates context, retrieval targets context units instead, so task items are not competitors in that step. (C) In recognition, the tested film item is already available. The item retrieves associated context, which is compared with ongoing test context; stronger matches provide stronger evidence that the item appeared in the film. (D) Film recognition accuracy is plotted across the same reminder and task-encoding conditions used in the recall simulations. Accuracy is hit rate minus false-alarm rate for unstudied film-like lures. The reminder-plus-strong-task condition does not produce a corresponding reduction in recognition accuracy.</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35" Target="media/rId35.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retrieved-context account of selective interference in intrusive and voluntary remembering</dc:title>
  <dc:creator>Jordan B Gunn</dc:creator>
  <cp:keywords>intrusive memories, voluntary memory, trauma-film paradigm, visuospatial intervention, selective interference, retrieved-context theory, computational modeling</cp:keywords>
  <dcterms:created xsi:type="dcterms:W3CDTF">2026-07-08T10:02:19Z</dcterms:created>
  <dcterms:modified xsi:type="dcterms:W3CDTF">2026-07-08T10:02:19Z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horttitle">
    <vt:lpwstr>Retrieved context and selective interference</vt:lpwstr>
  </property>
  <property fmtid="{D5CDD505-2E9C-101B-9397-08002B2CF9AE}" pid="13" name="toc-title">
    <vt:lpwstr>Table of contents</vt:lpwstr>
  </property>
</Properties>
</file>