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79.png" ContentType="image/png"/>
  <Override PartName="/word/media/rId75.png" ContentType="image/png"/>
  <Override PartName="/word/media/rId71.png" ContentType="image/png"/>
  <Override PartName="/word/media/rId84.png" ContentType="image/png"/>
  <Override PartName="/word/media/rId92.png" ContentType="image/png"/>
  <Override PartName="/word/media/rId88.png" ContentType="image/png"/>
  <Override PartName="/word/media/rId96.png" ContentType="image/png"/>
  <Override PartName="/word/media/rId100.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recognition-and-supplied-film-items"/>
    <w:p>
      <w:pPr>
        <w:pStyle w:val="Heading2"/>
      </w:pPr>
      <w:r>
        <w:t xml:space="preserve">Recognition and Supplied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A retrieved-context account therefore interprets the dissociation between recognition and intrusion-like measures under reminder-linked task interference as primarily test-format dissociations.</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one recognition probe can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film-related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film-related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film-related context.</w:t>
      </w:r>
      <w:r>
        <w:t xml:space="preserve"> </w:t>
      </w:r>
      <w:hyperlink w:anchor="fig-recognition-test-format">
        <w:r>
          <w:rPr>
            <w:rStyle w:val="Hyperlink"/>
          </w:rPr>
          <w:t xml:space="preserve">Figure 13</w:t>
        </w:r>
      </w:hyperlink>
      <w:r>
        <w:t xml:space="preserve"> </w:t>
      </w:r>
      <w:r>
        <w:t xml:space="preserve">formalizes this supplied-item route: reminder-linked task items remain competitors during context-guided recall, but they do not compete for the initial availability of a presented film probe.</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supplied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film-related context across the retrieval period, film cues can support recall in both monitoring and deliberate-search conditions.</w:t>
      </w:r>
      <w:r>
        <w:t xml:space="preserve"> </w:t>
      </w:r>
      <w:r>
        <w:t xml:space="preserve">That cue support does not automatically remove reminder-linked competition.</w:t>
      </w:r>
      <w:r>
        <w:t xml:space="preserve"> </w:t>
      </w:r>
      <w:r>
        <w:t xml:space="preserve">After reminder-linked task encoding, the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most relevant voluntary comparison similarly requires film material to be called to mind during a recall period rather than judged as a supplied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Under this matched recall design, a film reminder can make task material accessible from the same retrieval state as film material by associating task events with film-overlapping context.</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Retrieved-context models provide a formal precedent for this kind of non-temporal support: semantic, task, and source information can contribute to candidate support alongside temporal context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Category-directed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use this logic in reduced form by adding a maintained film-category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making recall less sensitive to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The start-state and monitoring panels describe mechanisms that either reinstate or preserve film-related context to drive ongoing retrieval, but since reminder-linked task encoding makes that context less selective, those mechanisms cannot substantially protect deliberate recall from the interference effect.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r>
        <w:t xml:space="preserve"> </w:t>
      </w:r>
      <w:r>
        <w:t xml:space="preserve">The simulations therefore treat increased film recall and reduced sensitivity to reminder-linked task encoding as separable outcomes.</w:t>
      </w:r>
    </w:p>
    <w:bookmarkEnd w:id="45"/>
    <w:bookmarkEnd w:id="46"/>
    <w:bookmarkStart w:id="68" w:name="model-specification"/>
    <w:p>
      <w:pPr>
        <w:pStyle w:val="Heading1"/>
      </w:pPr>
      <w:r>
        <w:t xml:space="preserve">Model Specification</w:t>
      </w:r>
    </w:p>
    <w:p>
      <w:pPr>
        <w:pStyle w:val="FirstParagraph"/>
      </w:pPr>
      <w:r>
        <w:t xml:space="preserve">Retrieved-context models implement recall as a sequence of sampling events in which current context gives graded support to candidate items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 express selective interference as changes in what gets sampled, film and non-film events have to be candidates in the same sampling process.</w:t>
      </w:r>
      <w:r>
        <w:t xml:space="preserve"> </w:t>
      </w:r>
      <w:r>
        <w:t xml:space="preserve">The simulations implement this requirement by representing film, task, and delay periods as sequences of events that update context.</w:t>
      </w:r>
      <w:r>
        <w:t xml:space="preserve"> </w:t>
      </w:r>
      <w:r>
        <w:t xml:space="preserve">For the film, these events correspond roughly to scenes or segments.</w:t>
      </w:r>
      <w:r>
        <w:t xml:space="preserve"> </w:t>
      </w:r>
      <w:r>
        <w:t xml:space="preserve">For the task periods, they represent task items that can become competitors after reminder-linked encoding.</w:t>
      </w:r>
      <w:r>
        <w:t xml:space="preserve"> </w:t>
      </w:r>
      <w:r>
        <w:t xml:space="preserve">For the delay periods, they represent filler items: non-film events that can also be encoded and later sampled.</w:t>
      </w:r>
      <w:r>
        <w:t xml:space="preserve"> </w:t>
      </w:r>
      <w:r>
        <w:t xml:space="preserve">Interference manifests as a shift in sampled outcomes: task or filler candidates occupy sampling events that could otherwise retrieve film material.</w:t>
      </w:r>
    </w:p>
    <w:p>
      <w:pPr>
        <w:pStyle w:val="BodyText"/>
      </w:pPr>
      <w:r>
        <w:t xml:space="preserve">The formal model links this sampling process to separate item and context representations.</w:t>
      </w:r>
      <w:r>
        <w:t xml:space="preserve"> </w:t>
      </w:r>
      <w:r>
        <w:t xml:space="preserve">Each encoded event at position</w:t>
      </w:r>
      <w:r>
        <w:t xml:space="preserve"> </w:t>
      </w:r>
      <m:oMath>
        <m:r>
          <m:t>i</m:t>
        </m:r>
      </m:oMath>
      <w:r>
        <w:t xml:space="preserve"> </w:t>
      </w:r>
      <w:r>
        <w:t xml:space="preserve">is represented by an item feature vector</w:t>
      </w:r>
      <w:r>
        <w:t xml:space="preserve"> </w:t>
      </w:r>
      <m:oMath>
        <m:sSub>
          <m:e>
            <m:r>
              <m:t>f</m:t>
            </m:r>
          </m:e>
          <m:sub>
            <m:r>
              <m:t>i</m:t>
            </m:r>
          </m:sub>
        </m:sSub>
      </m:oMath>
      <w:r>
        <w:t xml:space="preserve">, a one-hot vector that distinguishes that event from other encoded events in the simulated paradigm.</w:t>
      </w:r>
      <w:r>
        <w:t xml:space="preserve"> </w:t>
      </w:r>
      <w:r>
        <w:t xml:space="preserve">Context</w:t>
      </w:r>
      <w:r>
        <w:t xml:space="preserve"> </w:t>
      </w:r>
      <m:oMath>
        <m:sSub>
          <m:e>
            <m:r>
              <m:t>c</m:t>
            </m:r>
          </m:e>
          <m:sub>
            <m:r>
              <m:t>i</m:t>
            </m:r>
          </m:sub>
        </m:sSub>
      </m:oMath>
      <w:r>
        <w:t xml:space="preserve"> </w:t>
      </w:r>
      <w:r>
        <w:t xml:space="preserve">denotes the internal context state after event</w:t>
      </w:r>
      <w:r>
        <w:t xml:space="preserve"> </w:t>
      </w:r>
      <m:oMath>
        <m:r>
          <m:t>i</m:t>
        </m:r>
      </m:oMath>
      <w:r>
        <w:t xml:space="preserve"> </w:t>
      </w:r>
      <w:r>
        <w:t xml:space="preserve">has updated context.</w:t>
      </w:r>
      <w:r>
        <w:t xml:space="preserve"> </w:t>
      </w:r>
      <w:r>
        <w:t xml:space="preserve">As film, task, and filler events occur, they update context and become associated with the context active around them.</w:t>
      </w:r>
      <w:r>
        <w:t xml:space="preserve"> </w:t>
      </w:r>
      <w:r>
        <w:t xml:space="preserve">During recall, the current context state determines which candidate items receive support.</w:t>
      </w:r>
    </w:p>
    <w:p>
      <w:pPr>
        <w:pStyle w:val="BodyText"/>
      </w:pPr>
      <w:r>
        <w:t xml:space="preserve">During encoding, items and states of context are linked through bidirectional associations represented in two matrices.</w:t>
      </w:r>
      <w:r>
        <w:t xml:space="preserve"> </w:t>
      </w:r>
      <w:r>
        <w:t xml:space="preserve">Context-to-feature memory,</w:t>
      </w:r>
      <w:r>
        <w:t xml:space="preserve"> </w:t>
      </w:r>
      <m:oMath>
        <m:sSup>
          <m:e>
            <m:r>
              <m:t>M</m:t>
            </m:r>
          </m:e>
          <m:sup>
            <m:r>
              <m:t>C</m:t>
            </m:r>
            <m:r>
              <m:t>F</m:t>
            </m:r>
          </m:sup>
        </m:sSup>
      </m:oMath>
      <w:r>
        <w:t xml:space="preserve">, maps context states to item support, allowing current context to cue candidate items during recall.</w:t>
      </w:r>
      <w:r>
        <w:t xml:space="preserve"> </w:t>
      </w:r>
      <w:r>
        <w:t xml:space="preserve">Feature-to-context memory,</w:t>
      </w:r>
      <w:r>
        <w:t xml:space="preserve"> </w:t>
      </w:r>
      <m:oMath>
        <m:sSup>
          <m:e>
            <m:r>
              <m:t>M</m:t>
            </m:r>
          </m:e>
          <m:sup>
            <m:r>
              <m:t>F</m:t>
            </m:r>
            <m:r>
              <m:t>C</m:t>
            </m:r>
          </m:sup>
        </m:sSup>
      </m:oMath>
      <w:r>
        <w:t xml:space="preserve">, maps item features to context states so that cued, reminded, or recalled items can reinstate associated context.</w:t>
      </w:r>
      <w:r>
        <w:t xml:space="preserve"> </w:t>
      </w:r>
      <w:r>
        <w:t xml:space="preserve">All vectors are treated as column vectors, so</w:t>
      </w:r>
      <w:r>
        <w:t xml:space="preserve"> </w:t>
      </w:r>
      <m:oMath>
        <m:sSup>
          <m:e>
            <m:r>
              <m:t>M</m:t>
            </m:r>
          </m:e>
          <m:sup>
            <m:r>
              <m:t>F</m:t>
            </m:r>
            <m:r>
              <m:t>C</m:t>
            </m:r>
          </m:sup>
        </m:sSup>
        <m:sSub>
          <m:e>
            <m:r>
              <m:t>f</m:t>
            </m:r>
          </m:e>
          <m:sub>
            <m:r>
              <m:t>i</m:t>
            </m:r>
          </m:sub>
        </m:sSub>
      </m:oMath>
      <w:r>
        <w:t xml:space="preserve"> </w:t>
      </w:r>
      <w:r>
        <w:t xml:space="preserve">is a context vector and</w:t>
      </w:r>
      <w:r>
        <w:t xml:space="preserve"> </w:t>
      </w:r>
      <m:oMath>
        <m:sSup>
          <m:e>
            <m:r>
              <m:t>M</m:t>
            </m:r>
          </m:e>
          <m:sup>
            <m:r>
              <m:t>C</m:t>
            </m:r>
            <m:r>
              <m:t>F</m:t>
            </m:r>
          </m:sup>
        </m:sSup>
        <m:sSub>
          <m:e>
            <m:r>
              <m:t>c</m:t>
            </m:r>
          </m:e>
          <m:sub>
            <m:r>
              <m:t>i</m:t>
            </m:r>
          </m:sub>
        </m:sSub>
      </m:oMath>
      <w:r>
        <w:t xml:space="preserve"> </w:t>
      </w:r>
      <w:r>
        <w:t xml:space="preserve">is a feature-support vector.</w:t>
      </w:r>
    </w:p>
    <w:p>
      <w:pPr>
        <w:pStyle w:val="BodyText"/>
      </w:pPr>
      <w:r>
        <w:t xml:space="preserve">Context and corresponding associations are further subdivided into temporal and source components.</w:t>
      </w:r>
      <w:r>
        <w:t xml:space="preserve"> </w:t>
      </w:r>
      <w:r>
        <w:t xml:space="preserve">Temporal context distinguishes unique items so different film, task, and filler events can produce distinct context states even if items come from the same phase of the paradigm or share other features.</w:t>
      </w:r>
      <w:r>
        <w:t xml:space="preserve"> </w:t>
      </w:r>
      <w:r>
        <w:t xml:space="preserve">Source context represents coarser information shared across related events, allowing recall to be shaped by task, semantic, or source relationships among items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distinguish emotional from neutral material in source context and give emotionally salient items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implementation, each item also has a source feature vector</w:t>
      </w:r>
      <w:r>
        <w:t xml:space="preserve"> </w:t>
      </w:r>
      <m:oMath>
        <m:sSub>
          <m:e>
            <m:r>
              <m:t>s</m:t>
            </m:r>
          </m:e>
          <m:sub>
            <m:r>
              <m:t>i</m:t>
            </m:r>
          </m:sub>
        </m:sSub>
      </m:oMath>
      <w:r>
        <w:t xml:space="preserve">.</w:t>
      </w:r>
      <w:r>
        <w:t xml:space="preserve"> </w:t>
      </w:r>
      <w:r>
        <w:t xml:space="preserve">Film items share a film-source feature, whereas task and filler items carry a neutral/default source feature.</w:t>
      </w:r>
    </w:p>
    <w:bookmarkStart w:id="47" w:name="tbl-model-notation"/>
    <w:p>
      <w:pPr>
        <w:pStyle w:val="FigureTitle"/>
      </w:pPr>
      <w:r>
        <w:t xml:space="preserve">Table 1</w:t>
      </w:r>
    </w:p>
    <w:p>
      <w:pPr>
        <w:pStyle w:val="Caption"/>
      </w:pPr>
      <w:r>
        <w:t xml:space="preserve">Core notation used in the model specification.</w:t>
      </w:r>
      <w:r>
        <w:t xml:space="preserve"> </w:t>
      </w:r>
      <w:r>
        <w:t xml:space="preserve">Parameters are defined with the operations they control, and numerical values are reported with the simulation methodology.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Role</w:t>
            </w:r>
          </w:p>
        </w:tc>
        <w:tc>
          <w:tcPr/>
          <w:p>
            <w:pPr>
              <w:pStyle w:val="Compact"/>
            </w:pPr>
            <w:r>
              <w:t xml:space="preserve">Main use</w:t>
            </w:r>
          </w:p>
        </w:tc>
      </w:tr>
      <w:tr>
        <w:tc>
          <w:tcPr/>
          <w:p>
            <w:pPr>
              <w:pStyle w:val="Compact"/>
            </w:pPr>
            <m:oMath>
              <m:sSub>
                <m:e>
                  <m:r>
                    <m:t>f</m:t>
                  </m:r>
                </m:e>
                <m:sub>
                  <m:r>
                    <m:t>i</m:t>
                  </m:r>
                </m:sub>
              </m:sSub>
            </m:oMath>
          </w:p>
        </w:tc>
        <w:tc>
          <w:tcPr/>
          <w:p>
            <w:pPr>
              <w:pStyle w:val="Compact"/>
            </w:pPr>
            <w:r>
              <w:t xml:space="preserve">Item feature vector for encoded event</w:t>
            </w:r>
            <w:r>
              <w:t xml:space="preserve"> </w:t>
            </w:r>
            <m:oMath>
              <m:r>
                <m:t>i</m:t>
              </m:r>
            </m:oMath>
          </w:p>
        </w:tc>
        <w:tc>
          <w:tcPr/>
          <w:p>
            <w:pPr>
              <w:pStyle w:val="Compact"/>
            </w:pPr>
            <w:r>
              <w:t xml:space="preserve">Encoding, reminders, recall updates, recognition probes</w:t>
            </w:r>
          </w:p>
        </w:tc>
      </w:tr>
      <w:tr>
        <w:tc>
          <w:tcPr/>
          <w:p>
            <w:pPr>
              <w:pStyle w:val="Compact"/>
            </w:pPr>
            <m:oMath>
              <m:sSub>
                <m:e>
                  <m:r>
                    <m:t>s</m:t>
                  </m:r>
                </m:e>
                <m:sub>
                  <m:r>
                    <m:t>i</m:t>
                  </m:r>
                </m:sub>
              </m:sSub>
            </m:oMath>
          </w:p>
        </w:tc>
        <w:tc>
          <w:tcPr/>
          <w:p>
            <w:pPr>
              <w:pStyle w:val="Compact"/>
            </w:pPr>
            <w:r>
              <w:t xml:space="preserve">Source feature vector distinguishing film from non-film items</w:t>
            </w:r>
          </w:p>
        </w:tc>
        <w:tc>
          <w:tcPr/>
          <w:p>
            <w:pPr>
              <w:pStyle w:val="Compact"/>
            </w:pPr>
            <w:r>
              <w:t xml:space="preserve">Source-context encoding</w:t>
            </w:r>
          </w:p>
        </w:tc>
      </w:tr>
      <w:tr>
        <w:tc>
          <w:tcPr/>
          <w:p>
            <w:pPr>
              <w:pStyle w:val="Compact"/>
            </w:pPr>
            <m:oMath>
              <m:sSub>
                <m:e>
                  <m:r>
                    <m:t>c</m:t>
                  </m:r>
                </m:e>
                <m:sub>
                  <m:r>
                    <m:t>i</m:t>
                  </m:r>
                </m:sub>
              </m:sSub>
            </m:oMath>
          </w:p>
        </w:tc>
        <w:tc>
          <w:tcPr/>
          <w:p>
            <w:pPr>
              <w:pStyle w:val="Compact"/>
            </w:pPr>
            <w:r>
              <w:t xml:space="preserve">Context state after encoded event</w:t>
            </w:r>
            <w:r>
              <w:t xml:space="preserve"> </w:t>
            </w:r>
            <m:oMath>
              <m:r>
                <m:t>i</m:t>
              </m:r>
            </m:oMath>
          </w:p>
        </w:tc>
        <w:tc>
          <w:tcPr/>
          <w:p>
            <w:pPr>
              <w:pStyle w:val="Compact"/>
            </w:pPr>
            <w:r>
              <w:t xml:space="preserve">Encoding and learning</w:t>
            </w:r>
          </w:p>
        </w:tc>
      </w:tr>
      <w:tr>
        <w:tc>
          <w:tcPr/>
          <w:p>
            <w:pPr>
              <w:pStyle w:val="Compact"/>
            </w:pPr>
            <m:oMath>
              <m:sSup>
                <m:e>
                  <m:r>
                    <m:t>M</m:t>
                  </m:r>
                </m:e>
                <m:sup>
                  <m:r>
                    <m:t>F</m:t>
                  </m:r>
                  <m:r>
                    <m:t>C</m:t>
                  </m:r>
                </m:sup>
              </m:sSup>
            </m:oMath>
          </w:p>
        </w:tc>
        <w:tc>
          <w:tcPr/>
          <w:p>
            <w:pPr>
              <w:pStyle w:val="Compact"/>
            </w:pPr>
            <w:r>
              <w:t xml:space="preserve">Feature-to-context associations</w:t>
            </w:r>
          </w:p>
        </w:tc>
        <w:tc>
          <w:tcPr/>
          <w:p>
            <w:pPr>
              <w:pStyle w:val="Compact"/>
            </w:pPr>
            <w:r>
              <w:t xml:space="preserve">Context reinstatement from encoded, cued, sampled, or probed items</w:t>
            </w:r>
          </w:p>
        </w:tc>
      </w:tr>
      <w:tr>
        <w:tc>
          <w:tcPr/>
          <w:p>
            <w:pPr>
              <w:pStyle w:val="Compact"/>
            </w:pPr>
            <m:oMath>
              <m:sSup>
                <m:e>
                  <m:r>
                    <m:t>M</m:t>
                  </m:r>
                </m:e>
                <m:sup>
                  <m:r>
                    <m:t>C</m:t>
                  </m:r>
                  <m:r>
                    <m:t>F</m:t>
                  </m:r>
                </m:sup>
              </m:sSup>
            </m:oMath>
          </w:p>
        </w:tc>
        <w:tc>
          <w:tcPr/>
          <w:p>
            <w:pPr>
              <w:pStyle w:val="Compact"/>
            </w:pPr>
            <w:r>
              <w:t xml:space="preserve">Context-to-feature associations</w:t>
            </w:r>
          </w:p>
        </w:tc>
        <w:tc>
          <w:tcPr/>
          <w:p>
            <w:pPr>
              <w:pStyle w:val="Compact"/>
            </w:pPr>
            <w:r>
              <w:t xml:space="preserve">Candidate support during context-guided recall</w:t>
            </w:r>
          </w:p>
        </w:tc>
      </w:tr>
      <w:tr>
        <w:tc>
          <w:tcPr/>
          <w:p>
            <w:pPr>
              <w:pStyle w:val="Compact"/>
            </w:pPr>
            <m:oMath>
              <m:r>
                <m:t>α</m:t>
              </m:r>
            </m:oMath>
          </w:p>
        </w:tc>
        <w:tc>
          <w:tcPr/>
          <w:p>
            <w:pPr>
              <w:pStyle w:val="Compact"/>
            </w:pPr>
            <w:r>
              <w:t xml:space="preserve">Background support from nonpaired item-associated context units</w:t>
            </w:r>
          </w:p>
        </w:tc>
        <w:tc>
          <w:tcPr/>
          <w:p>
            <w:pPr>
              <w:pStyle w:val="Compact"/>
            </w:pPr>
            <w:r>
              <w:t xml:space="preserve">Initial</w:t>
            </w:r>
            <w:r>
              <w:t xml:space="preserve"> </w:t>
            </w:r>
            <m:oMath>
              <m:sSup>
                <m:e>
                  <m:r>
                    <m:t>M</m:t>
                  </m:r>
                </m:e>
                <m:sup>
                  <m:r>
                    <m:t>C</m:t>
                  </m:r>
                  <m:r>
                    <m:t>F</m:t>
                  </m:r>
                </m:sup>
              </m:sSup>
            </m:oMath>
          </w:p>
        </w:tc>
      </w:tr>
      <w:tr>
        <w:tc>
          <w:tcPr/>
          <w:p>
            <w:pPr>
              <w:pStyle w:val="Compact"/>
            </w:pPr>
            <m:oMath>
              <m:r>
                <m:t>δ</m:t>
              </m:r>
            </m:oMath>
          </w:p>
        </w:tc>
        <w:tc>
          <w:tcPr/>
          <w:p>
            <w:pPr>
              <w:pStyle w:val="Compact"/>
            </w:pPr>
            <w:r>
              <w:t xml:space="preserve">Support from each item’s paired context unit</w:t>
            </w:r>
          </w:p>
        </w:tc>
        <w:tc>
          <w:tcPr/>
          <w:p>
            <w:pPr>
              <w:pStyle w:val="Compact"/>
            </w:pPr>
            <w:r>
              <w:t xml:space="preserve">Initial</w:t>
            </w:r>
            <w:r>
              <w:t xml:space="preserve"> </w:t>
            </w:r>
            <m:oMath>
              <m:sSup>
                <m:e>
                  <m:r>
                    <m:t>M</m:t>
                  </m:r>
                </m:e>
                <m:sup>
                  <m:r>
                    <m:t>C</m:t>
                  </m:r>
                  <m:r>
                    <m:t>F</m:t>
                  </m:r>
                </m:sup>
              </m:sSup>
            </m:oMath>
          </w:p>
        </w:tc>
      </w:tr>
      <w:tr>
        <w:tc>
          <w:tcPr/>
          <w:p>
            <w:pPr>
              <w:pStyle w:val="Compact"/>
            </w:pPr>
            <m:oMath>
              <m:sSub>
                <m:e>
                  <m:r>
                    <m:t>β</m:t>
                  </m:r>
                </m:e>
                <m:sub>
                  <m:r>
                    <m:rPr>
                      <m:sty m:val="p"/>
                    </m:rPr>
                    <m:t>e</m:t>
                  </m:r>
                  <m:r>
                    <m:rPr>
                      <m:sty m:val="p"/>
                    </m:rPr>
                    <m:t>n</m:t>
                  </m:r>
                  <m:r>
                    <m:rPr>
                      <m:sty m:val="p"/>
                    </m:rPr>
                    <m:t>c</m:t>
                  </m:r>
                </m:sub>
              </m:sSub>
            </m:oMath>
          </w:p>
        </w:tc>
        <w:tc>
          <w:tcPr/>
          <w:p>
            <w:pPr>
              <w:pStyle w:val="Compact"/>
            </w:pPr>
            <w:r>
              <w:t xml:space="preserve">Drift toward item-cued context input during encoding</w:t>
            </w:r>
          </w:p>
        </w:tc>
        <w:tc>
          <w:tcPr/>
          <w:p>
            <w:pPr>
              <w:pStyle w:val="Compact"/>
            </w:pPr>
            <w:r>
              <w:t xml:space="preserve">Film, task, and filler encoding</w:t>
            </w:r>
          </w:p>
        </w:tc>
      </w:tr>
      <w:tr>
        <w:tc>
          <w:tcPr/>
          <w:p>
            <w:pPr>
              <w:pStyle w:val="Compact"/>
            </w:pPr>
            <m:oMath>
              <m:sSub>
                <m:e>
                  <m:r>
                    <m:t>β</m:t>
                  </m:r>
                </m:e>
                <m:sub>
                  <m:r>
                    <m:rPr>
                      <m:sty m:val="p"/>
                    </m:rPr>
                    <m:t>r</m:t>
                  </m:r>
                  <m:r>
                    <m:rPr>
                      <m:sty m:val="p"/>
                    </m:rPr>
                    <m:t>e</m:t>
                  </m:r>
                  <m:r>
                    <m:rPr>
                      <m:sty m:val="p"/>
                    </m:rPr>
                    <m:t>c</m:t>
                  </m:r>
                </m:sub>
              </m:sSub>
            </m:oMath>
          </w:p>
        </w:tc>
        <w:tc>
          <w:tcPr/>
          <w:p>
            <w:pPr>
              <w:pStyle w:val="Compact"/>
            </w:pPr>
            <w:r>
              <w:t xml:space="preserve">Drift toward a sampled item’s associated context</w:t>
            </w:r>
          </w:p>
        </w:tc>
        <w:tc>
          <w:tcPr/>
          <w:p>
            <w:pPr>
              <w:pStyle w:val="Compact"/>
            </w:pPr>
            <w:r>
              <w:t xml:space="preserve">Recall updates</w:t>
            </w:r>
          </w:p>
        </w:tc>
      </w:tr>
      <w:tr>
        <w:tc>
          <w:tcPr/>
          <w:p>
            <w:pPr>
              <w:pStyle w:val="Compact"/>
            </w:pPr>
            <m:oMath>
              <m:sSub>
                <m:e>
                  <m:r>
                    <m:t>β</m:t>
                  </m:r>
                </m:e>
                <m:sub>
                  <m:r>
                    <m:t>e</m:t>
                  </m:r>
                  <m:r>
                    <m:t>m</m:t>
                  </m:r>
                  <m:r>
                    <m:t>o</m:t>
                  </m:r>
                  <m:r>
                    <m:t>t</m:t>
                  </m:r>
                </m:sub>
              </m:sSub>
            </m:oMath>
          </w:p>
        </w:tc>
        <w:tc>
          <w:tcPr/>
          <w:p>
            <w:pPr>
              <w:pStyle w:val="Compact"/>
            </w:pPr>
            <w:r>
              <w:t xml:space="preserve">Drift in the source-context component</w:t>
            </w:r>
          </w:p>
        </w:tc>
        <w:tc>
          <w:tcPr/>
          <w:p>
            <w:pPr>
              <w:pStyle w:val="Compact"/>
            </w:pPr>
            <w:r>
              <w:t xml:space="preserve">Source-context encoding</w:t>
            </w:r>
          </w:p>
        </w:tc>
      </w:tr>
      <w:tr>
        <w:tc>
          <w:tcPr/>
          <w:p>
            <w:pPr>
              <w:pStyle w:val="Compact"/>
            </w:pPr>
            <m:oMath>
              <m:r>
                <m:t>γ</m:t>
              </m:r>
            </m:oMath>
          </w:p>
        </w:tc>
        <w:tc>
          <w:tcPr/>
          <w:p>
            <w:pPr>
              <w:pStyle w:val="Compact"/>
            </w:pPr>
            <w:r>
              <w:t xml:space="preserve">Feature-to-context learning rate</w:t>
            </w:r>
          </w:p>
        </w:tc>
        <w:tc>
          <w:tcPr/>
          <w:p>
            <w:pPr>
              <w:pStyle w:val="Compact"/>
            </w:pPr>
            <w:r>
              <w:t xml:space="preserve">Updates to</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Updates to</w:t>
            </w:r>
            <w:r>
              <w:t xml:space="preserve"> </w:t>
            </w:r>
            <m:oMath>
              <m:sSup>
                <m:e>
                  <m:r>
                    <m:t>M</m:t>
                  </m:r>
                </m:e>
                <m:sup>
                  <m:r>
                    <m:t>C</m:t>
                  </m:r>
                  <m:r>
                    <m:t>F</m:t>
                  </m:r>
                </m:sup>
              </m:sSup>
            </m:oMath>
          </w:p>
        </w:tc>
      </w:tr>
      <w:tr>
        <w:tc>
          <w:tcPr/>
          <w:p>
            <w:pPr>
              <w:pStyle w:val="Compact"/>
            </w:pPr>
            <m:oMath>
              <m:sSub>
                <m:e>
                  <m:r>
                    <m:t>ϕ</m:t>
                  </m:r>
                </m:e>
                <m:sub>
                  <m:r>
                    <m:t>i</m:t>
                  </m:r>
                </m:sub>
              </m:sSub>
            </m:oMath>
          </w:p>
        </w:tc>
        <w:tc>
          <w:tcPr/>
          <w:p>
            <w:pPr>
              <w:pStyle w:val="Compact"/>
            </w:pPr>
            <w:r>
              <w:t xml:space="preserve">Primacy learning scale for event</w:t>
            </w:r>
            <w:r>
              <w:t xml:space="preserve"> </w:t>
            </w:r>
            <m:oMath>
              <m:r>
                <m:t>i</m:t>
              </m:r>
            </m:oMath>
          </w:p>
        </w:tc>
        <w:tc>
          <w:tcPr/>
          <w:p>
            <w:pPr>
              <w:pStyle w:val="Compact"/>
            </w:pPr>
            <w:r>
              <w:t xml:space="preserve">Context-to-feature learning</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Added source-context learning for film items</w:t>
            </w:r>
          </w:p>
        </w:tc>
        <w:tc>
          <w:tcPr/>
          <w:p>
            <w:pPr>
              <w:pStyle w:val="Compact"/>
            </w:pPr>
            <w:r>
              <w:t xml:space="preserve">Film-source encoding</w:t>
            </w:r>
          </w:p>
        </w:tc>
      </w:tr>
      <w:tr>
        <w:tc>
          <w:tcPr/>
          <w:p>
            <w:pPr>
              <w:pStyle w:val="Compact"/>
            </w:pPr>
            <m:oMath>
              <m:r>
                <m:t>τ</m:t>
              </m:r>
            </m:oMath>
          </w:p>
        </w:tc>
        <w:tc>
          <w:tcPr/>
          <w:p>
            <w:pPr>
              <w:pStyle w:val="Compact"/>
            </w:pPr>
            <w:r>
              <w:t xml:space="preserve">Degree to which sampling favors higher-support candidates</w:t>
            </w:r>
          </w:p>
        </w:tc>
        <w:tc>
          <w:tcPr/>
          <w:p>
            <w:pPr>
              <w:pStyle w:val="Compact"/>
            </w:pPr>
            <w:r>
              <w:t xml:space="preserve">Candidate sampling</w:t>
            </w:r>
          </w:p>
        </w:tc>
      </w:tr>
      <w:tr>
        <w:tc>
          <w:tcPr/>
          <w:p>
            <w:pPr>
              <w:pStyle w:val="Compact"/>
            </w:pPr>
            <m:oMath>
              <m:sSub>
                <m:e>
                  <m:r>
                    <m:t>θ</m:t>
                  </m:r>
                </m:e>
                <m:sub>
                  <m:r>
                    <m:t>s</m:t>
                  </m:r>
                </m:sub>
              </m:sSub>
              <m:r>
                <m:rPr>
                  <m:sty m:val="p"/>
                </m:rPr>
                <m:t>,</m:t>
              </m:r>
              <m:sSub>
                <m:e>
                  <m:r>
                    <m:t>θ</m:t>
                  </m:r>
                </m:e>
                <m:sub>
                  <m:r>
                    <m:t>r</m:t>
                  </m:r>
                </m:sub>
              </m:sSub>
            </m:oMath>
          </w:p>
        </w:tc>
        <w:tc>
          <w:tcPr/>
          <w:p>
            <w:pPr>
              <w:pStyle w:val="Compact"/>
            </w:pPr>
            <w:r>
              <w:t xml:space="preserve">Baseline tendency to stop and its growth across sampled outputs</w:t>
            </w:r>
          </w:p>
        </w:tc>
        <w:tc>
          <w:tcPr/>
          <w:p>
            <w:pPr>
              <w:pStyle w:val="Compact"/>
            </w:pPr>
            <w:r>
              <w:t xml:space="preserve">Recall termination</w:t>
            </w:r>
          </w:p>
        </w:tc>
      </w:tr>
      <w:tr>
        <w:tc>
          <w:tcPr/>
          <w:p>
            <w:pPr>
              <w:pStyle w:val="Compact"/>
            </w:pPr>
            <m:oMath>
              <m:r>
                <m:t>κ</m:t>
              </m:r>
            </m:oMath>
          </w:p>
        </w:tc>
        <w:tc>
          <w:tcPr/>
          <w:p>
            <w:pPr>
              <w:pStyle w:val="Compact"/>
            </w:pPr>
            <w:r>
              <w:t xml:space="preserve">Degree to which sampled non-film items carry context forward</w:t>
            </w:r>
          </w:p>
        </w:tc>
        <w:tc>
          <w:tcPr/>
          <w:p>
            <w:pPr>
              <w:pStyle w:val="Compact"/>
            </w:pPr>
            <w:r>
              <w:t xml:space="preserve">Retrieval monitoring</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Added support for candidates matching the maintained film goal</w:t>
            </w:r>
          </w:p>
        </w:tc>
        <w:tc>
          <w:tcPr/>
          <w:p>
            <w:pPr>
              <w:pStyle w:val="Compact"/>
            </w:pPr>
            <w:r>
              <w:t xml:space="preserve">Film-goal support</w:t>
            </w:r>
          </w:p>
        </w:tc>
      </w:tr>
    </w:tbl>
    <w:bookmarkEnd w:id="47"/>
    <w:bookmarkStart w:id="54" w:name="encoding-the-paradigm-sequence"/>
    <w:p>
      <w:pPr>
        <w:pStyle w:val="Heading2"/>
      </w:pPr>
      <w:r>
        <w:t xml:space="preserve">Encoding the Paradigm Sequence</w:t>
      </w:r>
    </w:p>
    <w:p>
      <w:pPr>
        <w:pStyle w:val="FirstParagraph"/>
      </w:pPr>
      <w:r>
        <w:t xml:space="preserve">Film, task, and filler events become later recall candidates through context updating and item-context learning.</w:t>
      </w:r>
      <w:r>
        <w:t xml:space="preserve"> </w:t>
      </w:r>
      <w:r>
        <w:t xml:space="preserve">Each event updates context and becomes associated with the resulting state.</w:t>
      </w:r>
      <w:r>
        <w:t xml:space="preserve"> </w:t>
      </w:r>
      <w:r>
        <w:t xml:space="preserve">During later recall, candidate support depends on how strongly studied items are associated with the context states active during retrieval.</w:t>
      </w:r>
    </w:p>
    <w:p>
      <w:pPr>
        <w:pStyle w:val="BodyText"/>
      </w:pPr>
      <w:r>
        <w:t xml:space="preserve">Before the simulated film starts, context is initialized to</w:t>
      </w:r>
      <w:r>
        <w:t xml:space="preserve"> </w:t>
      </w:r>
      <m:oMath>
        <m:sSub>
          <m:e>
            <m:r>
              <m:t>c</m:t>
            </m:r>
          </m:e>
          <m:sub>
            <m:r>
              <m:t>0</m:t>
            </m:r>
          </m:sub>
        </m:sSub>
      </m:oMath>
      <w:r>
        <w:t xml:space="preserve">, a start state with no item-associated context units active.</w:t>
      </w:r>
      <w:r>
        <w:t xml:space="preserve"> </w:t>
      </w:r>
      <w:r>
        <w:t xml:space="preserve">Memory matrices are initialized with pre-experimental associations that reflect baseline structure already present before the simulated paradigm begins.</w:t>
      </w:r>
      <w:r>
        <w:t xml:space="preserve"> </w:t>
      </w:r>
      <w:r>
        <w:t xml:space="preserve">In</w:t>
      </w:r>
      <w:r>
        <w:t xml:space="preserve"> </w:t>
      </w:r>
      <m:oMath>
        <m:sSup>
          <m:e>
            <m:r>
              <m:t>M</m:t>
            </m:r>
          </m:e>
          <m:sup>
            <m:r>
              <m:t>F</m:t>
            </m:r>
            <m:r>
              <m:t>C</m:t>
            </m:r>
          </m:sup>
        </m:sSup>
      </m:oMath>
      <w:r>
        <w:t xml:space="preserve">, each item</w:t>
      </w:r>
      <w:r>
        <w:t xml:space="preserve"> </w:t>
      </w:r>
      <m:oMath>
        <m:r>
          <m:t>i</m:t>
        </m:r>
      </m:oMath>
      <w:r>
        <w:t xml:space="preserve"> </w:t>
      </w:r>
      <w:r>
        <w:t xml:space="preserve">can cue its paired context unit with weight</w:t>
      </w:r>
      <w:r>
        <w:t xml:space="preserve"> </w:t>
      </w:r>
      <m:oMath>
        <m:r>
          <m:t>1</m:t>
        </m:r>
        <m:r>
          <m:rPr>
            <m:sty m:val="p"/>
          </m:rPr>
          <m:t>−</m:t>
        </m:r>
        <m:r>
          <m:t>γ</m:t>
        </m:r>
      </m:oMath>
      <w:r>
        <w:t xml:space="preserve">.</w:t>
      </w:r>
      <w:r>
        <w:t xml:space="preserve"> </w:t>
      </w:r>
      <w:r>
        <w:t xml:space="preserve">In</w:t>
      </w:r>
      <w:r>
        <w:t xml:space="preserve"> </w:t>
      </w:r>
      <m:oMath>
        <m:sSup>
          <m:e>
            <m:r>
              <m:t>M</m:t>
            </m:r>
          </m:e>
          <m:sup>
            <m:r>
              <m:t>C</m:t>
            </m:r>
            <m:r>
              <m:t>F</m:t>
            </m:r>
          </m:sup>
        </m:sSup>
      </m:oMath>
      <w:r>
        <w:t xml:space="preserve">, each item is most strongly supported by its paired context unit, with weight</w:t>
      </w:r>
      <w:r>
        <w:t xml:space="preserve"> </w:t>
      </w:r>
      <m:oMath>
        <m:r>
          <m:t>δ</m:t>
        </m:r>
      </m:oMath>
      <w:r>
        <w:t xml:space="preserve">.</w:t>
      </w:r>
      <w:r>
        <w:t xml:space="preserve"> </w:t>
      </w:r>
      <w:r>
        <w:t xml:space="preserve">The other item-associated context units provide weaker background support to that item, with weight</w:t>
      </w:r>
      <w:r>
        <w:t xml:space="preserve"> </w:t>
      </w:r>
      <m:oMath>
        <m:r>
          <m:t>α</m:t>
        </m:r>
      </m:oMath>
      <w:r>
        <w:t xml:space="preserve">.</w:t>
      </w:r>
      <w:r>
        <w:t xml:space="preserve"> </w:t>
      </w:r>
      <w:r>
        <w:t xml:space="preserve">The start state</w:t>
      </w:r>
      <w:r>
        <w:t xml:space="preserve"> </w:t>
      </w:r>
      <m:oMath>
        <m:sSub>
          <m:e>
            <m:r>
              <m:t>c</m:t>
            </m:r>
          </m:e>
          <m:sub>
            <m:r>
              <m:t>0</m:t>
            </m:r>
          </m:sub>
        </m:sSub>
      </m:oMath>
      <w:r>
        <w:t xml:space="preserve"> </w:t>
      </w:r>
      <w:r>
        <w:t xml:space="preserve">initially provides no item support in</w:t>
      </w:r>
      <w:r>
        <w:t xml:space="preserve"> </w:t>
      </w:r>
      <m:oMath>
        <m:sSup>
          <m:e>
            <m:r>
              <m:t>M</m:t>
            </m:r>
          </m:e>
          <m:sup>
            <m:r>
              <m:t>C</m:t>
            </m:r>
            <m:r>
              <m:t>F</m:t>
            </m:r>
          </m:sup>
        </m:sSup>
      </m:oMath>
      <w:r>
        <w:t xml:space="preserve">.</w:t>
      </w:r>
      <w:r>
        <w:t xml:space="preserve"> </w:t>
      </w:r>
      <w:r>
        <w:t xml:space="preserve">The initial entries of</w:t>
      </w:r>
      <w:r>
        <w:t xml:space="preserve"> </w:t>
      </w:r>
      <m:oMath>
        <m:sSup>
          <m:e>
            <m:r>
              <m:t>M</m:t>
            </m:r>
          </m:e>
          <m:sup>
            <m:r>
              <m:t>F</m:t>
            </m:r>
            <m:r>
              <m:t>C</m:t>
            </m:r>
          </m:sup>
        </m:sSup>
      </m:oMath>
      <w:r>
        <w:t xml:space="preserve"> </w:t>
      </w:r>
      <w:r>
        <w:t xml:space="preserve">and</w:t>
      </w:r>
      <w:r>
        <w:t xml:space="preserve"> </w:t>
      </w:r>
      <m:oMath>
        <m:sSup>
          <m:e>
            <m:r>
              <m:t>M</m:t>
            </m:r>
          </m:e>
          <m:sup>
            <m:r>
              <m:t>C</m:t>
            </m:r>
            <m:r>
              <m:t>F</m:t>
            </m:r>
          </m:sup>
        </m:sSup>
      </m:oMath>
      <w:r>
        <w:t xml:space="preserve"> </w:t>
      </w:r>
      <w:r>
        <w:t xml:space="preserve">are therefore:</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When event</w:t>
      </w:r>
      <w:r>
        <w:t xml:space="preserve"> </w:t>
      </w:r>
      <m:oMath>
        <m:r>
          <m:t>i</m:t>
        </m:r>
      </m:oMath>
      <w:r>
        <w:t xml:space="preserve"> </w:t>
      </w:r>
      <w:r>
        <w:t xml:space="preserve">is encountered, its representation</w:t>
      </w:r>
      <w:r>
        <w:t xml:space="preserve"> </w:t>
      </w:r>
      <m:oMath>
        <m:sSub>
          <m:e>
            <m:r>
              <m:t>f</m:t>
            </m:r>
          </m:e>
          <m:sub>
            <m:r>
              <m:t>i</m:t>
            </m:r>
          </m:sub>
        </m:sSub>
      </m:oMath>
      <w:r>
        <w:t xml:space="preserve"> </w:t>
      </w:r>
      <w:r>
        <w:t xml:space="preserve">retrieves context input through feature-to-context memory:</w:t>
      </w:r>
    </w:p>
    <w:p>
      <w:pPr>
        <w:pStyle w:val="BodyText"/>
      </w:pPr>
      <w:bookmarkStart w:id="50"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rPr>
              <m:sty m:val="p"/>
            </m:rPr>
            <m:t>.</m:t>
          </m:r>
          <m:r>
            <m:t>  </m:t>
          </m:r>
          <m:d>
            <m:dPr>
              <m:begChr m:val="("/>
              <m:sepChr m:val=""/>
              <m:endChr m:val=")"/>
              <m:grow/>
            </m:dPr>
            <m:e>
              <m:r>
                <m:t>3</m:t>
              </m:r>
            </m:e>
          </m:d>
        </m:oMath>
      </m:oMathPara>
      <w:bookmarkEnd w:id="50"/>
    </w:p>
    <w:p>
      <w:pPr>
        <w:pStyle w:val="FirstParagraph"/>
      </w:pPr>
      <w:r>
        <w:t xml:space="preserve">Context then drifts toward the normalized input.</w:t>
      </w:r>
      <w:r>
        <w:t xml:space="preserve"> </w:t>
      </w:r>
      <w:r>
        <w:t xml:space="preserve">The coefficient</w:t>
      </w:r>
      <w:r>
        <w:t xml:space="preserve"> </w:t>
      </w:r>
      <m:oMath>
        <m:sSub>
          <m:e>
            <m:r>
              <m:t>ρ</m:t>
            </m:r>
          </m:e>
          <m:sub>
            <m:r>
              <m:t>i</m:t>
            </m:r>
          </m:sub>
        </m:sSub>
      </m:oMath>
      <w:r>
        <w:t xml:space="preserve"> </w:t>
      </w:r>
      <w:r>
        <w:t xml:space="preserve">keeps context normalized after the update:</w:t>
      </w:r>
    </w:p>
    <w:p>
      <w:pPr>
        <w:pStyle w:val="BodyText"/>
      </w:pPr>
      <w:bookmarkStart w:id="51" w:name="eq-context-update"/>
      <m:oMathPara>
        <m:oMathParaPr>
          <m:jc m:val="center"/>
        </m:oMathParaPr>
        <m:oMath>
          <m:sSub>
            <m:e>
              <m:r>
                <m:t>c</m:t>
              </m:r>
            </m:e>
            <m:sub>
              <m:r>
                <m:t>i</m:t>
              </m:r>
            </m:sub>
          </m:sSub>
          <m:r>
            <m:rPr>
              <m:sty m:val="p"/>
            </m:rPr>
            <m:t>=</m:t>
          </m:r>
          <m:sSub>
            <m:e>
              <m:r>
                <m:t>ρ</m:t>
              </m:r>
            </m:e>
            <m:sub>
              <m:r>
                <m:t>i</m:t>
              </m:r>
            </m:sub>
          </m:sSub>
          <m:sSub>
            <m:e>
              <m:r>
                <m:t>c</m:t>
              </m:r>
            </m:e>
            <m:sub>
              <m:r>
                <m:t>i</m:t>
              </m:r>
              <m:r>
                <m:rPr>
                  <m:sty m:val="p"/>
                </m:rPr>
                <m:t>−</m:t>
              </m:r>
              <m:r>
                <m:t>1</m:t>
              </m:r>
            </m:sub>
          </m:sSub>
          <m:r>
            <m:rPr>
              <m:sty m:val="p"/>
            </m:rPr>
            <m:t>+</m:t>
          </m:r>
          <m:sSub>
            <m:e>
              <m:r>
                <m:t>β</m:t>
              </m:r>
            </m:e>
            <m:sub>
              <m:r>
                <m:rPr>
                  <m:sty m:val="p"/>
                </m:rPr>
                <m:t>e</m:t>
              </m:r>
              <m:r>
                <m:rPr>
                  <m:sty m:val="p"/>
                </m:rPr>
                <m:t>n</m:t>
              </m:r>
              <m:r>
                <m:rPr>
                  <m:sty m:val="p"/>
                </m:rPr>
                <m:t>c</m:t>
              </m:r>
            </m:sub>
          </m:sSub>
          <m:sSubSup>
            <m:e>
              <m:acc>
                <m:accPr>
                  <m:chr m:val="̂"/>
                </m:accPr>
                <m:e>
                  <m:r>
                    <m:t>c</m:t>
                  </m:r>
                </m:e>
              </m:acc>
            </m:e>
            <m:sub>
              <m:r>
                <m:t>i</m:t>
              </m:r>
            </m:sub>
            <m:sup>
              <m:r>
                <m:rPr>
                  <m:sty m:val="p"/>
                </m:rPr>
                <m:t>I</m:t>
              </m:r>
              <m:r>
                <m:rPr>
                  <m:sty m:val="p"/>
                </m:rPr>
                <m:t>N</m:t>
              </m:r>
            </m:sup>
          </m:sSubSup>
          <m:r>
            <m:rPr>
              <m:sty m:val="p"/>
            </m:rPr>
            <m:t>.</m:t>
          </m:r>
          <m:r>
            <m:t>  </m:t>
          </m:r>
          <m:d>
            <m:dPr>
              <m:begChr m:val="("/>
              <m:sepChr m:val=""/>
              <m:endChr m:val=")"/>
              <m:grow/>
            </m:dPr>
            <m:e>
              <m:r>
                <m:t>4</m:t>
              </m:r>
            </m:e>
          </m:d>
        </m:oMath>
      </m:oMathPara>
      <w:bookmarkEnd w:id="51"/>
    </w:p>
    <w:p>
      <w:pPr>
        <w:pStyle w:val="FirstParagraph"/>
      </w:pPr>
      <w:r>
        <w:t xml:space="preserve">Each event also encodes associations between its item features and the current context state.</w:t>
      </w:r>
      <w:r>
        <w:t xml:space="preserve"> </w:t>
      </w:r>
      <w:r>
        <w:t xml:space="preserve">Feature-to-context learning updates</w:t>
      </w:r>
      <w:r>
        <w:t xml:space="preserve"> </w:t>
      </w:r>
      <m:oMath>
        <m:sSup>
          <m:e>
            <m:r>
              <m:t>M</m:t>
            </m:r>
          </m:e>
          <m:sup>
            <m:r>
              <m:t>F</m:t>
            </m:r>
            <m:r>
              <m:t>C</m:t>
            </m:r>
          </m:sup>
        </m:sSup>
      </m:oMath>
      <w:r>
        <w:t xml:space="preserve"> </w:t>
      </w:r>
      <w:r>
        <w:t xml:space="preserve">so later cues or sampled items can reinstate associated context:</w:t>
      </w:r>
    </w:p>
    <w:p>
      <w:pPr>
        <w:pStyle w:val="BodyText"/>
      </w:pPr>
      <w:bookmarkStart w:id="52"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rPr>
              <m:sty m:val="p"/>
            </m:rPr>
            <m:t>.</m:t>
          </m:r>
          <m:r>
            <m:t>  </m:t>
          </m:r>
          <m:d>
            <m:dPr>
              <m:begChr m:val="("/>
              <m:sepChr m:val=""/>
              <m:endChr m:val=")"/>
              <m:grow/>
            </m:dPr>
            <m:e>
              <m:r>
                <m:t>5</m:t>
              </m:r>
            </m:e>
          </m:d>
        </m:oMath>
      </m:oMathPara>
      <w:bookmarkEnd w:id="52"/>
    </w:p>
    <w:p>
      <w:pPr>
        <w:pStyle w:val="FirstParagraph"/>
      </w:pPr>
      <w:r>
        <w:t xml:space="preserve">Context-to-feature learning updates</w:t>
      </w:r>
      <w:r>
        <w:t xml:space="preserve"> </w:t>
      </w:r>
      <m:oMath>
        <m:sSup>
          <m:e>
            <m:r>
              <m:t>M</m:t>
            </m:r>
          </m:e>
          <m:sup>
            <m:r>
              <m:t>C</m:t>
            </m:r>
            <m:r>
              <m:t>F</m:t>
            </m:r>
          </m:sup>
        </m:sSup>
      </m:oMath>
      <w:r>
        <w:t xml:space="preserve"> </w:t>
      </w:r>
      <w:r>
        <w:t xml:space="preserve">so later context can support the item during sampling:</w:t>
      </w:r>
    </w:p>
    <w:p>
      <w:pPr>
        <w:pStyle w:val="BodyText"/>
      </w:pPr>
      <w:bookmarkStart w:id="53"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6</m:t>
              </m:r>
            </m:e>
          </m:d>
        </m:oMath>
      </m:oMathPara>
      <w:bookmarkEnd w:id="53"/>
    </w:p>
    <w:p>
      <w:pPr>
        <w:pStyle w:val="FirstParagraph"/>
      </w:pPr>
      <w:r>
        <w:t xml:space="preserve">Here,</w:t>
      </w:r>
      <w:r>
        <w:t xml:space="preserve"> </w:t>
      </w:r>
      <m:oMath>
        <m:r>
          <m:t>γ</m:t>
        </m:r>
      </m:oMath>
      <w:r>
        <w:t xml:space="preserve"> </w:t>
      </w:r>
      <w:r>
        <w:t xml:space="preserve">controls feature-to-context learning while</w:t>
      </w:r>
      <w:r>
        <w:t xml:space="preserve"> </w:t>
      </w:r>
      <m:oMath>
        <m:r>
          <m:t>λ</m:t>
        </m:r>
      </m:oMath>
      <w:r>
        <w:t xml:space="preserve"> </w:t>
      </w:r>
      <w:r>
        <w:t xml:space="preserve">scales context-to-feature learning.</w:t>
      </w:r>
      <w:r>
        <w:t xml:space="preserve"> </w:t>
      </w:r>
      <w:r>
        <w:t xml:space="preserve">To capture primacy effects in recall, the scale</w:t>
      </w:r>
      <w:r>
        <w:t xml:space="preserve"> </w:t>
      </w:r>
      <m:oMath>
        <m:sSub>
          <m:e>
            <m:r>
              <m:t>ϕ</m:t>
            </m:r>
          </m:e>
          <m:sub>
            <m:r>
              <m:t>i</m:t>
            </m:r>
          </m:sub>
        </m:sSub>
      </m:oMath>
      <w:r>
        <w:t xml:space="preserve"> </w:t>
      </w:r>
      <w:r>
        <w:t xml:space="preserve">boosts context-to-feature learning for early items in the paradigm and decays across subsequent items.</w:t>
      </w:r>
    </w:p>
    <w:p>
      <w:pPr>
        <w:pStyle w:val="BodyText"/>
      </w:pPr>
      <w:r>
        <w:t xml:space="preserve">Encoding events also have a source feature vector</w:t>
      </w:r>
      <w:r>
        <w:t xml:space="preserve"> </w:t>
      </w:r>
      <m:oMath>
        <m:sSub>
          <m:e>
            <m:r>
              <m:t>s</m:t>
            </m:r>
          </m:e>
          <m:sub>
            <m:r>
              <m:t>i</m:t>
            </m:r>
          </m:sub>
        </m:sSub>
      </m:oMath>
      <w:r>
        <w:t xml:space="preserve"> </w:t>
      </w:r>
      <w:r>
        <w:t xml:space="preserve">that distinguishes film items from non-film items.</w:t>
      </w:r>
      <w:r>
        <w:t xml:space="preserve"> </w:t>
      </w:r>
      <w:r>
        <w:t xml:space="preserve">The source component of context follows the same normalized-drift form as temporal context, with source drift rate</w:t>
      </w:r>
      <w:r>
        <w:t xml:space="preserve"> </w:t>
      </w:r>
      <m:oMath>
        <m:sSub>
          <m:e>
            <m:r>
              <m:t>β</m:t>
            </m:r>
          </m:e>
          <m:sub>
            <m:r>
              <m:t>e</m:t>
            </m:r>
            <m:r>
              <m:t>m</m:t>
            </m:r>
            <m:r>
              <m:t>o</m:t>
            </m:r>
            <m:r>
              <m:t>t</m:t>
            </m:r>
          </m:sub>
        </m:sSub>
      </m:oMath>
      <w:r>
        <w:t xml:space="preserve">.</w:t>
      </w:r>
      <w:r>
        <w:t xml:space="preserve"> </w:t>
      </w:r>
      <w:r>
        <w:t xml:space="preserve">All items can form associations with the source context active for that event, scaled by a baseline source-learning term</w:t>
      </w:r>
      <w:r>
        <w:t xml:space="preserve"> </w:t>
      </w:r>
      <m:oMath>
        <m:sSub>
          <m:e>
            <m:r>
              <m:t>η</m:t>
            </m:r>
          </m:e>
          <m:sub>
            <m:r>
              <m:t>s</m:t>
            </m:r>
          </m:sub>
        </m:sSub>
      </m:oMath>
      <w:r>
        <w:t xml:space="preserve">.</w:t>
      </w:r>
      <w:r>
        <w:t xml:space="preserve"> </w:t>
      </w:r>
      <w:r>
        <w:t xml:space="preserve">For film encoding events, the source-context portion of the context-to-feature update receives an additional</w:t>
      </w:r>
      <w:r>
        <w:t xml:space="preserve"> </w:t>
      </w:r>
      <m:oMath>
        <m:sSub>
          <m:e>
            <m:r>
              <m:t>ϕ</m:t>
            </m:r>
          </m:e>
          <m:sub>
            <m:r>
              <m:rPr>
                <m:sty m:val="p"/>
              </m:rPr>
              <m:t>e</m:t>
            </m:r>
            <m:r>
              <m:rPr>
                <m:sty m:val="p"/>
              </m:rPr>
              <m:t>m</m:t>
            </m:r>
            <m:r>
              <m:rPr>
                <m:sty m:val="p"/>
              </m:rPr>
              <m:t>o</m:t>
            </m:r>
            <m:r>
              <m:rPr>
                <m:sty m:val="p"/>
              </m:rPr>
              <m:t>t</m:t>
            </m:r>
          </m:sub>
        </m:sSub>
      </m:oMath>
      <w:r>
        <w:t xml:space="preserve"> </w:t>
      </w:r>
      <w:r>
        <w:t xml:space="preserve">scale to reflect stronger encoding of emotional material in the trauma-film paradigm</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Task and filler events carry the neutral/default source feature, so they use the baseline source-learning scale without the added film-source term.</w:t>
      </w:r>
      <w:r>
        <w:t xml:space="preserve"> </w:t>
      </w:r>
      <w:r>
        <w:t xml:space="preserve">After encoding, film, task, and filler candidates can all enter later recall through the temporal and source-context associations learned for each item.</w:t>
      </w:r>
    </w:p>
    <w:bookmarkEnd w:id="54"/>
    <w:bookmarkStart w:id="57" w:name="reminder-linked-task-encoding"/>
    <w:p>
      <w:pPr>
        <w:pStyle w:val="Heading2"/>
      </w:pPr>
      <w:r>
        <w:t xml:space="preserve">Reminder-Linked Task Encoding</w:t>
      </w:r>
    </w:p>
    <w:p>
      <w:pPr>
        <w:pStyle w:val="FirstParagraph"/>
      </w:pPr>
      <w:r>
        <w:t xml:space="preserve">After the film-delay period, the simulated paradigm can present film reminders before the task begins.</w:t>
      </w:r>
      <w:r>
        <w:t xml:space="preserve"> </w:t>
      </w:r>
      <w:r>
        <w:t xml:space="preserve">The reminder phase reinstates film-associated context before task items are encoded.</w:t>
      </w:r>
      <w:r>
        <w:t xml:space="preserve"> </w:t>
      </w:r>
      <w:r>
        <w:t xml:space="preserve">Task items encoded from that state can later receive support for recall from context that also supports film material.</w:t>
      </w:r>
    </w:p>
    <w:p>
      <w:pPr>
        <w:pStyle w:val="BodyText"/>
      </w:pPr>
      <w:r>
        <w:t xml:space="preserve">The reminder phase begins by updating context toward the start state of the film sequence.</w:t>
      </w:r>
      <w:r>
        <w:t xml:space="preserve"> </w:t>
      </w:r>
      <w:r>
        <w:t xml:space="preserve">Let</w:t>
      </w:r>
      <w:r>
        <w:t xml:space="preserve"> </w:t>
      </w:r>
      <m:oMath>
        <m:sSub>
          <m:e>
            <m:r>
              <m:t>c</m:t>
            </m:r>
          </m:e>
          <m:sub>
            <m:r>
              <m:t>b</m:t>
            </m:r>
          </m:sub>
        </m:sSub>
      </m:oMath>
      <w:r>
        <w:t xml:space="preserve"> </w:t>
      </w:r>
      <w:r>
        <w:t xml:space="preserve">denote the context state after the break period.</w:t>
      </w:r>
      <w:r>
        <w:t xml:space="preserve"> </w:t>
      </w:r>
      <w:r>
        <w:t xml:space="preserve">The reminder-phase start update is:</w:t>
      </w:r>
    </w:p>
    <w:p>
      <w:pPr>
        <w:pStyle w:val="BodyText"/>
      </w:pPr>
      <w:bookmarkStart w:id="55" w:name="eq-reminder-start-update"/>
      <m:oMathPara>
        <m:oMathParaPr>
          <m:jc m:val="center"/>
        </m:oMathParaPr>
        <m:oMath>
          <m:sSub>
            <m:e>
              <m:r>
                <m:t>c</m:t>
              </m:r>
            </m:e>
            <m:sub>
              <m:r>
                <m:t>r</m:t>
              </m:r>
              <m:r>
                <m:rPr>
                  <m:sty m:val="p"/>
                </m:rPr>
                <m:t>,</m:t>
              </m:r>
              <m:r>
                <m:t>0</m:t>
              </m:r>
            </m:sub>
          </m:sSub>
          <m:r>
            <m:rPr>
              <m:sty m:val="p"/>
            </m:rPr>
            <m:t>=</m:t>
          </m:r>
          <m:sSub>
            <m:e>
              <m:r>
                <m:t>ρ</m:t>
              </m:r>
            </m:e>
            <m:sub>
              <m:r>
                <m:t>r</m:t>
              </m:r>
              <m:r>
                <m:rPr>
                  <m:sty m:val="p"/>
                </m:rPr>
                <m:t>,</m:t>
              </m:r>
              <m:r>
                <m:t>0</m:t>
              </m:r>
            </m:sub>
          </m:sSub>
          <m:sSub>
            <m:e>
              <m:r>
                <m:t>c</m:t>
              </m:r>
            </m:e>
            <m:sub>
              <m:r>
                <m:t>b</m:t>
              </m:r>
            </m:sub>
          </m:sSub>
          <m:r>
            <m:rPr>
              <m:sty m:val="p"/>
            </m:rPr>
            <m:t>+</m:t>
          </m:r>
          <m:sSub>
            <m:e>
              <m:r>
                <m:t>β</m:t>
              </m:r>
            </m:e>
            <m:sub>
              <m:r>
                <m:rPr>
                  <m:sty m:val="p"/>
                </m:rPr>
                <m:t>r</m:t>
              </m:r>
              <m:r>
                <m:rPr>
                  <m:sty m:val="p"/>
                </m:rPr>
                <m:t>e</m:t>
              </m:r>
              <m:r>
                <m:rPr>
                  <m:sty m:val="p"/>
                </m:rPr>
                <m:t>m</m:t>
              </m:r>
              <m:r>
                <m:rPr>
                  <m:sty m:val="p"/>
                </m:rPr>
                <m:t>,</m:t>
              </m:r>
              <m:r>
                <m:rPr>
                  <m:sty m:val="p"/>
                </m:rPr>
                <m:t>s</m:t>
              </m:r>
              <m:r>
                <m:rPr>
                  <m:sty m:val="p"/>
                </m:rPr>
                <m:t>t</m:t>
              </m:r>
              <m:r>
                <m:rPr>
                  <m:sty m:val="p"/>
                </m:rPr>
                <m:t>a</m:t>
              </m:r>
              <m:r>
                <m:rPr>
                  <m:sty m:val="p"/>
                </m:rPr>
                <m:t>r</m:t>
              </m:r>
              <m:r>
                <m:rPr>
                  <m:sty m:val="p"/>
                </m:rPr>
                <m:t>t</m:t>
              </m:r>
            </m:sub>
          </m:sSub>
          <m:sSub>
            <m:e>
              <m:r>
                <m:t>c</m:t>
              </m:r>
            </m:e>
            <m:sub>
              <m:r>
                <m:t>0</m:t>
              </m:r>
            </m:sub>
          </m:sSub>
          <m:r>
            <m:rPr>
              <m:sty m:val="p"/>
            </m:rPr>
            <m:t>.</m:t>
          </m:r>
          <m:r>
            <m:t>  </m:t>
          </m:r>
          <m:d>
            <m:dPr>
              <m:begChr m:val="("/>
              <m:sepChr m:val=""/>
              <m:endChr m:val=")"/>
              <m:grow/>
            </m:dPr>
            <m:e>
              <m:r>
                <m:t>7</m:t>
              </m:r>
            </m:e>
          </m:d>
        </m:oMath>
      </m:oMathPara>
      <w:bookmarkEnd w:id="55"/>
    </w:p>
    <w:p>
      <w:pPr>
        <w:pStyle w:val="FirstParagraph"/>
      </w:pPr>
      <w:r>
        <w:t xml:space="preserve">The model then applies a sequence of film-item reminder cues.</w:t>
      </w:r>
      <w:r>
        <w:t xml:space="preserve"> </w:t>
      </w:r>
      <w:r>
        <w:t xml:space="preserve">Each item from the film phase is presented as a reminder cue in the order it was encoded.</w:t>
      </w:r>
      <w:r>
        <w:t xml:space="preserve"> </w:t>
      </w:r>
      <w:r>
        <w:t xml:space="preserve">Feature-to-context memory retrieves reminder input as in</w:t>
      </w:r>
      <w:r>
        <w:t xml:space="preserve"> </w:t>
      </w:r>
      <w:hyperlink w:anchor="eq-context-input">
        <w:r>
          <w:rPr>
            <w:rStyle w:val="Hyperlink"/>
          </w:rPr>
          <w:t xml:space="preserve">Equation 3</w:t>
        </w:r>
      </w:hyperlink>
      <w:r>
        <w:t xml:space="preserve">, and context drifts toward that input using the normalized update in</w:t>
      </w:r>
      <w:r>
        <w:t xml:space="preserve"> </w:t>
      </w:r>
      <w:hyperlink w:anchor="eq-context-update">
        <w:r>
          <w:rPr>
            <w:rStyle w:val="Hyperlink"/>
          </w:rPr>
          <w:t xml:space="preserve">Equation 4</w:t>
        </w:r>
      </w:hyperlink>
      <w:r>
        <w:t xml:space="preserve"> </w:t>
      </w:r>
      <w:r>
        <w:t xml:space="preserve">with the reminder drift rate.</w:t>
      </w:r>
      <w:r>
        <w:t xml:space="preserve"> </w:t>
      </w:r>
      <w:r>
        <w:t xml:space="preserve">Reminder cues update context but do not become recallable items and do not add new context-to-feature learning.</w:t>
      </w:r>
      <w:r>
        <w:t xml:space="preserve"> </w:t>
      </w:r>
      <w:r>
        <w:t xml:space="preserve">This isolates the reminder’s effect to reinstating film-associated context rather than adding new film-item associations.</w:t>
      </w:r>
    </w:p>
    <w:p>
      <w:pPr>
        <w:pStyle w:val="BodyText"/>
      </w:pPr>
      <w:r>
        <w:t xml:space="preserve">Task events are then encoded by the ordinary event-learning rules with the reminder-updated context as the starting state.</w:t>
      </w:r>
      <w:r>
        <w:t xml:space="preserve"> </w:t>
      </w:r>
      <w:r>
        <w:t xml:space="preserve">Task items carry the neutral/default source feature rather than the film-source feature, so they do not receive the added</w:t>
      </w:r>
      <w:r>
        <w:t xml:space="preserve"> </w:t>
      </w:r>
      <m:oMath>
        <m:sSub>
          <m:e>
            <m:r>
              <m:t>ϕ</m:t>
            </m:r>
          </m:e>
          <m:sub>
            <m:r>
              <m:rPr>
                <m:sty m:val="p"/>
              </m:rPr>
              <m:t>e</m:t>
            </m:r>
            <m:r>
              <m:rPr>
                <m:sty m:val="p"/>
              </m:rPr>
              <m:t>m</m:t>
            </m:r>
            <m:r>
              <m:rPr>
                <m:sty m:val="p"/>
              </m:rPr>
              <m:t>o</m:t>
            </m:r>
            <m:r>
              <m:rPr>
                <m:sty m:val="p"/>
              </m:rPr>
              <m:t>t</m:t>
            </m:r>
          </m:sub>
        </m:sSub>
      </m:oMath>
      <w:r>
        <w:t xml:space="preserve"> </w:t>
      </w:r>
      <w:r>
        <w:t xml:space="preserve">term.</w:t>
      </w:r>
      <w:r>
        <w:t xml:space="preserve"> </w:t>
      </w:r>
      <w:r>
        <w:t xml:space="preserve">To represent stronger or weaker task encoding, the simulations scale context-to-feature learning for task events by a task-encoding-strength factor</w:t>
      </w:r>
      <w:r>
        <w:t xml:space="preserve"> </w:t>
      </w:r>
      <m:oMath>
        <m:sSub>
          <m:e>
            <m:r>
              <m:t>m</m:t>
            </m:r>
          </m:e>
          <m:sub>
            <m:r>
              <m:rPr>
                <m:sty m:val="p"/>
              </m:rPr>
              <m:t>t</m:t>
            </m:r>
            <m:r>
              <m:rPr>
                <m:sty m:val="p"/>
              </m:rPr>
              <m:t>a</m:t>
            </m:r>
            <m:r>
              <m:rPr>
                <m:sty m:val="p"/>
              </m:rPr>
              <m:t>s</m:t>
            </m:r>
            <m:r>
              <m:rPr>
                <m:sty m:val="p"/>
              </m:rPr>
              <m:t>k</m:t>
            </m:r>
          </m:sub>
        </m:sSub>
      </m:oMath>
      <w:r>
        <w:t xml:space="preserve">:</w:t>
      </w:r>
    </w:p>
    <w:p>
      <w:pPr>
        <w:pStyle w:val="BodyText"/>
      </w:pPr>
      <w:bookmarkStart w:id="56" w:name="eq-task-mcf-learning"/>
      <m:oMathPara>
        <m:oMathParaPr>
          <m:jc m:val="center"/>
        </m:oMathParaPr>
        <m:oMath>
          <m:r>
            <m:t>Δ</m:t>
          </m:r>
          <m:sSubSup>
            <m:e>
              <m:r>
                <m:t>M</m:t>
              </m:r>
            </m:e>
            <m:sub>
              <m:r>
                <m:rPr>
                  <m:sty m:val="p"/>
                </m:rPr>
                <m:t>t</m:t>
              </m:r>
              <m:r>
                <m:rPr>
                  <m:sty m:val="p"/>
                </m:rPr>
                <m:t>a</m:t>
              </m:r>
              <m:r>
                <m:rPr>
                  <m:sty m:val="p"/>
                </m:rPr>
                <m:t>s</m:t>
              </m:r>
              <m:r>
                <m:rPr>
                  <m:sty m:val="p"/>
                </m:rPr>
                <m:t>k</m:t>
              </m:r>
            </m:sub>
            <m:sup>
              <m:r>
                <m:t>C</m:t>
              </m:r>
              <m:r>
                <m:t>F</m:t>
              </m:r>
            </m:sup>
          </m:sSubSup>
          <m:r>
            <m:rPr>
              <m:sty m:val="p"/>
            </m:rPr>
            <m:t>=</m:t>
          </m:r>
          <m:sSub>
            <m:e>
              <m:r>
                <m:t>m</m:t>
              </m:r>
            </m:e>
            <m:sub>
              <m:r>
                <m:rPr>
                  <m:sty m:val="p"/>
                </m:rPr>
                <m:t>t</m:t>
              </m:r>
              <m:r>
                <m:rPr>
                  <m:sty m:val="p"/>
                </m:rPr>
                <m:t>a</m:t>
              </m:r>
              <m:r>
                <m:rPr>
                  <m:sty m:val="p"/>
                </m:rPr>
                <m:t>s</m:t>
              </m:r>
              <m:r>
                <m:rPr>
                  <m:sty m:val="p"/>
                </m:rPr>
                <m:t>k</m:t>
              </m:r>
            </m:sub>
          </m:sSub>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8</m:t>
              </m:r>
            </m:e>
          </m:d>
        </m:oMath>
      </m:oMathPara>
      <w:bookmarkEnd w:id="56"/>
    </w:p>
    <w:p>
      <w:pPr>
        <w:pStyle w:val="FirstParagraph"/>
      </w:pPr>
      <w:r>
        <w:t xml:space="preserve">Task items become interfering competitors in later recall because they become associated with context states that can cue film material.</w:t>
      </w:r>
      <w:r>
        <w:t xml:space="preserve"> </w:t>
      </w:r>
      <w:r>
        <w:t xml:space="preserve">The intervention therefore changes how non-film items are cued by film-related context, without weakening the film-item associations formed during film encoding.</w:t>
      </w:r>
    </w:p>
    <w:bookmarkEnd w:id="57"/>
    <w:bookmarkStart w:id="62" w:name="Xb155c4bf5ea3a7bf524ee6be8d44f4b46605c57"/>
    <w:p>
      <w:pPr>
        <w:pStyle w:val="Heading2"/>
      </w:pPr>
      <w:r>
        <w:t xml:space="preserve">Context-Guided Recall and Test-Phase Cues</w:t>
      </w:r>
    </w:p>
    <w:p>
      <w:pPr>
        <w:pStyle w:val="FirstParagraph"/>
      </w:pPr>
      <w:r>
        <w:t xml:space="preserve">In recall formats where film material must come to mind before it can be reported, the current context state assigns support to film, task, and filler candidates.</w:t>
      </w:r>
      <w:r>
        <w:t xml:space="preserve"> </w:t>
      </w:r>
      <w:r>
        <w:t xml:space="preserve">At sampling step</w:t>
      </w:r>
      <w:r>
        <w:t xml:space="preserve"> </w:t>
      </w:r>
      <m:oMath>
        <m:r>
          <m:t>j</m:t>
        </m:r>
      </m:oMath>
      <w:r>
        <w:t xml:space="preserve">, candidate support is computed by probing context-to-feature memory with the full context state:</w:t>
      </w:r>
    </w:p>
    <w:p>
      <w:pPr>
        <w:pStyle w:val="BodyText"/>
      </w:pPr>
      <w:bookmarkStart w:id="58" w:name="eq-recall-support"/>
      <m:oMathPara>
        <m:oMathParaPr>
          <m:jc m:val="center"/>
        </m:oMathParaPr>
        <m:oMath>
          <m:sSub>
            <m:e>
              <m:r>
                <m:t>a</m:t>
              </m:r>
            </m:e>
            <m:sub>
              <m:r>
                <m:t>i</m:t>
              </m:r>
              <m:r>
                <m:rPr>
                  <m:sty m:val="p"/>
                </m:rPr>
                <m:t>,</m:t>
              </m:r>
              <m:r>
                <m:t>j</m:t>
              </m:r>
            </m:sub>
          </m:sSub>
          <m:r>
            <m:rPr>
              <m:sty m:val="p"/>
            </m:rPr>
            <m:t>=</m:t>
          </m:r>
          <m:sSub>
            <m:e>
              <m:d>
                <m:dPr>
                  <m:begChr m:val="["/>
                  <m:sepChr m:val=""/>
                  <m:endChr m:val="]"/>
                  <m:grow/>
                </m:dPr>
                <m:e>
                  <m:sSup>
                    <m:e>
                      <m:r>
                        <m:t>M</m:t>
                      </m:r>
                    </m:e>
                    <m:sup>
                      <m:r>
                        <m:t>C</m:t>
                      </m:r>
                      <m:r>
                        <m:t>F</m:t>
                      </m:r>
                    </m:sup>
                  </m:sSup>
                  <m:sSub>
                    <m:e>
                      <m:r>
                        <m:t>c</m:t>
                      </m:r>
                    </m:e>
                    <m:sub>
                      <m:r>
                        <m:t>j</m:t>
                      </m:r>
                    </m:sub>
                  </m:sSub>
                </m:e>
              </m:d>
            </m:e>
            <m:sub>
              <m:r>
                <m:t>i</m:t>
              </m:r>
            </m:sub>
          </m:sSub>
          <m:r>
            <m:rPr>
              <m:sty m:val="p"/>
            </m:rPr>
            <m:t>.</m:t>
          </m:r>
          <m:r>
            <m:t>  </m:t>
          </m:r>
          <m:d>
            <m:dPr>
              <m:begChr m:val="("/>
              <m:sepChr m:val=""/>
              <m:endChr m:val=")"/>
              <m:grow/>
            </m:dPr>
            <m:e>
              <m:r>
                <m:t>9</m:t>
              </m:r>
            </m:e>
          </m:d>
        </m:oMath>
      </m:oMathPara>
      <w:bookmarkEnd w:id="58"/>
    </w:p>
    <w:p>
      <w:pPr>
        <w:pStyle w:val="FirstParagraph"/>
      </w:pPr>
      <w:r>
        <w:t xml:space="preserve">The context vector</w:t>
      </w:r>
      <w:r>
        <w:t xml:space="preserve"> </w:t>
      </w:r>
      <m:oMath>
        <m:sSub>
          <m:e>
            <m:r>
              <m:t>c</m:t>
            </m:r>
          </m:e>
          <m:sub>
            <m:r>
              <m:t>j</m:t>
            </m:r>
          </m:sub>
        </m:sSub>
      </m:oMath>
      <w:r>
        <w:t xml:space="preserve"> </w:t>
      </w:r>
      <w:r>
        <w:t xml:space="preserve">includes both temporal and source-context components.</w:t>
      </w:r>
      <w:r>
        <w:t xml:space="preserve"> </w:t>
      </w:r>
      <w:r>
        <w:t xml:space="preserve">Candidates already sampled in the current recall period are excluded from later sampling.</w:t>
      </w:r>
    </w:p>
    <w:p>
      <w:pPr>
        <w:pStyle w:val="BodyText"/>
      </w:pPr>
      <w:r>
        <w:t xml:space="preserve">Sampling follows a Luce choice rule over the remaining candidates</w:t>
      </w:r>
      <w:r>
        <w:t xml:space="preserve"> </w:t>
      </w:r>
      <w:r>
        <w:t xml:space="preserve">(</w:t>
      </w:r>
      <w:hyperlink w:anchor="ref-luce1959individual">
        <w:r>
          <w:rPr>
            <w:rStyle w:val="Hyperlink"/>
          </w:rPr>
          <w:t xml:space="preserve">Luce, 1959</w:t>
        </w:r>
      </w:hyperlink>
      <w:r>
        <w:t xml:space="preserve">)</w:t>
      </w:r>
      <w:r>
        <w:t xml:space="preserve">:</w:t>
      </w:r>
    </w:p>
    <w:p>
      <w:pPr>
        <w:pStyle w:val="BodyText"/>
      </w:pPr>
      <w:bookmarkStart w:id="59" w:name="eq-luce-choice"/>
      <m:oMathPara>
        <m:oMathParaPr>
          <m:jc m:val="center"/>
        </m:oMathParaPr>
        <m:oMath>
          <m:r>
            <m:t>P</m:t>
          </m:r>
          <m:d>
            <m:dPr>
              <m:begChr m:val="("/>
              <m:sepChr m:val=""/>
              <m:endChr m:val=")"/>
              <m:grow/>
            </m:dPr>
            <m:e>
              <m:r>
                <m:t>i</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e</m:t>
              </m:r>
            </m:e>
          </m:d>
          <m:r>
            <m:rPr>
              <m:sty m:val="p"/>
            </m:rPr>
            <m:t>=</m:t>
          </m:r>
          <m:f>
            <m:fPr>
              <m:type m:val="bar"/>
            </m:fPr>
            <m:num>
              <m:sSubSup>
                <m:e>
                  <m:r>
                    <m:t>a</m:t>
                  </m:r>
                </m:e>
                <m:sub>
                  <m:r>
                    <m:t>i</m:t>
                  </m:r>
                  <m:r>
                    <m:rPr>
                      <m:sty m:val="p"/>
                    </m:rPr>
                    <m:t>,</m:t>
                  </m:r>
                  <m:r>
                    <m:t>j</m:t>
                  </m:r>
                </m:sub>
                <m:sup>
                  <m:r>
                    <m:t>τ</m:t>
                  </m:r>
                </m:sup>
              </m:sSubSup>
            </m:num>
            <m:den>
              <m:nary>
                <m:naryPr>
                  <m:chr m:val="∑"/>
                  <m:limLoc m:val="undOvr"/>
                  <m:subHide m:val="off"/>
                  <m:supHide m:val="on"/>
                </m:naryPr>
                <m:sub>
                  <m:r>
                    <m:rPr>
                      <m:sty m:val="p"/>
                    </m:rPr>
                    <m:t>r</m:t>
                  </m:r>
                  <m:r>
                    <m:rPr>
                      <m:sty m:val="p"/>
                    </m:rPr>
                    <m:t>e</m:t>
                  </m:r>
                  <m:r>
                    <m:rPr>
                      <m:sty m:val="p"/>
                    </m:rPr>
                    <m:t>m</m:t>
                  </m:r>
                  <m:r>
                    <m:rPr>
                      <m:sty m:val="p"/>
                    </m:rPr>
                    <m:t>a</m:t>
                  </m:r>
                  <m:r>
                    <m:rPr>
                      <m:sty m:val="p"/>
                    </m:rPr>
                    <m:t>i</m:t>
                  </m:r>
                  <m:r>
                    <m:rPr>
                      <m:sty m:val="p"/>
                    </m:rPr>
                    <m:t>n</m:t>
                  </m:r>
                  <m:r>
                    <m:rPr>
                      <m:sty m:val="p"/>
                    </m:rPr>
                    <m:t>i</m:t>
                  </m:r>
                  <m:r>
                    <m:rPr>
                      <m:sty m:val="p"/>
                    </m:rPr>
                    <m:t>n</m:t>
                  </m:r>
                  <m:r>
                    <m:rPr>
                      <m:sty m:val="p"/>
                    </m:rPr>
                    <m:t>g</m:t>
                  </m:r>
                  <m:r>
                    <m:t> </m:t>
                  </m:r>
                  <m:r>
                    <m:t>k</m:t>
                  </m:r>
                </m:sub>
                <m:sup>
                  <m:r>
                    <m:t>​</m:t>
                  </m:r>
                </m:sup>
                <m:e>
                  <m:sSubSup>
                    <m:e>
                      <m:r>
                        <m:t>a</m:t>
                      </m:r>
                    </m:e>
                    <m:sub>
                      <m:r>
                        <m:t>k</m:t>
                      </m:r>
                      <m:r>
                        <m:rPr>
                          <m:sty m:val="p"/>
                        </m:rPr>
                        <m:t>,</m:t>
                      </m:r>
                      <m:r>
                        <m:t>j</m:t>
                      </m:r>
                    </m:sub>
                    <m:sup>
                      <m:r>
                        <m:t>τ</m:t>
                      </m:r>
                    </m:sup>
                  </m:sSubSup>
                </m:e>
              </m:nary>
            </m:den>
          </m:f>
          <m:r>
            <m:rPr>
              <m:sty m:val="p"/>
            </m:rPr>
            <m:t>.</m:t>
          </m:r>
          <m:r>
            <m:t>  </m:t>
          </m:r>
          <m:d>
            <m:dPr>
              <m:begChr m:val="("/>
              <m:sepChr m:val=""/>
              <m:endChr m:val=")"/>
              <m:grow/>
            </m:dPr>
            <m:e>
              <m:r>
                <m:t>10</m:t>
              </m:r>
            </m:e>
          </m:d>
        </m:oMath>
      </m:oMathPara>
      <w:bookmarkEnd w:id="59"/>
    </w:p>
    <w:p>
      <w:pPr>
        <w:pStyle w:val="FirstParagraph"/>
      </w:pPr>
      <w:r>
        <w:t xml:space="preserve">Following likelihood-based CMR implementations, stopping is modeled as a position-dependent hazard independent of current candidate support</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rPr>
              <m:sty m:val="p"/>
            </m:rPr>
            <m:t>.</m:t>
          </m:r>
          <m:r>
            <m:t>  </m:t>
          </m:r>
          <m:d>
            <m:dPr>
              <m:begChr m:val="("/>
              <m:sepChr m:val=""/>
              <m:endChr m:val=")"/>
              <m:grow/>
            </m:dPr>
            <m:e>
              <m:r>
                <m:t>11</m:t>
              </m:r>
            </m:e>
          </m:d>
        </m:oMath>
      </m:oMathPara>
      <w:bookmarkEnd w:id="60"/>
    </w:p>
    <w:p>
      <w:pPr>
        <w:pStyle w:val="FirstParagraph"/>
      </w:pPr>
      <w:r>
        <w:t xml:space="preserve">This value is bounded to remain a valid probability.</w:t>
      </w:r>
      <w:r>
        <w:t xml:space="preserve"> </w:t>
      </w:r>
      <w:r>
        <w:t xml:space="preserve">Because stopping is independent of candidate support, interference is read from the identity of sampled items.</w:t>
      </w:r>
      <w:r>
        <w:t xml:space="preserve"> </w:t>
      </w:r>
      <w:r>
        <w:t xml:space="preserve">A sampled task or filler item takes the place of a possible film sample.</w:t>
      </w:r>
    </w:p>
    <w:p>
      <w:pPr>
        <w:pStyle w:val="BodyText"/>
      </w:pPr>
      <w:r>
        <w:t xml:space="preserve">After a candidate is sampled, feature-to-context memory updates context toward the sampled item’s associated context:</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sSub>
            <m:e>
              <m:r>
                <m:t>c</m:t>
              </m:r>
            </m:e>
            <m:sub>
              <m:r>
                <m:t>j</m:t>
              </m:r>
            </m:sub>
          </m:sSub>
          <m:r>
            <m:rPr>
              <m:sty m:val="p"/>
            </m:rPr>
            <m:t>+</m:t>
          </m:r>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12</m:t>
              </m:r>
            </m:e>
          </m:d>
        </m:oMath>
      </m:oMathPara>
      <w:bookmarkEnd w:id="61"/>
    </w:p>
    <w:p>
      <w:pPr>
        <w:pStyle w:val="FirstParagraph"/>
      </w:pPr>
      <w:r>
        <w:t xml:space="preserve">This update lets sampled material shape later search.</w:t>
      </w:r>
      <w:r>
        <w:t xml:space="preserve"> </w:t>
      </w:r>
      <w:r>
        <w:t xml:space="preserve">A sampled film item can keep later sampling near film-associated context.</w:t>
      </w:r>
      <w:r>
        <w:t xml:space="preserve"> </w:t>
      </w:r>
      <w:r>
        <w:t xml:space="preserve">A sampled task or filler item can pull later sampling toward non-film material.</w:t>
      </w:r>
    </w:p>
    <w:p>
      <w:pPr>
        <w:pStyle w:val="BodyText"/>
      </w:pPr>
      <w:r>
        <w:t xml:space="preserve">Test-phase film cues use the same feature-to-context operation without becoming recall outputs.</w:t>
      </w:r>
      <w:r>
        <w:t xml:space="preserve"> </w:t>
      </w:r>
      <w:r>
        <w:t xml:space="preserve">When a film cue</w:t>
      </w:r>
      <w:r>
        <w:t xml:space="preserve"> </w:t>
      </w:r>
      <m:oMath>
        <m:r>
          <m:t>q</m:t>
        </m:r>
      </m:oMath>
      <w:r>
        <w:t xml:space="preserve"> </w:t>
      </w:r>
      <w:r>
        <w:t xml:space="preserve">is presented, the cued item updates context through</w:t>
      </w:r>
      <w:r>
        <w:t xml:space="preserve"> </w:t>
      </w:r>
      <m:oMath>
        <m:sSup>
          <m:e>
            <m:r>
              <m:t>M</m:t>
            </m:r>
          </m:e>
          <m:sup>
            <m:r>
              <m:t>F</m:t>
            </m:r>
            <m:r>
              <m:t>C</m:t>
            </m:r>
          </m:sup>
        </m:sSup>
        <m:sSub>
          <m:e>
            <m:r>
              <m:t>f</m:t>
            </m:r>
          </m:e>
          <m:sub>
            <m:r>
              <m:t>q</m:t>
            </m:r>
          </m:sub>
        </m:sSub>
      </m:oMath>
      <w:r>
        <w:t xml:space="preserve">.</w:t>
      </w:r>
      <w:r>
        <w:t xml:space="preserve"> </w:t>
      </w:r>
      <w:r>
        <w:t xml:space="preserve">The cue is not counted as a recalled item, does not make the cued film item unavailable for later recall, and adds no new learning.</w:t>
      </w:r>
      <w:r>
        <w:t xml:space="preserve"> </w:t>
      </w:r>
      <w:r>
        <w:t xml:space="preserve">Recall sampling then resumes from the updated context state.</w:t>
      </w:r>
    </w:p>
    <w:bookmarkEnd w:id="62"/>
    <w:bookmarkStart w:id="65" w:name="deliberate-recall-control"/>
    <w:p>
      <w:pPr>
        <w:pStyle w:val="Heading2"/>
      </w:pPr>
      <w:r>
        <w:t xml:space="preserve">Deliberate Recall Control</w:t>
      </w:r>
    </w:p>
    <w:p>
      <w:pPr>
        <w:pStyle w:val="FirstParagraph"/>
      </w:pPr>
      <w:r>
        <w:t xml:space="preserve">Deliberate recall uses the same sampling rule as unguided recall, with control settings applied before, during, or after sampling.</w:t>
      </w:r>
      <w:r>
        <w:t xml:space="preserve"> </w:t>
      </w:r>
      <w:r>
        <w:t xml:space="preserve">The control settings change the retrieval cue, candidate support, or sampled-item carryover without changing the film and task associations learned during encoding.</w:t>
      </w:r>
      <w:r>
        <w:t xml:space="preserve"> </w:t>
      </w:r>
      <w:r>
        <w:t xml:space="preserve">This lets the simulations test which retrieval operations increase film recall and which ones protect film recall from reminder-linked task competition.</w:t>
      </w:r>
    </w:p>
    <w:p>
      <w:pPr>
        <w:pStyle w:val="BodyText"/>
      </w:pPr>
      <w:r>
        <w:t xml:space="preserve">Start-of-film context reinstatement drifts context toward the state present at the beginning of film encoding before the first sampling step.</w:t>
      </w:r>
      <w:r>
        <w:t xml:space="preserve"> </w:t>
      </w:r>
      <w:r>
        <w:t xml:space="preserve">The retrieval context is drifted toward the context state used to begin the film sequence, with drift rate</w:t>
      </w:r>
      <w:r>
        <w:t xml:space="preserve"> </w:t>
      </w:r>
      <m:oMath>
        <m:sSub>
          <m:e>
            <m:r>
              <m:t>β</m:t>
            </m:r>
          </m:e>
          <m:sub>
            <m:r>
              <m:rPr>
                <m:sty m:val="p"/>
              </m:rPr>
              <m:t>s</m:t>
            </m:r>
            <m:r>
              <m:rPr>
                <m:sty m:val="p"/>
              </m:rPr>
              <m:t>t</m:t>
            </m:r>
            <m:r>
              <m:rPr>
                <m:sty m:val="p"/>
              </m:rPr>
              <m:t>a</m:t>
            </m:r>
            <m:r>
              <m:rPr>
                <m:sty m:val="p"/>
              </m:rPr>
              <m:t>r</m:t>
            </m:r>
            <m:r>
              <m:rPr>
                <m:sty m:val="p"/>
              </m:rPr>
              <m:t>t</m:t>
            </m:r>
          </m:sub>
        </m:sSub>
      </m:oMath>
      <w:r>
        <w:t xml:space="preserve">.</w:t>
      </w:r>
      <w:r>
        <w:t xml:space="preserve"> </w:t>
      </w:r>
      <w:r>
        <w:t xml:space="preserve">This can bias early sampling toward film candidates rather than starting from the ongoing context state produced by the final delay phase of the paradigm.</w:t>
      </w:r>
      <w:r>
        <w:t xml:space="preserve"> </w:t>
      </w:r>
      <w:r>
        <w:t xml:space="preserve">This control mechanism can therefore increase film recall.</w:t>
      </w:r>
      <w:r>
        <w:t xml:space="preserve"> </w:t>
      </w:r>
      <w:r>
        <w:t xml:space="preserve">However, because it still relies on film-associated context to cue candidates, it does not substantially protect deliberate recall from the interference effects of reminder-linked task encoding.</w:t>
      </w:r>
    </w:p>
    <w:p>
      <w:pPr>
        <w:pStyle w:val="BodyText"/>
      </w:pPr>
      <w:r>
        <w:t xml:space="preserve">In retrieved-context models of externalized free recall, monitoring is implemented as a post-sampling match check: rejected candidates are withheld as target responses but still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present simulations keep the post-sampling timing but change the consequence of sampled non-film candidates.</w:t>
      </w:r>
      <w:r>
        <w:t xml:space="preserve"> </w:t>
      </w:r>
      <w:r>
        <w:t xml:space="preserve">Post-retrieval context monitoring reduces the context update after sampled task or filler candidates.</w:t>
      </w:r>
      <w:r>
        <w:t xml:space="preserve"> </w:t>
      </w:r>
      <w:r>
        <w:t xml:space="preserve">Let</w:t>
      </w:r>
      <w:r>
        <w:t xml:space="preserve"> </w:t>
      </w:r>
      <m:oMath>
        <m:sSub>
          <m:e>
            <m:r>
              <m:t>κ</m:t>
            </m:r>
          </m:e>
          <m:sub>
            <m:r>
              <m:t>i</m:t>
            </m:r>
          </m:sub>
        </m:sSub>
        <m:r>
          <m:rPr>
            <m:sty m:val="p"/>
          </m:rPr>
          <m:t>=</m:t>
        </m:r>
        <m:r>
          <m:t>1</m:t>
        </m:r>
      </m:oMath>
      <w:r>
        <w:t xml:space="preserve"> </w:t>
      </w:r>
      <w:r>
        <w:t xml:space="preserve">for film candidates and</w:t>
      </w:r>
      <w:r>
        <w:t xml:space="preserve"> </w:t>
      </w:r>
      <m:oMath>
        <m:sSub>
          <m:e>
            <m:r>
              <m:t>κ</m:t>
            </m:r>
          </m:e>
          <m:sub>
            <m:r>
              <m:t>i</m:t>
            </m:r>
          </m:sub>
        </m:sSub>
        <m:r>
          <m:rPr>
            <m:sty m:val="p"/>
          </m:rPr>
          <m:t>=</m:t>
        </m:r>
        <m:r>
          <m:t>κ</m:t>
        </m:r>
      </m:oMath>
      <w:r>
        <w:t xml:space="preserve"> </w:t>
      </w:r>
      <w:r>
        <w:t xml:space="preserve">for task and filler candidates.</w:t>
      </w:r>
      <w:r>
        <w:t xml:space="preserve"> </w:t>
      </w:r>
      <w:r>
        <w:t xml:space="preserve">With monitoring, the sampled-item update becomes:</w:t>
      </w:r>
    </w:p>
    <w:p>
      <w:pPr>
        <w:pStyle w:val="BodyText"/>
      </w:pPr>
      <w:bookmarkStart w:id="63" w:name="eq-monitoring-update"/>
      <m:oMathPara>
        <m:oMathParaPr>
          <m:jc m:val="center"/>
        </m:oMathParaPr>
        <m:oMath>
          <m:sSub>
            <m:e>
              <m:r>
                <m:t>c</m:t>
              </m:r>
            </m:e>
            <m:sub>
              <m:r>
                <m:t>j</m:t>
              </m:r>
              <m:r>
                <m:rPr>
                  <m:sty m:val="p"/>
                </m:rPr>
                <m:t>+</m:t>
              </m:r>
              <m:r>
                <m:t>1</m:t>
              </m:r>
            </m:sub>
          </m:sSub>
          <m:r>
            <m:rPr>
              <m:sty m:val="p"/>
            </m:rPr>
            <m:t>=</m:t>
          </m:r>
          <m:sSub>
            <m:e>
              <m:r>
                <m:t>ρ</m:t>
              </m:r>
            </m:e>
            <m:sub>
              <m:r>
                <m:t>j</m:t>
              </m:r>
            </m:sub>
          </m:sSub>
          <m:d>
            <m:dPr>
              <m:begChr m:val="("/>
              <m:sepChr m:val=""/>
              <m:endChr m:val=")"/>
              <m:grow/>
            </m:dPr>
            <m:e>
              <m:sSub>
                <m:e>
                  <m:r>
                    <m:t>κ</m:t>
                  </m:r>
                </m:e>
                <m:sub>
                  <m:r>
                    <m:t>i</m:t>
                  </m:r>
                </m:sub>
              </m:sSub>
              <m:sSub>
                <m:e>
                  <m:r>
                    <m:t>β</m:t>
                  </m:r>
                </m:e>
                <m:sub>
                  <m:r>
                    <m:rPr>
                      <m:sty m:val="p"/>
                    </m:rPr>
                    <m:t>r</m:t>
                  </m:r>
                  <m:r>
                    <m:rPr>
                      <m:sty m:val="p"/>
                    </m:rPr>
                    <m:t>e</m:t>
                  </m:r>
                  <m:r>
                    <m:rPr>
                      <m:sty m:val="p"/>
                    </m:rPr>
                    <m:t>c</m:t>
                  </m:r>
                </m:sub>
              </m:sSub>
            </m:e>
          </m:d>
          <m:sSub>
            <m:e>
              <m:r>
                <m:t>c</m:t>
              </m:r>
            </m:e>
            <m:sub>
              <m:r>
                <m:t>j</m:t>
              </m:r>
            </m:sub>
          </m:sSub>
          <m:r>
            <m:rPr>
              <m:sty m:val="p"/>
            </m:rPr>
            <m:t>+</m:t>
          </m:r>
          <m:sSub>
            <m:e>
              <m:r>
                <m:t>κ</m:t>
              </m:r>
            </m:e>
            <m:sub>
              <m:r>
                <m:t>i</m:t>
              </m:r>
            </m:sub>
          </m:sSub>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13</m:t>
              </m:r>
            </m:e>
          </m:d>
        </m:oMath>
      </m:oMathPara>
      <w:bookmarkEnd w:id="63"/>
    </w:p>
    <w:p>
      <w:pPr>
        <w:pStyle w:val="FirstParagraph"/>
      </w:pPr>
      <w:r>
        <w:t xml:space="preserve">When</w:t>
      </w:r>
      <w:r>
        <w:t xml:space="preserve"> </w:t>
      </w:r>
      <m:oMath>
        <m:r>
          <m:t>κ</m:t>
        </m:r>
        <m:r>
          <m:rPr>
            <m:sty m:val="p"/>
          </m:rPr>
          <m:t>&lt;</m:t>
        </m:r>
        <m:r>
          <m:t>1</m:t>
        </m:r>
      </m:oMath>
      <w:r>
        <w:t xml:space="preserve">, sampled non-film candidates still count as sampled outputs but context is updated less strongly toward their associated context.</w:t>
      </w:r>
      <w:r>
        <w:t xml:space="preserve"> </w:t>
      </w:r>
      <w:r>
        <w:t xml:space="preserve">This reduces carryover from sampled task or filler candidates without changing the candidate support that made them available.</w:t>
      </w:r>
      <w:r>
        <w:t xml:space="preserve"> </w:t>
      </w:r>
      <w:r>
        <w:t xml:space="preserve">Like start-of-film reinstatement, this operation does not by itself remove task support from film-associated context.</w:t>
      </w:r>
    </w:p>
    <w:p>
      <w:pPr>
        <w:pStyle w:val="BodyText"/>
      </w:pPr>
      <w:r>
        <w:t xml:space="preserve">The maintained film-retrieval goal is specified as a retrieval-stage film-category cue.</w:t>
      </w:r>
      <w:r>
        <w:t xml:space="preserve"> </w:t>
      </w:r>
      <w:r>
        <w:t xml:space="preserve">This term abstracts the kind of semantic or category support used in retrieved-context models of selective recall, rather than updating temporal or source context during retrieval</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The goal adds support to candidates marked as film items during sampling:</w:t>
      </w:r>
    </w:p>
    <w:p>
      <w:pPr>
        <w:pStyle w:val="BodyText"/>
      </w:pPr>
      <w:bookmarkStart w:id="64" w:name="eq-film-goal-support"/>
      <m:oMathPara>
        <m:oMathParaPr>
          <m:jc m:val="center"/>
        </m:oMathParaPr>
        <m:oMath>
          <m:sSubSup>
            <m:e>
              <m:r>
                <m:t>a</m:t>
              </m:r>
            </m:e>
            <m:sub>
              <m:r>
                <m:t>i</m:t>
              </m:r>
              <m:r>
                <m:rPr>
                  <m:sty m:val="p"/>
                </m:rPr>
                <m:t>,</m:t>
              </m:r>
              <m:r>
                <m:t>j</m:t>
              </m:r>
            </m:sub>
            <m:sup>
              <m:r>
                <m:rPr>
                  <m:sty m:val="p"/>
                </m:rPr>
                <m:t>g</m:t>
              </m:r>
              <m:r>
                <m:rPr>
                  <m:sty m:val="p"/>
                </m:rPr>
                <m:t>o</m:t>
              </m:r>
              <m:r>
                <m:rPr>
                  <m:sty m:val="p"/>
                </m:rPr>
                <m:t>a</m:t>
              </m:r>
              <m:r>
                <m:rPr>
                  <m:sty m:val="p"/>
                </m:rPr>
                <m:t>l</m:t>
              </m:r>
            </m:sup>
          </m:sSubSup>
          <m:r>
            <m:rPr>
              <m:sty m:val="p"/>
            </m:rPr>
            <m:t>=</m:t>
          </m:r>
          <m:sSub>
            <m:e>
              <m:r>
                <m:t>a</m:t>
              </m:r>
            </m:e>
            <m:sub>
              <m:r>
                <m:t>i</m:t>
              </m:r>
              <m:r>
                <m:rPr>
                  <m:sty m:val="p"/>
                </m:rPr>
                <m:t>,</m:t>
              </m:r>
              <m:r>
                <m:t>j</m:t>
              </m:r>
            </m:sub>
          </m:sSub>
          <m:r>
            <m:rPr>
              <m:sty m:val="p"/>
            </m:rPr>
            <m:t>+</m:t>
          </m:r>
          <m:sSub>
            <m:e>
              <m:r>
                <m:t>ω</m:t>
              </m:r>
            </m:e>
            <m:sub>
              <m:r>
                <m:rPr>
                  <m:sty m:val="p"/>
                </m:rPr>
                <m:t>g</m:t>
              </m:r>
              <m:r>
                <m:rPr>
                  <m:sty m:val="p"/>
                </m:rPr>
                <m:t>o</m:t>
              </m:r>
              <m:r>
                <m:rPr>
                  <m:sty m:val="p"/>
                </m:rPr>
                <m:t>a</m:t>
              </m:r>
              <m:r>
                <m:rPr>
                  <m:sty m:val="p"/>
                </m:rPr>
                <m:t>l</m:t>
              </m:r>
            </m:sub>
          </m:sSub>
          <m:sSub>
            <m:e>
              <m:r>
                <m:t>g</m:t>
              </m:r>
            </m:e>
            <m:sub>
              <m:r>
                <m:t>i</m:t>
              </m:r>
            </m:sub>
          </m:sSub>
          <m:r>
            <m:rPr>
              <m:sty m:val="p"/>
            </m:rPr>
            <m:t>.</m:t>
          </m:r>
          <m:r>
            <m:t>  </m:t>
          </m:r>
          <m:d>
            <m:dPr>
              <m:begChr m:val="("/>
              <m:sepChr m:val=""/>
              <m:endChr m:val=")"/>
              <m:grow/>
            </m:dPr>
            <m:e>
              <m:r>
                <m:t>14</m:t>
              </m:r>
            </m:e>
          </m:d>
        </m:oMath>
      </m:oMathPara>
      <w:bookmarkEnd w:id="64"/>
    </w:p>
    <w:p>
      <w:pPr>
        <w:pStyle w:val="FirstParagraph"/>
      </w:pPr>
      <w:r>
        <w:t xml:space="preserve">Here,</w:t>
      </w:r>
      <w:r>
        <w:t xml:space="preserve"> </w:t>
      </w:r>
      <m:oMath>
        <m:sSub>
          <m:e>
            <m:r>
              <m:t>g</m:t>
            </m:r>
          </m:e>
          <m:sub>
            <m:r>
              <m:t>i</m:t>
            </m:r>
          </m:sub>
        </m:sSub>
        <m:r>
          <m:rPr>
            <m:sty m:val="p"/>
          </m:rPr>
          <m:t>=</m:t>
        </m:r>
        <m:r>
          <m:t>1</m:t>
        </m:r>
      </m:oMath>
      <w:r>
        <w:t xml:space="preserve"> </w:t>
      </w:r>
      <w:r>
        <w:t xml:space="preserve">for film candidates and</w:t>
      </w:r>
      <w:r>
        <w:t xml:space="preserve"> </w:t>
      </w:r>
      <m:oMath>
        <m:sSub>
          <m:e>
            <m:r>
              <m:t>g</m:t>
            </m:r>
          </m:e>
          <m:sub>
            <m:r>
              <m:t>i</m:t>
            </m:r>
          </m:sub>
        </m:sSub>
        <m:r>
          <m:rPr>
            <m:sty m:val="p"/>
          </m:rPr>
          <m:t>=</m:t>
        </m:r>
        <m:r>
          <m:t>0</m:t>
        </m:r>
      </m:oMath>
      <w:r>
        <w:t xml:space="preserve"> </w:t>
      </w:r>
      <w:r>
        <w:t xml:space="preserve">for task and filler candidates.</w:t>
      </w:r>
      <w:r>
        <w:t xml:space="preserve"> </w:t>
      </w:r>
      <w:r>
        <w:t xml:space="preserve">The indicator</w:t>
      </w:r>
      <w:r>
        <w:t xml:space="preserve"> </w:t>
      </w:r>
      <m:oMath>
        <m:sSub>
          <m:e>
            <m:r>
              <m:t>g</m:t>
            </m:r>
          </m:e>
          <m:sub>
            <m:r>
              <m:t>i</m:t>
            </m:r>
          </m:sub>
        </m:sSub>
      </m:oMath>
      <w:r>
        <w:t xml:space="preserve"> </w:t>
      </w:r>
      <w:r>
        <w:t xml:space="preserve">is a retrieval-control cue, distinct from the source feature vector</w:t>
      </w:r>
      <w:r>
        <w:t xml:space="preserve"> </w:t>
      </w:r>
      <m:oMath>
        <m:sSub>
          <m:e>
            <m:r>
              <m:t>s</m:t>
            </m:r>
          </m:e>
          <m:sub>
            <m:r>
              <m:t>i</m:t>
            </m:r>
          </m:sub>
        </m:sSub>
      </m:oMath>
      <w:r>
        <w:t xml:space="preserve"> </w:t>
      </w:r>
      <w:r>
        <w:t xml:space="preserve">used during encoding.</w:t>
      </w:r>
      <w:r>
        <w:t xml:space="preserve"> </w:t>
      </w:r>
      <w:r>
        <w:t xml:space="preserve">Task items encoded in film-overlapping context can still compete through</w:t>
      </w:r>
      <w:r>
        <w:t xml:space="preserve"> </w:t>
      </w:r>
      <m:oMath>
        <m:sSub>
          <m:e>
            <m:r>
              <m:t>a</m:t>
            </m:r>
          </m:e>
          <m:sub>
            <m:r>
              <m:t>i</m:t>
            </m:r>
            <m:r>
              <m:rPr>
                <m:sty m:val="p"/>
              </m:rPr>
              <m:t>,</m:t>
            </m:r>
            <m:r>
              <m:t>j</m:t>
            </m:r>
          </m:sub>
        </m:sSub>
      </m:oMath>
      <w:r>
        <w:t xml:space="preserve">, but they do not receive the film-category increment.</w:t>
      </w:r>
      <w:r>
        <w:t xml:space="preserve"> </w:t>
      </w:r>
      <w:r>
        <w:t xml:space="preserve">Therefore, unlike start-of-film reinstatement and post-sampling monitoring, the maintained film-retrieval goal can reduce the impact of reminder-linked task encoding on film recall.</w:t>
      </w:r>
    </w:p>
    <w:p>
      <w:pPr>
        <w:pStyle w:val="BodyText"/>
      </w:pPr>
      <w:r>
        <w:t xml:space="preserve">The three evaluated control mechanisms therefore enter the same retrieval cycle at different points: start-state reinstatement before sampling, film-category support during sampling, and monitoring after sampling.</w:t>
      </w:r>
    </w:p>
    <w:bookmarkEnd w:id="65"/>
    <w:bookmarkStart w:id="67" w:name="supplied-item-recognition"/>
    <w:p>
      <w:pPr>
        <w:pStyle w:val="Heading2"/>
      </w:pPr>
      <w:r>
        <w:t xml:space="preserve">Supplied-Item Recognition</w:t>
      </w:r>
    </w:p>
    <w:p>
      <w:pPr>
        <w:pStyle w:val="FirstParagraph"/>
      </w:pPr>
      <w:r>
        <w:t xml:space="preserve">Recognition begins with a supplied candidate item rather than a sampled recall candidate.</w:t>
      </w:r>
      <w:r>
        <w:t xml:space="preserve"> </w:t>
      </w:r>
      <w:r>
        <w:t xml:space="preserve">A presented film item retrieves associated context through the same feature-to-context associations used by reminders, cues, and sampled items.</w:t>
      </w:r>
      <w:r>
        <w:t xml:space="preserve"> </w:t>
      </w:r>
      <w:r>
        <w:t xml:space="preserve">Following retrieved-context accounts of recognition, recognition evidence is the match between the context retrieved by the probe and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lohnas2015expanding">
        <w:r>
          <w:rPr>
            <w:rStyle w:val="Hyperlink"/>
          </w:rPr>
          <w:t xml:space="preserve">Lohnas et al., 2015</w:t>
        </w:r>
      </w:hyperlink>
      <w:r>
        <w:t xml:space="preserve">)</w:t>
      </w:r>
      <w:r>
        <w:t xml:space="preserve">:</w:t>
      </w:r>
    </w:p>
    <w:p>
      <w:pPr>
        <w:pStyle w:val="BodyText"/>
      </w:pPr>
      <w:bookmarkStart w:id="66" w:name="eq-recognition-evidence"/>
      <m:oMathPara>
        <m:oMathParaPr>
          <m:jc m:val="center"/>
        </m:oMathParaPr>
        <m:oMath>
          <m:sSub>
            <m:e>
              <m:r>
                <m:t>e</m:t>
              </m:r>
            </m:e>
            <m:sub>
              <m:r>
                <m:t>q</m:t>
              </m:r>
            </m:sub>
          </m:sSub>
          <m:r>
            <m:rPr>
              <m:sty m:val="p"/>
            </m:rPr>
            <m:t>=</m:t>
          </m:r>
          <m:sSup>
            <m:e>
              <m:d>
                <m:dPr>
                  <m:begChr m:val="("/>
                  <m:sepChr m:val=""/>
                  <m:endChr m:val=")"/>
                  <m:grow/>
                </m:dPr>
                <m:e>
                  <m:sSup>
                    <m:e>
                      <m:r>
                        <m:t>M</m:t>
                      </m:r>
                    </m:e>
                    <m:sup>
                      <m:r>
                        <m:t>F</m:t>
                      </m:r>
                      <m:r>
                        <m:t>C</m:t>
                      </m:r>
                    </m:sup>
                  </m:sSup>
                  <m:sSub>
                    <m:e>
                      <m:r>
                        <m:t>f</m:t>
                      </m:r>
                    </m:e>
                    <m:sub>
                      <m:r>
                        <m:t>q</m:t>
                      </m:r>
                    </m:sub>
                  </m:sSub>
                </m:e>
              </m:d>
            </m:e>
            <m:sup>
              <m:r>
                <m:rPr>
                  <m:sty m:val="p"/>
                </m:rPr>
                <m:t>⊤</m:t>
              </m:r>
            </m:sup>
          </m:sSup>
          <m:sSub>
            <m:e>
              <m:r>
                <m:t>c</m:t>
              </m:r>
            </m:e>
            <m:sub>
              <m:r>
                <m:rPr>
                  <m:sty m:val="p"/>
                </m:rPr>
                <m:t>t</m:t>
              </m:r>
              <m:r>
                <m:rPr>
                  <m:sty m:val="p"/>
                </m:rPr>
                <m:t>e</m:t>
              </m:r>
              <m:r>
                <m:rPr>
                  <m:sty m:val="p"/>
                </m:rPr>
                <m:t>s</m:t>
              </m:r>
              <m:r>
                <m:rPr>
                  <m:sty m:val="p"/>
                </m:rPr>
                <m:t>t</m:t>
              </m:r>
            </m:sub>
          </m:sSub>
          <m:r>
            <m:rPr>
              <m:sty m:val="p"/>
            </m:rPr>
            <m:t>.</m:t>
          </m:r>
          <m:r>
            <m:t>  </m:t>
          </m:r>
          <m:d>
            <m:dPr>
              <m:begChr m:val="("/>
              <m:sepChr m:val=""/>
              <m:endChr m:val=")"/>
              <m:grow/>
            </m:dPr>
            <m:e>
              <m:r>
                <m:t>15</m:t>
              </m:r>
            </m:e>
          </m:d>
        </m:oMath>
      </m:oMathPara>
      <w:bookmarkEnd w:id="66"/>
    </w:p>
    <w:p>
      <w:pPr>
        <w:pStyle w:val="FirstParagraph"/>
      </w:pPr>
      <w:r>
        <w:t xml:space="preserve">The simulations use this evidence as a supplied-item access step rather than a full recognition-decision model.</w:t>
      </w:r>
      <w:r>
        <w:t xml:space="preserve"> </w:t>
      </w:r>
      <w:r>
        <w:t xml:space="preserve">A recognition probe can update context after evidence is scored, but it is not treated as a recalled output.</w:t>
      </w:r>
      <w:r>
        <w:t xml:space="preserve"> </w:t>
      </w:r>
      <w:r>
        <w:t xml:space="preserve">It does not enter the recallable candidate set, make the probed item unavailable for later recall, or add new learning.</w:t>
      </w:r>
      <w:r>
        <w:t xml:space="preserve"> </w:t>
      </w:r>
      <w:r>
        <w:t xml:space="preserve">This implements the focal distinction between recognition and context-guided recall measures in the trauma-film paradigm: recall requires film material to be selected from context-supported candidates, whereas recognition starts with the candidate item and evaluates the context it retrieves.</w:t>
      </w:r>
    </w:p>
    <w:bookmarkEnd w:id="67"/>
    <w:bookmarkEnd w:id="68"/>
    <w:bookmarkStart w:id="110" w:name="simulations"/>
    <w:p>
      <w:pPr>
        <w:pStyle w:val="Heading1"/>
      </w:pPr>
      <w:r>
        <w:t xml:space="preserve">Simulations</w:t>
      </w:r>
    </w:p>
    <w:p>
      <w:pPr>
        <w:pStyle w:val="FirstParagraph"/>
      </w:pPr>
      <w:r>
        <w:t xml:space="preserve">The simulations instantiate the retrieved-context account by mapping the trauma-film paradigm onto sequences of film, delay, task, and filler events.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contrasting unguided retrieval with deliberate recall and examining control mechanisms that could protect film recall.</w:t>
      </w:r>
      <w:r>
        <w:t xml:space="preserve"> </w:t>
      </w:r>
      <w:r>
        <w:t xml:space="preserve">The recognition simulation then examines a boundary case in which the test supplies a candidate film item for judgment rather than requiring that item to be sampled from context.</w:t>
      </w:r>
      <w:r>
        <w:t xml:space="preserve"> </w:t>
      </w:r>
      <w:r>
        <w:t xml:space="preserve">Together, these simulations show how selective interference can arise from reminder-linked competitor encoding and retrieval conditions that differ in how they access or support film material.</w:t>
      </w:r>
    </w:p>
    <w:bookmarkStart w:id="70" w:name="methodology"/>
    <w:p>
      <w:pPr>
        <w:pStyle w:val="Heading2"/>
      </w:pPr>
      <w:r>
        <w:t xml:space="preserve">Methodology</w:t>
      </w:r>
    </w:p>
    <w:p>
      <w:pPr>
        <w:pStyle w:val="FirstParagraph"/>
      </w:pPr>
      <w:r>
        <w:t xml:space="preserve">The simulations require default values for context drift, associative learning, sampling, and stopping before the trauma-film manipulations are applied.</w:t>
      </w:r>
      <w:r>
        <w:t xml:space="preserve"> </w:t>
      </w:r>
      <w:r>
        <w:t xml:space="preserve">Estimating those values from selective-interference data would require the full modeled paradigm together with trial-by-trial recall sequences that identify which film, task, and non-film candidates entered retrieval.</w:t>
      </w:r>
      <w:r>
        <w:t xml:space="preserve"> </w:t>
      </w:r>
      <w:r>
        <w:t xml:space="preserve">Existing trauma-film studies define the target phenomenon, but they typically report intrusion counts or final memory scores rather than the sequence-level data needed to estimate retrieval competition.</w:t>
      </w:r>
      <w:r>
        <w:t xml:space="preserve"> </w:t>
      </w:r>
      <w:r>
        <w:t xml:space="preserve">We therefore use an immediate affective free-recall dataset to set the model’s core encoding, retrieval, and stopping parameters.</w:t>
      </w:r>
    </w:p>
    <w:p>
      <w:pPr>
        <w:pStyle w:val="BodyText"/>
      </w:pPr>
      <w:r>
        <w:t xml:space="preserve">In that dataset,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Parameters were estimated from the ordered recall sequences using the model likelihood, yielding a pooled parameter regime rather than separate fits to the selective-interference simulations.</w:t>
      </w:r>
      <w:r>
        <w:t xml:space="preserve"> </w:t>
      </w:r>
      <w:r>
        <w:t xml:space="preserve">The resulting parameter values provide a starting regime for context-guided recall of affective and neutral photographs.</w:t>
      </w:r>
    </w:p>
    <w:p>
      <w:pPr>
        <w:pStyle w:val="BodyText"/>
      </w:pPr>
      <w:r>
        <w:t xml:space="preserve">The selective-interference simulations then add the trauma-film phase structure, reminder manipulation, task-encoding manipulation, and retrieval-control settings.</w:t>
      </w:r>
      <w:r>
        <w:t xml:space="preserve"> </w:t>
      </w:r>
      <w:r>
        <w:t xml:space="preserve">Additional implementation settings adapt this regime to the trauma-film sequence.</w:t>
      </w:r>
      <w:r>
        <w:t xml:space="preserve"> </w:t>
      </w:r>
      <w:r>
        <w:t xml:space="preserve">Film items reinstate the marked source feature into source context, neutral/default events can weakly bind active source context, and retrieval begins with partial film-source reinstatement.</w:t>
      </w:r>
      <w:r>
        <w:t xml:space="preserve"> </w:t>
      </w:r>
      <w:r>
        <w:t xml:space="preserve">The primacy profile is also moderated relative to the immediate-recall fit so that the shorter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simulations.</w:t>
      </w:r>
    </w:p>
    <w:bookmarkStart w:id="69" w:name="tbl-simulation-parameters"/>
    <w:p>
      <w:pPr>
        <w:pStyle w:val="FigureTitle"/>
      </w:pPr>
      <w:r>
        <w:t xml:space="preserve">Table 2</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Drift toward item-cued context during encoding</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Drift toward the start context during start-of-film reinstatement</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Drift toward sampled-item context during recall</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w:t>
            </w:r>
          </w:p>
        </w:tc>
      </w:tr>
      <w:tr>
        <w:tc>
          <w:tcPr/>
          <w:p>
            <w:pPr>
              <w:pStyle w:val="Compact"/>
            </w:pPr>
            <m:oMath>
              <m:r>
                <m:t>δ</m:t>
              </m:r>
            </m:oMath>
          </w:p>
        </w:tc>
        <w:tc>
          <w:tcPr/>
          <w:p>
            <w:pPr>
              <w:pStyle w:val="Compact"/>
              <w:jc w:val="right"/>
            </w:pPr>
            <w:r>
              <w:t xml:space="preserve">0.00022</w:t>
            </w:r>
          </w:p>
        </w:tc>
        <w:tc>
          <w:tcPr/>
          <w:p>
            <w:pPr>
              <w:pStyle w:val="Compact"/>
            </w:pPr>
            <w:r>
              <w:t xml:space="preserve">Initial support from each item’s paired context unit</w:t>
            </w:r>
          </w:p>
        </w:tc>
      </w:tr>
      <w:tr>
        <w:tc>
          <w:tcPr/>
          <w:p>
            <w:pPr>
              <w:pStyle w:val="Compact"/>
            </w:pPr>
            <m:oMath>
              <m:r>
                <m:t>α</m:t>
              </m:r>
            </m:oMath>
          </w:p>
        </w:tc>
        <w:tc>
          <w:tcPr/>
          <w:p>
            <w:pPr>
              <w:pStyle w:val="Compact"/>
              <w:jc w:val="right"/>
            </w:pPr>
            <w:r>
              <w:t xml:space="preserve">0</w:t>
            </w:r>
          </w:p>
        </w:tc>
        <w:tc>
          <w:tcPr/>
          <w:p>
            <w:pPr>
              <w:pStyle w:val="Compact"/>
            </w:pPr>
            <w:r>
              <w:t xml:space="preserve">Initial background support from other item-associated context units</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Scale parameter for the primacy profile</w:t>
            </w:r>
            <w:r>
              <w:t xml:space="preserve"> </w:t>
            </w:r>
            <m:oMath>
              <m:sSub>
                <m:e>
                  <m:r>
                    <m:t>ϕ</m:t>
                  </m:r>
                </m:e>
                <m:sub>
                  <m:r>
                    <m:t>i</m:t>
                  </m:r>
                </m:sub>
              </m:sSub>
            </m:oMath>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Decay parameter for the primacy profile</w:t>
            </w:r>
            <w:r>
              <w:t xml:space="preserve"> </w:t>
            </w:r>
            <m:oMath>
              <m:sSub>
                <m:e>
                  <m:r>
                    <m:t>ϕ</m:t>
                  </m:r>
                </m:e>
                <m:sub>
                  <m:r>
                    <m:t>i</m:t>
                  </m:r>
                </m:sub>
              </m:sSub>
            </m:oMath>
          </w:p>
        </w:tc>
      </w:tr>
      <w:tr>
        <w:tc>
          <w:tcPr/>
          <w:p>
            <w:pPr>
              <w:pStyle w:val="Compact"/>
            </w:pPr>
            <m:oMath>
              <m:r>
                <m:t>τ</m:t>
              </m:r>
            </m:oMath>
          </w:p>
        </w:tc>
        <w:tc>
          <w:tcPr/>
          <w:p>
            <w:pPr>
              <w:pStyle w:val="Compact"/>
              <w:jc w:val="right"/>
            </w:pPr>
            <w:r>
              <w:t xml:space="preserve">3.562</w:t>
            </w:r>
          </w:p>
        </w:tc>
        <w:tc>
          <w:tcPr/>
          <w:p>
            <w:pPr>
              <w:pStyle w:val="Compact"/>
            </w:pPr>
            <w:r>
              <w:t xml:space="preserve">Luce-choice exponent for candidate sampling</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Drift toward the active source feature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Added source-context learning for film items</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 for all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Partial film-source reinstatement before recall</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Initial scale of the position-dependent stopping hazard</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Growth of the stopping hazard across sampled outputs</w:t>
            </w:r>
          </w:p>
        </w:tc>
      </w:tr>
    </w:tbl>
    <w:bookmarkEnd w:id="69"/>
    <w:p>
      <w:pPr>
        <w:pStyle w:val="AfterWithoutNote"/>
      </w:pPr>
      <w:r>
        <w:t xml:space="preserve">In all simulations, the model first encodes the paradigm events and then enters retrieval.</w:t>
      </w:r>
      <w:r>
        <w:t xml:space="preserve"> </w:t>
      </w:r>
      <w:r>
        <w:t xml:space="preserve">Film, break/buffer, task, and filler items are encoded by the CMR operations defined above.</w:t>
      </w:r>
      <w:r>
        <w:t xml:space="preserve"> </w:t>
      </w:r>
      <w:r>
        <w:t xml:space="preserve">Each simulated trial contains 16 film items, 16 break/buffer items, 16 task items, and 16 filler items unless otherwise noted.</w:t>
      </w:r>
      <w:r>
        <w:t xml:space="preserve"> </w:t>
      </w:r>
      <w:r>
        <w:t xml:space="preserve">Break/buffer items implement the delay before the reminder or task, and filler items implement the post-task delay.</w:t>
      </w:r>
      <w:r>
        <w:t xml:space="preserve"> </w:t>
      </w:r>
      <w:r>
        <w:t xml:space="preserve">Equal phase lengths make redistribution across film, task, and filler periods directly comparable.</w:t>
      </w:r>
    </w:p>
    <w:p>
      <w:pPr>
        <w:pStyle w:val="BodyText"/>
      </w:pPr>
      <w:r>
        <w:t xml:space="preserve">Reminder cues and test-phase film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add recallable items or new item-context learning.</w:t>
      </w:r>
      <w:r>
        <w:t xml:space="preserve"> </w:t>
      </w:r>
      <w:r>
        <w:t xml:space="preserve">Simulations that present candidate item information in a different test format specify that route separately.</w:t>
      </w:r>
      <w:r>
        <w:t xml:space="preserve"> </w:t>
      </w:r>
      <w:r>
        <w:t xml:space="preserve">In context-to-item recall simulations, all encoded film, break/buffer, task, and filler items can enter the retrieval competition.</w:t>
      </w:r>
      <w:r>
        <w:t xml:space="preserve"> </w:t>
      </w:r>
      <w:r>
        <w:t xml:space="preserve">Retrieval allows up to 48 sampling steps, and sampled items are removed from the candidate set so the same item is not sampled twice.</w:t>
      </w:r>
      <w:r>
        <w:t xml:space="preserve"> </w:t>
      </w:r>
      <w:r>
        <w:t xml:space="preserve">The simulated retrieval sequence records sampled candidates by type and encoded position, rather than only final film counts.</w:t>
      </w:r>
      <w:r>
        <w:t xml:space="preserve"> </w:t>
      </w:r>
      <w:r>
        <w:t xml:space="preserve">This convention makes it possible to examine predictions about how interference redistributes recall across the encoded stream, rather than only reporting final recall counts.</w:t>
      </w:r>
    </w:p>
    <w:p>
      <w:pPr>
        <w:pStyle w:val="BodyText"/>
      </w:pPr>
      <w:r>
        <w:t xml:space="preserve">Parameter sweeps rerun the full encode-then-retrieve simulation across planned values of a manipulated parameter.</w:t>
      </w:r>
      <w:r>
        <w:t xml:space="preserve"> </w:t>
      </w:r>
      <w:r>
        <w:t xml:space="preserve">For each condition and manipulated parameter value, the model first completes the phase sequence, then enters retrieval and samples recallable items using</w:t>
      </w:r>
      <w:r>
        <w:t xml:space="preserve"> </w:t>
      </w:r>
      <w:hyperlink w:anchor="eq-luce-choice">
        <w:r>
          <w:rPr>
            <w:rStyle w:val="Hyperlink"/>
          </w:rPr>
          <w:t xml:space="preserve">Equation 10</w:t>
        </w:r>
      </w:hyperlink>
      <w:r>
        <w:t xml:space="preserve"> </w:t>
      </w:r>
      <w:r>
        <w:t xml:space="preserve">and</w:t>
      </w:r>
      <w:r>
        <w:t xml:space="preserve"> </w:t>
      </w:r>
      <w:hyperlink w:anchor="eq-stopping">
        <w:r>
          <w:rPr>
            <w:rStyle w:val="Hyperlink"/>
          </w:rPr>
          <w:t xml:space="preserve">Equation 11</w:t>
        </w:r>
      </w:hyperlink>
      <w:r>
        <w:t xml:space="preserve">.</w:t>
      </w:r>
      <w:r>
        <w:t xml:space="preserve"> </w:t>
      </w:r>
      <w:r>
        <w:t xml:space="preserve">This procedure is repeated across simulated trials within each cell.</w:t>
      </w:r>
      <w:r>
        <w:t xml:space="preserve"> </w:t>
      </w:r>
      <w:r>
        <w:t xml:space="preserve">When figures plot recall across the encoded stream, they summarize retrieval after the full phase sequence has been encoded.</w:t>
      </w:r>
      <w:r>
        <w:t xml:space="preserve"> </w:t>
      </w:r>
      <w:r>
        <w:t xml:space="preserve">Serial-position curves plot the proportion of trials in which each encoding position was retrieved, and phase summaries average those proportions within each phase.</w:t>
      </w:r>
      <w:r>
        <w:t xml:space="preserve"> </w:t>
      </w:r>
      <w:r>
        <w:t xml:space="preserve">Thus, position and phase labels identify encoding positions, whereas recall probabilities refer to subsequent retrieval.</w:t>
      </w:r>
    </w:p>
    <w:bookmarkEnd w:id="70"/>
    <w:bookmarkStart w:id="83" w:name="X2c2b19ca61f0d8679fb357e3aa386e7efdd5f9f"/>
    <w:p>
      <w:pPr>
        <w:pStyle w:val="Heading2"/>
      </w:pPr>
      <w:r>
        <w:t xml:space="preserve">Simulation 1: Task Encoding and Contextual Overlap</w:t>
      </w:r>
    </w:p>
    <w:p>
      <w:pPr>
        <w:pStyle w:val="FirstParagraph"/>
      </w:pPr>
      <w:r>
        <w:t xml:space="preserve">Simulation 1 tests whether reminder-linked task encoding can create competitors for unguided film recall.</w:t>
      </w:r>
      <w:r>
        <w:t xml:space="preserve"> </w:t>
      </w:r>
      <w:r>
        <w:t xml:space="preserve">Retrieval settings are held fixed, so differences across conditions reflect associations formed before retrieval rather than deliberate control.</w:t>
      </w:r>
      <w:r>
        <w:t xml:space="preserve"> </w:t>
      </w:r>
      <w:r>
        <w:t xml:space="preserve">The design crosses pre-task reminder presence with task encoding strength while weak film cues are supplied periodically during recall in all conditions.</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5</w:t>
        </w:r>
      </w:hyperlink>
      <w:r>
        <w:t xml:space="preserve"> </w:t>
      </w:r>
      <w:r>
        <w:t xml:space="preserve">or</w:t>
      </w:r>
      <w:r>
        <w:t xml:space="preserve"> </w:t>
      </w:r>
      <w:hyperlink w:anchor="eq-mcf-learning">
        <w:r>
          <w:rPr>
            <w:rStyle w:val="Hyperlink"/>
          </w:rPr>
          <w:t xml:space="preserve">Equation 6</w:t>
        </w:r>
      </w:hyperlink>
      <w:r>
        <w:t xml:space="preserve"> </w:t>
      </w:r>
      <w:r>
        <w:t xml:space="preserve">and without adding recallable items.</w:t>
      </w:r>
      <w:r>
        <w:t xml:space="preserve"> </w:t>
      </w:r>
      <w:r>
        <w:t xml:space="preserve">Task encoding strength is modeled as a multiplier on task-phase context-to-feature learning in</w:t>
      </w:r>
      <w:r>
        <w:t xml:space="preserve"> </w:t>
      </w:r>
      <w:hyperlink w:anchor="eq-mcf-learning">
        <w:r>
          <w:rPr>
            <w:rStyle w:val="Hyperlink"/>
          </w:rPr>
          <w:t xml:space="preserve">Equation 6</w:t>
        </w:r>
      </w:hyperlink>
      <w:r>
        <w:t xml:space="preserve">.</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hyperlink w:anchor="fig-simulation1-unguided-sequence">
        <w:r>
          <w:rPr>
            <w:rStyle w:val="Hyperlink"/>
          </w:rPr>
          <w:t xml:space="preserve">Figure 5</w:t>
        </w:r>
      </w:hyperlink>
      <w:r>
        <w:t xml:space="preserve"> </w:t>
      </w:r>
      <w:r>
        <w:t xml:space="preserve">shows the aggregate result.</w:t>
      </w:r>
      <w:r>
        <w:t xml:space="preserve"> </w:t>
      </w:r>
      <w:r>
        <w:t xml:space="preserve">Film recall is lowest when strong task encoding follows a film reminder, and task output increases in the same condition.</w:t>
      </w:r>
      <w:r>
        <w:t xml:space="preserve"> </w:t>
      </w:r>
      <w:r>
        <w:t xml:space="preserve">The film loss therefore reflects redistribution toward task competitors under fixed retrieval settings.</w:t>
      </w:r>
      <w:r>
        <w:t xml:space="preserve"> </w:t>
      </w:r>
      <w:hyperlink w:anchor="fig-simulation1-recall-distributions">
        <w:r>
          <w:rPr>
            <w:rStyle w:val="Hyperlink"/>
          </w:rPr>
          <w:t xml:space="preserve">Figure 6</w:t>
        </w:r>
      </w:hyperlink>
      <w:r>
        <w:t xml:space="preserve"> </w:t>
      </w:r>
      <w:r>
        <w:t xml:space="preserve">shows that the redistribution is position-resolved.</w:t>
      </w:r>
      <w:r>
        <w:t xml:space="preserve"> </w:t>
      </w:r>
      <w:r>
        <w:t xml:space="preserve">Without a pre-task film reminder, increasing the task encoding multiplier produces only modest film loss and task gain,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78"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6" name="Picture"/>
            <a:graphic>
              <a:graphicData uri="http://schemas.openxmlformats.org/drawingml/2006/picture">
                <pic:pic>
                  <pic:nvPicPr>
                    <pic:cNvPr descr="work/simulation1_unguided_cued/simulation1_unguided_cued_recall_distributions.png" id="77" name="Picture"/>
                    <pic:cNvPicPr>
                      <a:picLocks noChangeArrowheads="1" noChangeAspect="1"/>
                    </pic:cNvPicPr>
                  </pic:nvPicPr>
                  <pic:blipFill>
                    <a:blip r:embed="rId75"/>
                    <a:stretch>
                      <a:fillRect/>
                    </a:stretch>
                  </pic:blipFill>
                  <pic:spPr bwMode="auto">
                    <a:xfrm>
                      <a:off x="0" y="0"/>
                      <a:ext cx="5943600" cy="5583695"/>
                    </a:xfrm>
                    <a:prstGeom prst="rect">
                      <a:avLst/>
                    </a:prstGeom>
                    <a:noFill/>
                    <a:ln w="9525">
                      <a:noFill/>
                      <a:headEnd/>
                      <a:tailEnd/>
                    </a:ln>
                  </pic:spPr>
                </pic:pic>
              </a:graphicData>
            </a:graphic>
          </wp:inline>
        </w:drawing>
      </w:r>
    </w:p>
    <w:bookmarkEnd w:id="78"/>
    <w:p>
      <w:pPr>
        <w:pStyle w:val="AfterWithoutNote"/>
      </w:pPr>
      <w:r>
        <w:t xml:space="preserve"> </w:t>
      </w:r>
    </w:p>
    <w:bookmarkStart w:id="82"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0" name="Picture"/>
            <a:graphic>
              <a:graphicData uri="http://schemas.openxmlformats.org/drawingml/2006/picture">
                <pic:pic>
                  <pic:nvPicPr>
                    <pic:cNvPr descr="work/simulation1_unguided_cued/simulation1_unguided_cued_context_overlap.png" id="81" name="Picture"/>
                    <pic:cNvPicPr>
                      <a:picLocks noChangeArrowheads="1" noChangeAspect="1"/>
                    </pic:cNvPicPr>
                  </pic:nvPicPr>
                  <pic:blipFill>
                    <a:blip r:embed="rId79"/>
                    <a:stretch>
                      <a:fillRect/>
                    </a:stretch>
                  </pic:blipFill>
                  <pic:spPr bwMode="auto">
                    <a:xfrm>
                      <a:off x="0" y="0"/>
                      <a:ext cx="5943600" cy="5653668"/>
                    </a:xfrm>
                    <a:prstGeom prst="rect">
                      <a:avLst/>
                    </a:prstGeom>
                    <a:noFill/>
                    <a:ln w="9525">
                      <a:noFill/>
                      <a:headEnd/>
                      <a:tailEnd/>
                    </a:ln>
                  </pic:spPr>
                </pic:pic>
              </a:graphicData>
            </a:graphic>
          </wp:inline>
        </w:drawing>
      </w:r>
    </w:p>
    <w:bookmarkEnd w:id="82"/>
    <w:p>
      <w:pPr>
        <w:pStyle w:val="AfterWithoutNote"/>
      </w:pPr>
      <w:hyperlink w:anchor="fig-simulation1-context-overlap">
        <w:r>
          <w:rPr>
            <w:rStyle w:val="Hyperlink"/>
          </w:rPr>
          <w:t xml:space="preserve">Figure 7</w:t>
        </w:r>
      </w:hyperlink>
      <w:r>
        <w:t xml:space="preserve"> </w:t>
      </w:r>
      <w:r>
        <w:t xml:space="preserve">helps interpret why the no-reminder and with-reminder curves diverge.</w:t>
      </w:r>
      <w:r>
        <w:t xml:space="preserve"> </w:t>
      </w:r>
      <w:r>
        <w:t xml:space="preserve">Sequential film reminders do not create one generic film context.</w:t>
      </w:r>
      <w:r>
        <w:t xml:space="preserve"> </w:t>
      </w:r>
      <w:r>
        <w:t xml:space="preserve">They move context through film-associated states before task encoding, increasing overlap between task-encoding contexts and particular positions along the film trajectory.</w:t>
      </w:r>
      <w:r>
        <w:t xml:space="preserve"> </w:t>
      </w:r>
      <w:r>
        <w:t xml:space="preserve">Task encoding strength then determines how strongly task items are learned in those overlapping states, while film encoding settings remain unchanged.</w:t>
      </w:r>
      <w:r>
        <w:t xml:space="preserve"> </w:t>
      </w:r>
      <w:r>
        <w:t xml:space="preserve">Task items remain distinct from film items, and film-item associations are not weakened.</w:t>
      </w:r>
      <w:r>
        <w:t xml:space="preserve"> </w:t>
      </w:r>
      <w:r>
        <w:t xml:space="preserve">The loss of film recall occurs because task items become more likely to be sampled from context states that also support film material.</w:t>
      </w:r>
      <w:r>
        <w:t xml:space="preserve"> </w:t>
      </w:r>
      <w:r>
        <w:t xml:space="preserve">Simulation 1 therefore establishes a retrieved-context account of how reminder-linked task encoding can create competitors for unguided film recall.</w:t>
      </w:r>
      <w:r>
        <w:t xml:space="preserve"> </w:t>
      </w:r>
      <w:r>
        <w:t xml:space="preserve">Simulation 2 examines whether deliberate retrieval control reduces the effect of those learned competitors.</w:t>
      </w:r>
    </w:p>
    <w:bookmarkEnd w:id="83"/>
    <w:bookmarkStart w:id="104" w:name="X01bab10be8432eead1f631bed9fce6a815fd83d"/>
    <w:p>
      <w:pPr>
        <w:pStyle w:val="Heading2"/>
      </w:pPr>
      <w:r>
        <w:t xml:space="preserve">Simulation 2: Control Mechanisms for Deliberate Recall</w:t>
      </w:r>
    </w:p>
    <w:p>
      <w:pPr>
        <w:pStyle w:val="FirstParagraph"/>
      </w:pPr>
      <w:r>
        <w:t xml:space="preserve">Simulation 2 examines the conditions under which deliberate film recall is protected from reminder-linked task competition.</w:t>
      </w:r>
      <w:r>
        <w:t xml:space="preserve"> </w:t>
      </w:r>
      <w:r>
        <w:t xml:space="preserve">The simulation keeps the same reminder-by-task-encoding design and periodic film cues, but varies retrieval mode and decomposes the control operations available during deliberate recall.</w:t>
      </w:r>
      <w:r>
        <w:t xml:space="preserve"> </w:t>
      </w:r>
      <w:r>
        <w:t xml:space="preserve">Deliberate recall combines three control operations: start-of-film context reinstatement before sampling, a maintained film-retrieval goal during sampling, and post-retrieval context monitoring after sampled non-film items.</w:t>
      </w:r>
      <w:r>
        <w:t xml:space="preserve"> </w:t>
      </w:r>
      <w:r>
        <w:t xml:space="preserve">The main readout is the film-recall loss produced by strong task encoding after a film reminder, not only total film recall.</w:t>
      </w:r>
    </w:p>
    <w:bookmarkStart w:id="87"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post-retrieval context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5" name="Picture"/>
            <a:graphic>
              <a:graphicData uri="http://schemas.openxmlformats.org/drawingml/2006/picture">
                <pic:pic>
                  <pic:nvPicPr>
                    <pic:cNvPr descr="work/simulation2_control_cued_behavioral/simulation2_control_cued_behavioral.png" id="86" name="Picture"/>
                    <pic:cNvPicPr>
                      <a:picLocks noChangeArrowheads="1" noChangeAspect="1"/>
                    </pic:cNvPicPr>
                  </pic:nvPicPr>
                  <pic:blipFill>
                    <a:blip r:embed="rId84"/>
                    <a:stretch>
                      <a:fillRect/>
                    </a:stretch>
                  </pic:blipFill>
                  <pic:spPr bwMode="auto">
                    <a:xfrm>
                      <a:off x="0" y="0"/>
                      <a:ext cx="5943600" cy="3596194"/>
                    </a:xfrm>
                    <a:prstGeom prst="rect">
                      <a:avLst/>
                    </a:prstGeom>
                    <a:noFill/>
                    <a:ln w="9525">
                      <a:noFill/>
                      <a:headEnd/>
                      <a:tailEnd/>
                    </a:ln>
                  </pic:spPr>
                </pic:pic>
              </a:graphicData>
            </a:graphic>
          </wp:inline>
        </w:drawing>
      </w:r>
    </w:p>
    <w:bookmarkEnd w:id="87"/>
    <w:p>
      <w:pPr>
        <w:pStyle w:val="AfterWithoutNote"/>
      </w:pPr>
      <w:hyperlink w:anchor="fig-simulation2-control-cued-behavioral">
        <w:r>
          <w:rPr>
            <w:rStyle w:val="Hyperlink"/>
          </w:rPr>
          <w:t xml:space="preserve">Figure 8</w:t>
        </w:r>
      </w:hyperlink>
      <w:r>
        <w:t xml:space="preserve"> </w:t>
      </w:r>
      <w:r>
        <w:t xml:space="preserve">demonstrate the model’s simulation of the selective interference effect.</w:t>
      </w:r>
      <w:r>
        <w:t xml:space="preserve"> </w:t>
      </w:r>
      <w:r>
        <w:t xml:space="preserve">In unguided recall, strong task encoding produces a small film-recall loss without a pre-task reminder and a much larger loss after a film reminder.</w:t>
      </w:r>
      <w:r>
        <w:t xml:space="preserve"> </w:t>
      </w:r>
      <w:r>
        <w:t xml:space="preserve">In deliberate film recall, the same reminder-linked manipulation produces a smaller reduction.</w:t>
      </w:r>
      <w:r>
        <w:t xml:space="preserve"> </w:t>
      </w:r>
      <w:r>
        <w:t xml:space="preserve">Mean film recall in the with-reminder condition drops from 2.790 to 0.793 items under unguided recall, but from 7.572 to 6.995 items under deliberate film recall.</w:t>
      </w:r>
      <w:r>
        <w:t xml:space="preserve"> </w:t>
      </w:r>
      <w:r>
        <w:t xml:space="preserve">The full deliberate-control setting therefore reproduces the selective-interference pattern under the same learned task competitors.</w:t>
      </w:r>
    </w:p>
    <w:bookmarkStart w:id="91"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89" name="Picture"/>
            <a:graphic>
              <a:graphicData uri="http://schemas.openxmlformats.org/drawingml/2006/picture">
                <pic:pic>
                  <pic:nvPicPr>
                    <pic:cNvPr descr="work/simulation2_retrieval_control_decomposition/simulation2_retrieval_control_decomposition.png" id="90" name="Picture"/>
                    <pic:cNvPicPr>
                      <a:picLocks noChangeArrowheads="1" noChangeAspect="1"/>
                    </pic:cNvPicPr>
                  </pic:nvPicPr>
                  <pic:blipFill>
                    <a:blip r:embed="rId88"/>
                    <a:stretch>
                      <a:fillRect/>
                    </a:stretch>
                  </pic:blipFill>
                  <pic:spPr bwMode="auto">
                    <a:xfrm>
                      <a:off x="0" y="0"/>
                      <a:ext cx="5943600" cy="2657138"/>
                    </a:xfrm>
                    <a:prstGeom prst="rect">
                      <a:avLst/>
                    </a:prstGeom>
                    <a:noFill/>
                    <a:ln w="9525">
                      <a:noFill/>
                      <a:headEnd/>
                      <a:tailEnd/>
                    </a:ln>
                  </pic:spPr>
                </pic:pic>
              </a:graphicData>
            </a:graphic>
          </wp:inline>
        </w:drawing>
      </w:r>
    </w:p>
    <w:bookmarkEnd w:id="91"/>
    <w:p>
      <w:pPr>
        <w:pStyle w:val="AfterWithoutNote"/>
      </w:pPr>
      <w:hyperlink w:anchor="X3f1d862adb125e692948a0e1917736f72c3ad35">
        <w:r>
          <w:rPr>
            <w:rStyle w:val="Hyperlink"/>
          </w:rPr>
          <w:t xml:space="preserve">Figure 9</w:t>
        </w:r>
      </w:hyperlink>
      <w:r>
        <w:t xml:space="preserve"> </w:t>
      </w:r>
      <w:r>
        <w:t xml:space="preserve">separates that aggregate protection into component operations.</w:t>
      </w:r>
      <w:r>
        <w:t xml:space="preserve"> </w:t>
      </w:r>
      <w:r>
        <w:t xml:space="preserve">Endpoint loss remains large when the film-retrieval goal is absent.</w:t>
      </w:r>
      <w:r>
        <w:t xml:space="preserve"> </w:t>
      </w:r>
      <w:r>
        <w:t xml:space="preserve">Start-of-film reinstatement and post-retrieval context monitoring can raise film recall, but they do not make recall insensitive to the high-interference endpoint.</w:t>
      </w:r>
      <w:r>
        <w:t xml:space="preserve"> </w:t>
      </w:r>
      <w:r>
        <w:t xml:space="preserve">When the film-retrieval goal is present, endpoint losses remain below one film item across the tested control packages; with all three controls present, film recall drops by about half an item.</w:t>
      </w:r>
      <w:r>
        <w:t xml:space="preserve"> </w:t>
      </w:r>
      <w:r>
        <w:t xml:space="preserve">The decomposition distinguishes controls that increase film recall overall from controls that protect film recall from reminder-linked task competition.</w:t>
      </w:r>
    </w:p>
    <w:bookmarkStart w:id="95"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 maintained film-category cue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schematically adds the maintained film-category cue to the film-directed retrieval cue.</w:t>
      </w:r>
      <w:r>
        <w:t xml:space="preserve"> </w:t>
      </w:r>
      <w:r>
        <w:t xml:space="preserve">Brighter cells indicate greater overlap with task-encoding context.</w:t>
      </w:r>
      <w:r>
        <w:t xml:space="preserve"> </w:t>
      </w:r>
      <w:r>
        <w:t xml:space="preserve">Adding the maintained film-category cue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3" name="Picture"/>
            <a:graphic>
              <a:graphicData uri="http://schemas.openxmlformats.org/drawingml/2006/picture">
                <pic:pic>
                  <pic:nvPicPr>
                    <pic:cNvPr descr="work/simulation2_film_retrieval_goal_context_overlap/simulation2_film_retrieval_goal_context_overlap.png" id="94" name="Picture"/>
                    <pic:cNvPicPr>
                      <a:picLocks noChangeArrowheads="1" noChangeAspect="1"/>
                    </pic:cNvPicPr>
                  </pic:nvPicPr>
                  <pic:blipFill>
                    <a:blip r:embed="rId92"/>
                    <a:stretch>
                      <a:fillRect/>
                    </a:stretch>
                  </pic:blipFill>
                  <pic:spPr bwMode="auto">
                    <a:xfrm>
                      <a:off x="0" y="0"/>
                      <a:ext cx="5943600" cy="5653668"/>
                    </a:xfrm>
                    <a:prstGeom prst="rect">
                      <a:avLst/>
                    </a:prstGeom>
                    <a:noFill/>
                    <a:ln w="9525">
                      <a:noFill/>
                      <a:headEnd/>
                      <a:tailEnd/>
                    </a:ln>
                  </pic:spPr>
                </pic:pic>
              </a:graphicData>
            </a:graphic>
          </wp:inline>
        </w:drawing>
      </w:r>
    </w:p>
    <w:bookmarkEnd w:id="95"/>
    <w:p>
      <w:pPr>
        <w:pStyle w:val="AfterWithoutNote"/>
      </w:pPr>
      <w:hyperlink w:anchor="X3f1d862adb125e692948a0e1917736f72c3ad35">
        <w:r>
          <w:rPr>
            <w:rStyle w:val="Hyperlink"/>
          </w:rPr>
          <w:t xml:space="preserve">Figure 9</w:t>
        </w:r>
      </w:hyperlink>
      <w:r>
        <w:t xml:space="preserve"> </w:t>
      </w:r>
      <w:r>
        <w:t xml:space="preserve">separates that aggregate protection into component operations.</w:t>
      </w:r>
      <w:r>
        <w:t xml:space="preserve"> </w:t>
      </w:r>
      <w:r>
        <w:t xml:space="preserve">The figure compares film recall in a low-interference setting, with no reminder and weak task encoding, against film recall in the high-interference setting, where a film reminder precedes strong task encoding.</w:t>
      </w:r>
      <w:r>
        <w:t xml:space="preserve"> </w:t>
      </w:r>
      <w:r>
        <w:t xml:space="preserve">When the film-retrieval goal is absent, film recall remains much lower in the high-interference setting.</w:t>
      </w:r>
      <w:r>
        <w:t xml:space="preserve"> </w:t>
      </w:r>
      <w:r>
        <w:t xml:space="preserve">Start-of-film reinstatement and post-retrieval context monitoring can raise film recall, but they do not eliminate the loss produced by reminder-linked strong task encoding.</w:t>
      </w:r>
      <w:r>
        <w:t xml:space="preserve"> </w:t>
      </w:r>
      <w:r>
        <w:t xml:space="preserve">When the film-retrieval goal is present, the loss remains below one film item across the tested control packages; with all three controls present, film recall drops by about half an item.</w:t>
      </w:r>
      <w:r>
        <w:t xml:space="preserve"> </w:t>
      </w:r>
      <w:r>
        <w:t xml:space="preserve">The decomposition distinguishes controls that increase film recall overall from controls that protect film recall from reminder-linked task competition.</w:t>
      </w:r>
    </w:p>
    <w:bookmarkStart w:id="99"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7" name="Picture"/>
            <a:graphic>
              <a:graphicData uri="http://schemas.openxmlformats.org/drawingml/2006/picture">
                <pic:pic>
                  <pic:nvPicPr>
                    <pic:cNvPr descr="work/simulation2_start_context_reinstatement/simulation2_start_context_reinstatement.png" id="98" name="Picture"/>
                    <pic:cNvPicPr>
                      <a:picLocks noChangeArrowheads="1" noChangeAspect="1"/>
                    </pic:cNvPicPr>
                  </pic:nvPicPr>
                  <pic:blipFill>
                    <a:blip r:embed="rId96"/>
                    <a:stretch>
                      <a:fillRect/>
                    </a:stretch>
                  </pic:blipFill>
                  <pic:spPr bwMode="auto">
                    <a:xfrm>
                      <a:off x="0" y="0"/>
                      <a:ext cx="5943600" cy="5612321"/>
                    </a:xfrm>
                    <a:prstGeom prst="rect">
                      <a:avLst/>
                    </a:prstGeom>
                    <a:noFill/>
                    <a:ln w="9525">
                      <a:noFill/>
                      <a:headEnd/>
                      <a:tailEnd/>
                    </a:ln>
                  </pic:spPr>
                </pic:pic>
              </a:graphicData>
            </a:graphic>
          </wp:inline>
        </w:drawing>
      </w:r>
    </w:p>
    <w:bookmarkEnd w:id="99"/>
    <w:p>
      <w:pPr>
        <w:pStyle w:val="AfterWithoutNote"/>
      </w:pPr>
      <w:hyperlink w:anchor="Xe96feb7454d6b23e449dfafb9c326dcfa9c3226">
        <w:r>
          <w:rPr>
            <w:rStyle w:val="Hyperlink"/>
          </w:rPr>
          <w:t xml:space="preserve">Figure 11</w:t>
        </w:r>
      </w:hyperlink>
      <w:r>
        <w:t xml:space="preserve"> </w:t>
      </w:r>
      <w:r>
        <w:t xml:space="preserve">holds the high-interference condition fixed and isolates start-of-film context reinstatement.</w:t>
      </w:r>
      <w:r>
        <w:t xml:space="preserve"> </w:t>
      </w:r>
      <w:r>
        <w:t xml:space="preserve">Reinstatement increases access to early film positions and shifts the first sampled item toward the beginning of the film sequence.</w:t>
      </w:r>
      <w:r>
        <w:t xml:space="preserve"> </w:t>
      </w:r>
      <w:r>
        <w:t xml:space="preserve">Those gains persist in the full recall curve, but later film positions remain vulnerable because the start state does not remove task support from film-overlapping context.</w:t>
      </w:r>
      <w:r>
        <w:t xml:space="preserve"> </w:t>
      </w:r>
      <w:r>
        <w:t xml:space="preserve">Start-of-film context reinstatement can increase film recall, but its protection depends on which part of the film trajectory is reinstated.</w:t>
      </w:r>
    </w:p>
    <w:p>
      <w:pPr>
        <w:pStyle w:val="BodyText"/>
      </w:pPr>
      <w:r>
        <w:t xml:space="preserve">Retrieval monitoring acts after a non-film item has already been sampled.</w:t>
      </w:r>
      <w:r>
        <w:t xml:space="preserve"> </w:t>
      </w:r>
      <w:r>
        <w:t xml:space="preserve">By dampening that item’s context update, monitoring limits how much the sample redirects subsequent retrieval.</w:t>
      </w:r>
      <w:r>
        <w:t xml:space="preserve"> </w:t>
      </w:r>
      <w:hyperlink w:anchor="Xa9c4b5e1618786b5f440768b73dd7732a592b1f">
        <w:r>
          <w:rPr>
            <w:rStyle w:val="Hyperlink"/>
          </w:rPr>
          <w:t xml:space="preserve">Figure 12</w:t>
        </w:r>
      </w:hyperlink>
      <w:r>
        <w:t xml:space="preserve"> </w:t>
      </w:r>
      <w:r>
        <w:t xml:space="preserve">shows that monitoring increases the probability that a sampled non-film item is followed by a film output.</w:t>
      </w:r>
      <w:r>
        <w:t xml:space="preserve"> </w:t>
      </w:r>
      <w:r>
        <w:t xml:space="preserve">Monitoring therefore helps recall recover after task or filler material has entered the output sequence.</w:t>
      </w:r>
      <w:r>
        <w:t xml:space="preserve"> </w:t>
      </w:r>
      <w:r>
        <w:t xml:space="preserve">It does not supply film-directed support before sampling occurs, so it is not the broadest route to protection from reminder-linked task competition.</w:t>
      </w:r>
      <w:r>
        <w:t xml:space="preserve"> </w:t>
      </w:r>
      <w:r>
        <w:t xml:space="preserve">Simulation 2 therefore constrains the account: deliberate recall is not spared by a generic voluntary-memory setting.</w:t>
      </w:r>
      <w:r>
        <w:t xml:space="preserve"> </w:t>
      </w:r>
      <w:r>
        <w:t xml:space="preserve">It is less affected when control supplies film-directed support that task competitors do not share, whereas controls that only change retrieval initiation or post-sampling carryover remain more vulnerable.</w:t>
      </w:r>
    </w:p>
    <w:bookmarkStart w:id="103"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1" name="Picture"/>
            <a:graphic>
              <a:graphicData uri="http://schemas.openxmlformats.org/drawingml/2006/picture">
                <pic:pic>
                  <pic:nvPicPr>
                    <pic:cNvPr descr="work/simulation2_target_monitoring_diagnostic/simulation2_target_monitoring_diagnostic.png" id="102" name="Picture"/>
                    <pic:cNvPicPr>
                      <a:picLocks noChangeArrowheads="1" noChangeAspect="1"/>
                    </pic:cNvPicPr>
                  </pic:nvPicPr>
                  <pic:blipFill>
                    <a:blip r:embed="rId100"/>
                    <a:stretch>
                      <a:fillRect/>
                    </a:stretch>
                  </pic:blipFill>
                  <pic:spPr bwMode="auto">
                    <a:xfrm>
                      <a:off x="0" y="0"/>
                      <a:ext cx="5943600" cy="5638967"/>
                    </a:xfrm>
                    <a:prstGeom prst="rect">
                      <a:avLst/>
                    </a:prstGeom>
                    <a:noFill/>
                    <a:ln w="9525">
                      <a:noFill/>
                      <a:headEnd/>
                      <a:tailEnd/>
                    </a:ln>
                  </pic:spPr>
                </pic:pic>
              </a:graphicData>
            </a:graphic>
          </wp:inline>
        </w:drawing>
      </w:r>
    </w:p>
    <w:bookmarkEnd w:id="103"/>
    <w:bookmarkEnd w:id="104"/>
    <w:bookmarkStart w:id="109" w:name="simulation-3-recognition"/>
    <w:p>
      <w:pPr>
        <w:pStyle w:val="Heading2"/>
      </w:pPr>
      <w:r>
        <w:t xml:space="preserve">Simulation 3: Recognition</w:t>
      </w:r>
    </w:p>
    <w:p>
      <w:pPr>
        <w:pStyle w:val="FirstParagraph"/>
      </w:pPr>
      <w:r>
        <w:t xml:space="preserve">The recognition simulation asks what happens when the test presents the candidate film item rather than requiring that item to be sampled from context.</w:t>
      </w:r>
      <w:r>
        <w:t xml:space="preserve"> </w:t>
      </w:r>
      <w:r>
        <w:t xml:space="preserve">The same reminder-by-task-encoding design is used, but the test format changes how film material enters the response.</w:t>
      </w:r>
      <w:r>
        <w:t xml:space="preserve"> </w:t>
      </w:r>
      <w:r>
        <w:t xml:space="preserve">Context-guided recall requires a film item to be sampled from the candidates supported by current context.</w:t>
      </w:r>
      <w:r>
        <w:t xml:space="preserve"> </w:t>
      </w:r>
      <w:r>
        <w:t xml:space="preserve">Recognition begins with a supplied candidate item and asks whether the context retrieved by that item supports its occurrence in the film.</w:t>
      </w:r>
    </w:p>
    <w:p>
      <w:pPr>
        <w:pStyle w:val="BodyText"/>
      </w:pPr>
      <w:r>
        <w:t xml:space="preserve">The simulation presents studied film items and unstudied film-like foils as recognition probes.</w:t>
      </w:r>
      <w:r>
        <w:t xml:space="preserve"> </w:t>
      </w:r>
      <w:r>
        <w:t xml:space="preserve">Each probe retrieves associated temporal and source context through feature-to-context associations, and recognition evidence is computed from the match between the probe-retrieved context and the current test context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The simulation estimates recognition evidence after the candidate item has already been presented as a probe.</w:t>
      </w:r>
      <w:r>
        <w:t xml:space="preserve"> </w:t>
      </w:r>
      <w:r>
        <w:t xml:space="preserve">Decision criteria, confidence, and detailed foil-processing assumptions are left outside the present implementation.</w:t>
      </w:r>
    </w:p>
    <w:bookmarkStart w:id="108"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6" name="Picture"/>
            <a:graphic>
              <a:graphicData uri="http://schemas.openxmlformats.org/drawingml/2006/picture">
                <pic:pic>
                  <pic:nvPicPr>
                    <pic:cNvPr descr="work/simulation4_recognition_full_figure/item_context_recognition.png" id="107" name="Picture"/>
                    <pic:cNvPicPr>
                      <a:picLocks noChangeArrowheads="1" noChangeAspect="1"/>
                    </pic:cNvPicPr>
                  </pic:nvPicPr>
                  <pic:blipFill>
                    <a:blip r:embed="rId105"/>
                    <a:stretch>
                      <a:fillRect/>
                    </a:stretch>
                  </pic:blipFill>
                  <pic:spPr bwMode="auto">
                    <a:xfrm>
                      <a:off x="0" y="0"/>
                      <a:ext cx="5943600" cy="4316185"/>
                    </a:xfrm>
                    <a:prstGeom prst="rect">
                      <a:avLst/>
                    </a:prstGeom>
                    <a:noFill/>
                    <a:ln w="9525">
                      <a:noFill/>
                      <a:headEnd/>
                      <a:tailEnd/>
                    </a:ln>
                  </pic:spPr>
                </pic:pic>
              </a:graphicData>
            </a:graphic>
          </wp:inline>
        </w:drawing>
      </w:r>
    </w:p>
    <w:bookmarkEnd w:id="108"/>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The reminder-plus-strong-task condition that strongly reduces context-guided film recall does not produce a corresponding reduction in recognition accuracy.</w:t>
      </w:r>
      <w:r>
        <w:t xml:space="preserve"> </w:t>
      </w:r>
      <w:r>
        <w:t xml:space="preserve">Corrected recognition remains essentially unchanged across the reminder-by-task-encoding design, ranging from .397 to .399.</w:t>
      </w:r>
      <w:r>
        <w:t xml:space="preserve"> </w:t>
      </w:r>
      <w:r>
        <w:t xml:space="preserve">In context-guided recall, film and task candidates can compete whenever the retrieval context supports both.</w:t>
      </w:r>
      <w:r>
        <w:t xml:space="preserve"> </w:t>
      </w:r>
      <w:r>
        <w:t xml:space="preserve">Recognition reverses that access route: the presented film candidate retrieves associated context directly, so task items do not compete to be retrieved in place of the film item.</w:t>
      </w:r>
      <w:r>
        <w:t xml:space="preserve"> </w:t>
      </w:r>
      <w:r>
        <w:t xml:space="preserve">The simulation therefore identifies a test-format confound in designs that compare involuntary tests measuring whether film material comes to mind with voluntary tests that supply film material for recognition.</w:t>
      </w:r>
      <w:r>
        <w:t xml:space="preserve"> </w:t>
      </w:r>
      <w:r>
        <w:t xml:space="preserve">Such designs therefore do not isolate retrieval intentionality: preserved recognition alongside reduced intrusions may reflect the supplied-item test format rather than a general sparing of voluntary recall.</w:t>
      </w:r>
    </w:p>
    <w:bookmarkEnd w:id="109"/>
    <w:bookmarkEnd w:id="110"/>
    <w:bookmarkStart w:id="111" w:name="general-discussion"/>
    <w:p>
      <w:pPr>
        <w:pStyle w:val="Heading1"/>
      </w:pPr>
      <w:r>
        <w:t xml:space="preserve">General Discussion</w:t>
      </w:r>
    </w:p>
    <w:bookmarkEnd w:id="111"/>
    <w:bookmarkStart w:id="243" w:name="references"/>
    <w:p>
      <w:pPr>
        <w:pStyle w:val="Heading1"/>
      </w:pPr>
      <w:r>
        <w:t xml:space="preserve">References</w:t>
      </w:r>
    </w:p>
    <w:bookmarkStart w:id="242" w:name="refs"/>
    <w:bookmarkStart w:id="113"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2">
        <w:r>
          <w:rPr>
            <w:rStyle w:val="Hyperlink"/>
          </w:rPr>
          <w:t xml:space="preserve">https://doi.org/10.1016/j.jbtep.2023.101920</w:t>
        </w:r>
      </w:hyperlink>
    </w:p>
    <w:bookmarkEnd w:id="113"/>
    <w:bookmarkStart w:id="115"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4">
        <w:r>
          <w:rPr>
            <w:rStyle w:val="Hyperlink"/>
          </w:rPr>
          <w:t xml:space="preserve">https://doi.org/10.1016/j.jpsychires.2023.01.028</w:t>
        </w:r>
      </w:hyperlink>
    </w:p>
    <w:bookmarkEnd w:id="115"/>
    <w:bookmarkStart w:id="117"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6">
        <w:r>
          <w:rPr>
            <w:rStyle w:val="Hyperlink"/>
          </w:rPr>
          <w:t xml:space="preserve">https://doi.org/10.1037/0096-3445.129.1.126</w:t>
        </w:r>
      </w:hyperlink>
    </w:p>
    <w:bookmarkEnd w:id="117"/>
    <w:bookmarkStart w:id="119"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8">
        <w:r>
          <w:rPr>
            <w:rStyle w:val="Hyperlink"/>
          </w:rPr>
          <w:t xml:space="preserve">https://doi.org/10.1016/s2215-0366(25)00397-9</w:t>
        </w:r>
      </w:hyperlink>
    </w:p>
    <w:bookmarkEnd w:id="119"/>
    <w:bookmarkStart w:id="121"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0">
        <w:r>
          <w:rPr>
            <w:rStyle w:val="Hyperlink"/>
          </w:rPr>
          <w:t xml:space="preserve">https://doi.org/10.1037/a0033722</w:t>
        </w:r>
      </w:hyperlink>
    </w:p>
    <w:bookmarkEnd w:id="121"/>
    <w:bookmarkStart w:id="123"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2">
        <w:r>
          <w:rPr>
            <w:rStyle w:val="Hyperlink"/>
          </w:rPr>
          <w:t xml:space="preserve">https://doi.org/10.1037/0033-295X.103.4.670</w:t>
        </w:r>
      </w:hyperlink>
    </w:p>
    <w:bookmarkEnd w:id="123"/>
    <w:bookmarkStart w:id="125"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4">
        <w:r>
          <w:rPr>
            <w:rStyle w:val="Hyperlink"/>
          </w:rPr>
          <w:t xml:space="preserve">https://doi.org/10.1037/a0018113</w:t>
        </w:r>
      </w:hyperlink>
    </w:p>
    <w:bookmarkEnd w:id="125"/>
    <w:bookmarkStart w:id="127"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26">
        <w:r>
          <w:rPr>
            <w:rStyle w:val="Hyperlink"/>
          </w:rPr>
          <w:t xml:space="preserve">https://doi.org/10.1006/jmps.1999.1282</w:t>
        </w:r>
      </w:hyperlink>
    </w:p>
    <w:bookmarkEnd w:id="127"/>
    <w:bookmarkStart w:id="129"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8">
        <w:r>
          <w:rPr>
            <w:rStyle w:val="Hyperlink"/>
          </w:rPr>
          <w:t xml:space="preserve">https://doi.org/10.1037/rev0000334</w:t>
        </w:r>
      </w:hyperlink>
    </w:p>
    <w:bookmarkEnd w:id="129"/>
    <w:bookmarkStart w:id="131"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0">
        <w:r>
          <w:rPr>
            <w:rStyle w:val="Hyperlink"/>
          </w:rPr>
          <w:t xml:space="preserve">https://doi.org/10.1016/j.jbtep.2011.10.008</w:t>
        </w:r>
      </w:hyperlink>
    </w:p>
    <w:bookmarkEnd w:id="131"/>
    <w:bookmarkStart w:id="132"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2"/>
    <w:bookmarkStart w:id="134"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3">
        <w:r>
          <w:rPr>
            <w:rStyle w:val="Hyperlink"/>
          </w:rPr>
          <w:t xml:space="preserve">https://doi.org/10.1016/S0005-7967(99)00123-0</w:t>
        </w:r>
      </w:hyperlink>
    </w:p>
    <w:bookmarkEnd w:id="134"/>
    <w:bookmarkStart w:id="136"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35">
        <w:r>
          <w:rPr>
            <w:rStyle w:val="Hyperlink"/>
          </w:rPr>
          <w:t xml:space="preserve">https://doi.org/10.1037/a0033715</w:t>
        </w:r>
      </w:hyperlink>
    </w:p>
    <w:bookmarkEnd w:id="136"/>
    <w:bookmarkStart w:id="138"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7">
        <w:r>
          <w:rPr>
            <w:rStyle w:val="Hyperlink"/>
          </w:rPr>
          <w:t xml:space="preserve">https://doi.org/10.1037/rev0000015</w:t>
        </w:r>
      </w:hyperlink>
    </w:p>
    <w:bookmarkEnd w:id="138"/>
    <w:bookmarkStart w:id="140"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39">
        <w:r>
          <w:rPr>
            <w:rStyle w:val="Hyperlink"/>
          </w:rPr>
          <w:t xml:space="preserve">https://doi.org/10.3758/s13421-023-01453-z</w:t>
        </w:r>
      </w:hyperlink>
    </w:p>
    <w:bookmarkEnd w:id="140"/>
    <w:bookmarkStart w:id="142"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1">
        <w:r>
          <w:rPr>
            <w:rStyle w:val="Hyperlink"/>
          </w:rPr>
          <w:t xml:space="preserve">https://doi.org/10.1016/j.jbtep.2023.101858</w:t>
        </w:r>
      </w:hyperlink>
    </w:p>
    <w:bookmarkEnd w:id="142"/>
    <w:bookmarkStart w:id="144"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3">
        <w:r>
          <w:rPr>
            <w:rStyle w:val="Hyperlink"/>
          </w:rPr>
          <w:t xml:space="preserve">https://doi.org/10.31234/osf.io/sm3fw</w:t>
        </w:r>
      </w:hyperlink>
    </w:p>
    <w:bookmarkEnd w:id="144"/>
    <w:bookmarkStart w:id="146"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5">
        <w:r>
          <w:rPr>
            <w:rStyle w:val="Hyperlink"/>
          </w:rPr>
          <w:t xml:space="preserve">https://doi.org/10.1016/j.actpsy.2007.11.002</w:t>
        </w:r>
      </w:hyperlink>
    </w:p>
    <w:bookmarkEnd w:id="146"/>
    <w:bookmarkStart w:id="148"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7">
        <w:r>
          <w:rPr>
            <w:rStyle w:val="Hyperlink"/>
          </w:rPr>
          <w:t xml:space="preserve">https://doi.org/10.1037/0096-3445.133.1.3</w:t>
        </w:r>
      </w:hyperlink>
    </w:p>
    <w:bookmarkEnd w:id="148"/>
    <w:bookmarkStart w:id="150"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9">
        <w:r>
          <w:rPr>
            <w:rStyle w:val="Hyperlink"/>
          </w:rPr>
          <w:t xml:space="preserve">https://doi.org/10.1371/journal.pone.0004153</w:t>
        </w:r>
      </w:hyperlink>
    </w:p>
    <w:bookmarkEnd w:id="150"/>
    <w:bookmarkStart w:id="152"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1">
        <w:r>
          <w:rPr>
            <w:rStyle w:val="Hyperlink"/>
          </w:rPr>
          <w:t xml:space="preserve">https://doi.org/10.1371/journal.pone.0013706</w:t>
        </w:r>
      </w:hyperlink>
    </w:p>
    <w:bookmarkEnd w:id="152"/>
    <w:bookmarkStart w:id="154"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3">
        <w:r>
          <w:rPr>
            <w:rStyle w:val="Hyperlink"/>
          </w:rPr>
          <w:t xml:space="preserve">https://doi.org/10.1016/j.brat.2017.03.018</w:t>
        </w:r>
      </w:hyperlink>
    </w:p>
    <w:bookmarkEnd w:id="154"/>
    <w:bookmarkStart w:id="156"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55">
        <w:r>
          <w:rPr>
            <w:rStyle w:val="Hyperlink"/>
          </w:rPr>
          <w:t xml:space="preserve">https://doi.org/10.1037/0278-7393.25.4.923</w:t>
        </w:r>
      </w:hyperlink>
    </w:p>
    <w:bookmarkEnd w:id="156"/>
    <w:bookmarkStart w:id="158"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7">
        <w:r>
          <w:rPr>
            <w:rStyle w:val="Hyperlink"/>
          </w:rPr>
          <w:t xml:space="preserve">https://doi.org/10.1006/jmps.2001.1388</w:t>
        </w:r>
      </w:hyperlink>
    </w:p>
    <w:bookmarkEnd w:id="158"/>
    <w:bookmarkStart w:id="159"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9"/>
    <w:bookmarkStart w:id="161"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0">
        <w:r>
          <w:rPr>
            <w:rStyle w:val="Hyperlink"/>
          </w:rPr>
          <w:t xml:space="preserve">https://doi.org/10.1101/lm.1022308</w:t>
        </w:r>
      </w:hyperlink>
    </w:p>
    <w:bookmarkEnd w:id="161"/>
    <w:bookmarkStart w:id="16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2">
        <w:r>
          <w:rPr>
            <w:rStyle w:val="Hyperlink"/>
          </w:rPr>
          <w:t xml:space="preserve">https://doi.org/10.1038/mp.2017.23</w:t>
        </w:r>
      </w:hyperlink>
    </w:p>
    <w:bookmarkEnd w:id="163"/>
    <w:bookmarkStart w:id="165"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4">
        <w:r>
          <w:rPr>
            <w:rStyle w:val="Hyperlink"/>
          </w:rPr>
          <w:t xml:space="preserve">https://doi.org/10.1038/s41398-023-02578-0</w:t>
        </w:r>
      </w:hyperlink>
    </w:p>
    <w:bookmarkEnd w:id="165"/>
    <w:bookmarkStart w:id="167"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66">
        <w:r>
          <w:rPr>
            <w:rStyle w:val="Hyperlink"/>
          </w:rPr>
          <w:t xml:space="preserve">https://doi.org/10.1016/j.cpr.2018.08.005</w:t>
        </w:r>
      </w:hyperlink>
    </w:p>
    <w:bookmarkEnd w:id="167"/>
    <w:bookmarkStart w:id="169"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68">
        <w:r>
          <w:rPr>
            <w:rStyle w:val="Hyperlink"/>
          </w:rPr>
          <w:t xml:space="preserve">https://doi.org/10.1177/0956797615583071</w:t>
        </w:r>
      </w:hyperlink>
    </w:p>
    <w:bookmarkEnd w:id="169"/>
    <w:bookmarkStart w:id="171"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0">
        <w:r>
          <w:rPr>
            <w:rStyle w:val="Hyperlink"/>
          </w:rPr>
          <w:t xml:space="preserve">https://doi.org/10.1016/j.cpr.2016.04.010</w:t>
        </w:r>
      </w:hyperlink>
    </w:p>
    <w:bookmarkEnd w:id="171"/>
    <w:bookmarkStart w:id="173"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72">
        <w:r>
          <w:rPr>
            <w:rStyle w:val="Hyperlink"/>
          </w:rPr>
          <w:t xml:space="preserve">https://memory.psych.upenn.edu/files/pubs/JinEtal24.pdf</w:t>
        </w:r>
      </w:hyperlink>
    </w:p>
    <w:bookmarkEnd w:id="173"/>
    <w:bookmarkStart w:id="17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4"/>
    <w:bookmarkStart w:id="176"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5">
        <w:r>
          <w:rPr>
            <w:rStyle w:val="Hyperlink"/>
          </w:rPr>
          <w:t xml:space="preserve">https://doi.org/10.1146/annurev-psych-010418-103358</w:t>
        </w:r>
      </w:hyperlink>
    </w:p>
    <w:bookmarkEnd w:id="176"/>
    <w:bookmarkStart w:id="178"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77">
        <w:r>
          <w:rPr>
            <w:rStyle w:val="Hyperlink"/>
          </w:rPr>
          <w:t xml:space="preserve">https://doi.org/10.1002/cpp.2489</w:t>
        </w:r>
      </w:hyperlink>
    </w:p>
    <w:bookmarkEnd w:id="178"/>
    <w:bookmarkStart w:id="180"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79">
        <w:r>
          <w:rPr>
            <w:rStyle w:val="Hyperlink"/>
          </w:rPr>
          <w:t xml:space="preserve">https://doi.org/10.1186/s12916-024-03569-8</w:t>
        </w:r>
      </w:hyperlink>
    </w:p>
    <w:bookmarkEnd w:id="180"/>
    <w:bookmarkStart w:id="182"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1">
        <w:r>
          <w:rPr>
            <w:rStyle w:val="Hyperlink"/>
          </w:rPr>
          <w:t xml:space="preserve">https://doi.org/10.1016/j.jbtep.2019.01.006</w:t>
        </w:r>
      </w:hyperlink>
    </w:p>
    <w:bookmarkEnd w:id="182"/>
    <w:bookmarkStart w:id="184"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3">
        <w:r>
          <w:rPr>
            <w:rStyle w:val="Hyperlink"/>
          </w:rPr>
          <w:t xml:space="preserve">https://doi.org/10.1038/nn.2271</w:t>
        </w:r>
      </w:hyperlink>
    </w:p>
    <w:bookmarkEnd w:id="184"/>
    <w:bookmarkStart w:id="186"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5">
        <w:r>
          <w:rPr>
            <w:rStyle w:val="Hyperlink"/>
          </w:rPr>
          <w:t xml:space="preserve">https://doi.org/10.1523/JNEUROSCI.3378-14.2015</w:t>
        </w:r>
      </w:hyperlink>
    </w:p>
    <w:bookmarkEnd w:id="186"/>
    <w:bookmarkStart w:id="188"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87">
        <w:r>
          <w:rPr>
            <w:rStyle w:val="Hyperlink"/>
          </w:rPr>
          <w:t xml:space="preserve">https://doi.org/10.1002/acp.1611</w:t>
        </w:r>
      </w:hyperlink>
    </w:p>
    <w:bookmarkEnd w:id="188"/>
    <w:bookmarkStart w:id="190"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89">
        <w:r>
          <w:rPr>
            <w:rStyle w:val="Hyperlink"/>
          </w:rPr>
          <w:t xml:space="preserve">https://doi.org/10.1037/xge0000598</w:t>
        </w:r>
      </w:hyperlink>
    </w:p>
    <w:bookmarkEnd w:id="190"/>
    <w:bookmarkStart w:id="192"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1">
        <w:r>
          <w:rPr>
            <w:rStyle w:val="Hyperlink"/>
          </w:rPr>
          <w:t xml:space="preserve">https://doi.org/10.1177/2167702621998315</w:t>
        </w:r>
      </w:hyperlink>
    </w:p>
    <w:bookmarkEnd w:id="192"/>
    <w:bookmarkStart w:id="194"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3">
        <w:r>
          <w:rPr>
            <w:rStyle w:val="Hyperlink"/>
          </w:rPr>
          <w:t xml:space="preserve">https://doi.org/10.1037/xge0001354</w:t>
        </w:r>
      </w:hyperlink>
    </w:p>
    <w:bookmarkEnd w:id="194"/>
    <w:bookmarkStart w:id="196"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5">
        <w:r>
          <w:rPr>
            <w:rStyle w:val="Hyperlink"/>
          </w:rPr>
          <w:t xml:space="preserve">https://doi.org/10.1037/a0039036</w:t>
        </w:r>
      </w:hyperlink>
    </w:p>
    <w:bookmarkEnd w:id="196"/>
    <w:bookmarkStart w:id="198"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197">
        <w:r>
          <w:rPr>
            <w:rStyle w:val="Hyperlink"/>
          </w:rPr>
          <w:t xml:space="preserve">https://doi.org/10.3758/s13423-025-02744-z</w:t>
        </w:r>
      </w:hyperlink>
    </w:p>
    <w:bookmarkEnd w:id="198"/>
    <w:bookmarkStart w:id="199" w:name="ref-luce1959individual"/>
    <w:p>
      <w:pPr>
        <w:pStyle w:val="Bibliography"/>
      </w:pPr>
      <w:r>
        <w:t xml:space="preserve">Luce, R. D. (1959).</w:t>
      </w:r>
      <w:r>
        <w:t xml:space="preserve"> </w:t>
      </w:r>
      <w:r>
        <w:rPr>
          <w:i/>
          <w:iCs/>
        </w:rPr>
        <w:t xml:space="preserve">Individual choice behavior: A theoretical analysis</w:t>
      </w:r>
      <w:r>
        <w:t xml:space="preserve">. Wiley.</w:t>
      </w:r>
    </w:p>
    <w:bookmarkEnd w:id="199"/>
    <w:bookmarkStart w:id="20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0">
        <w:r>
          <w:rPr>
            <w:rStyle w:val="Hyperlink"/>
          </w:rPr>
          <w:t xml:space="preserve">https://osf.io/preprints/psyarxiv/m3pnz_v1/</w:t>
        </w:r>
      </w:hyperlink>
    </w:p>
    <w:bookmarkEnd w:id="201"/>
    <w:bookmarkStart w:id="203"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2">
        <w:r>
          <w:rPr>
            <w:rStyle w:val="Hyperlink"/>
          </w:rPr>
          <w:t xml:space="preserve">https://doi.org/10.1016/j.jml.2015.10.002</w:t>
        </w:r>
      </w:hyperlink>
    </w:p>
    <w:bookmarkEnd w:id="203"/>
    <w:bookmarkStart w:id="205"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04">
        <w:r>
          <w:rPr>
            <w:rStyle w:val="Hyperlink"/>
          </w:rPr>
          <w:t xml:space="preserve">https://doi.org/10.1038/s41467-017-01184-1</w:t>
        </w:r>
      </w:hyperlink>
    </w:p>
    <w:bookmarkEnd w:id="205"/>
    <w:bookmarkStart w:id="207"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06">
        <w:r>
          <w:rPr>
            <w:rStyle w:val="Hyperlink"/>
          </w:rPr>
          <w:t xml:space="preserve">https://doi.org/10.1037/a0022475</w:t>
        </w:r>
      </w:hyperlink>
    </w:p>
    <w:bookmarkEnd w:id="207"/>
    <w:bookmarkStart w:id="209"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08">
        <w:r>
          <w:rPr>
            <w:rStyle w:val="Hyperlink"/>
          </w:rPr>
          <w:t xml:space="preserve">https://doi.org/10.1016/j.neuropsychologia.2011.08.025</w:t>
        </w:r>
      </w:hyperlink>
    </w:p>
    <w:bookmarkEnd w:id="209"/>
    <w:bookmarkStart w:id="211"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10">
        <w:r>
          <w:rPr>
            <w:rStyle w:val="Hyperlink"/>
          </w:rPr>
          <w:t xml:space="preserve">https://doi.org/10.1037/a0014420</w:t>
        </w:r>
      </w:hyperlink>
    </w:p>
    <w:bookmarkEnd w:id="211"/>
    <w:bookmarkStart w:id="213"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12">
        <w:r>
          <w:rPr>
            <w:rStyle w:val="Hyperlink"/>
          </w:rPr>
          <w:t xml:space="preserve">https://doi.org/10.1016/j.neuropsychologia.2009.02.013</w:t>
        </w:r>
      </w:hyperlink>
    </w:p>
    <w:bookmarkEnd w:id="213"/>
    <w:bookmarkStart w:id="215"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14">
        <w:r>
          <w:rPr>
            <w:rStyle w:val="Hyperlink"/>
          </w:rPr>
          <w:t xml:space="preserve">https://doi.org/10.1016/S0079-7421(08)60162-0</w:t>
        </w:r>
      </w:hyperlink>
    </w:p>
    <w:bookmarkEnd w:id="215"/>
    <w:bookmarkStart w:id="217"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6">
        <w:r>
          <w:rPr>
            <w:rStyle w:val="Hyperlink"/>
          </w:rPr>
          <w:t xml:space="preserve">https://doi.org/10.1038/s41380-023-02062-7</w:t>
        </w:r>
      </w:hyperlink>
    </w:p>
    <w:bookmarkEnd w:id="217"/>
    <w:bookmarkStart w:id="219"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18">
        <w:r>
          <w:rPr>
            <w:rStyle w:val="Hyperlink"/>
          </w:rPr>
          <w:t xml:space="preserve">https://doi.org/10.1111/j.1467-9280.2005.01634.x</w:t>
        </w:r>
      </w:hyperlink>
    </w:p>
    <w:bookmarkEnd w:id="219"/>
    <w:bookmarkStart w:id="221"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20">
        <w:r>
          <w:rPr>
            <w:rStyle w:val="Hyperlink"/>
          </w:rPr>
          <w:t xml:space="preserve">https://doi.org/10.3758/s13423-011-0086-9</w:t>
        </w:r>
      </w:hyperlink>
    </w:p>
    <w:bookmarkEnd w:id="221"/>
    <w:bookmarkStart w:id="223"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22">
        <w:r>
          <w:rPr>
            <w:rStyle w:val="Hyperlink"/>
          </w:rPr>
          <w:t xml:space="preserve">https://doi.org/10.1037/a0013396</w:t>
        </w:r>
      </w:hyperlink>
    </w:p>
    <w:bookmarkEnd w:id="223"/>
    <w:bookmarkStart w:id="225"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24">
        <w:r>
          <w:rPr>
            <w:rStyle w:val="Hyperlink"/>
          </w:rPr>
          <w:t xml:space="preserve">https://doi.org/10.1177/0963721413498893</w:t>
        </w:r>
      </w:hyperlink>
    </w:p>
    <w:bookmarkEnd w:id="225"/>
    <w:bookmarkStart w:id="227"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6">
        <w:r>
          <w:rPr>
            <w:rStyle w:val="Hyperlink"/>
          </w:rPr>
          <w:t xml:space="preserve">https://doi.org/10.1037/rev0000132</w:t>
        </w:r>
      </w:hyperlink>
    </w:p>
    <w:bookmarkEnd w:id="227"/>
    <w:bookmarkStart w:id="229"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28">
        <w:r>
          <w:rPr>
            <w:rStyle w:val="Hyperlink"/>
          </w:rPr>
          <w:t xml:space="preserve">https://doi.org/10.1016/j.jml.2007.01.002</w:t>
        </w:r>
      </w:hyperlink>
    </w:p>
    <w:bookmarkEnd w:id="229"/>
    <w:bookmarkStart w:id="231"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30">
        <w:r>
          <w:rPr>
            <w:rStyle w:val="Hyperlink"/>
          </w:rPr>
          <w:t xml:space="preserve">https://doi.org/10.3758/bf03195864</w:t>
        </w:r>
      </w:hyperlink>
    </w:p>
    <w:bookmarkEnd w:id="231"/>
    <w:bookmarkStart w:id="233"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32">
        <w:r>
          <w:rPr>
            <w:rStyle w:val="Hyperlink"/>
          </w:rPr>
          <w:t xml:space="preserve">https://doi.org/10.3758/MC.38.4.419</w:t>
        </w:r>
      </w:hyperlink>
    </w:p>
    <w:bookmarkEnd w:id="233"/>
    <w:bookmarkStart w:id="235"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34">
        <w:r>
          <w:rPr>
            <w:rStyle w:val="Hyperlink"/>
          </w:rPr>
          <w:t xml:space="preserve">https://doi.org/10.1038/s41562-024-01956-y</w:t>
        </w:r>
      </w:hyperlink>
    </w:p>
    <w:bookmarkEnd w:id="235"/>
    <w:bookmarkStart w:id="237"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36">
        <w:r>
          <w:rPr>
            <w:rStyle w:val="Hyperlink"/>
          </w:rPr>
          <w:t xml:space="preserve">https://doi.org/10.1525/collabra.130791</w:t>
        </w:r>
      </w:hyperlink>
    </w:p>
    <w:bookmarkEnd w:id="237"/>
    <w:bookmarkStart w:id="239"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38">
        <w:r>
          <w:rPr>
            <w:rStyle w:val="Hyperlink"/>
          </w:rPr>
          <w:t xml:space="preserve">https://doi.org/10.1037/0278-7393.32.4.792</w:t>
        </w:r>
      </w:hyperlink>
    </w:p>
    <w:bookmarkEnd w:id="239"/>
    <w:bookmarkStart w:id="241"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40">
        <w:r>
          <w:rPr>
            <w:rStyle w:val="Hyperlink"/>
          </w:rPr>
          <w:t xml:space="preserve">https://doi.org/10.1037/rev0000505</w:t>
        </w:r>
      </w:hyperlink>
    </w:p>
    <w:bookmarkEnd w:id="241"/>
    <w:bookmarkEnd w:id="242"/>
    <w:bookmarkEnd w:id="24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hyperlink" Id="rId187" Target="https://doi.org/10.1002/acp.1611" TargetMode="External" /><Relationship Type="http://schemas.openxmlformats.org/officeDocument/2006/relationships/hyperlink" Id="rId177" Target="https://doi.org/10.1002/cpp.2489" TargetMode="External" /><Relationship Type="http://schemas.openxmlformats.org/officeDocument/2006/relationships/hyperlink" Id="rId126" Target="https://doi.org/10.1006/jmps.1999.1282" TargetMode="External" /><Relationship Type="http://schemas.openxmlformats.org/officeDocument/2006/relationships/hyperlink" Id="rId157" Target="https://doi.org/10.1006/jmps.2001.1388" TargetMode="External" /><Relationship Type="http://schemas.openxmlformats.org/officeDocument/2006/relationships/hyperlink" Id="rId133" Target="https://doi.org/10.1016/S0005-7967(99)00123-0" TargetMode="External" /><Relationship Type="http://schemas.openxmlformats.org/officeDocument/2006/relationships/hyperlink" Id="rId214" Target="https://doi.org/10.1016/S0079-7421(08)60162-0" TargetMode="External" /><Relationship Type="http://schemas.openxmlformats.org/officeDocument/2006/relationships/hyperlink" Id="rId145" Target="https://doi.org/10.1016/j.actpsy.2007.11.002" TargetMode="External" /><Relationship Type="http://schemas.openxmlformats.org/officeDocument/2006/relationships/hyperlink" Id="rId153" Target="https://doi.org/10.1016/j.brat.2017.03.018" TargetMode="External" /><Relationship Type="http://schemas.openxmlformats.org/officeDocument/2006/relationships/hyperlink" Id="rId170" Target="https://doi.org/10.1016/j.cpr.2016.04.010" TargetMode="External" /><Relationship Type="http://schemas.openxmlformats.org/officeDocument/2006/relationships/hyperlink" Id="rId166" Target="https://doi.org/10.1016/j.cpr.2018.08.005" TargetMode="External" /><Relationship Type="http://schemas.openxmlformats.org/officeDocument/2006/relationships/hyperlink" Id="rId130" Target="https://doi.org/10.1016/j.jbtep.2011.10.008" TargetMode="External" /><Relationship Type="http://schemas.openxmlformats.org/officeDocument/2006/relationships/hyperlink" Id="rId181" Target="https://doi.org/10.1016/j.jbtep.2019.01.006" TargetMode="External" /><Relationship Type="http://schemas.openxmlformats.org/officeDocument/2006/relationships/hyperlink" Id="rId141" Target="https://doi.org/10.1016/j.jbtep.2023.101858" TargetMode="External" /><Relationship Type="http://schemas.openxmlformats.org/officeDocument/2006/relationships/hyperlink" Id="rId112" Target="https://doi.org/10.1016/j.jbtep.2023.101920" TargetMode="External" /><Relationship Type="http://schemas.openxmlformats.org/officeDocument/2006/relationships/hyperlink" Id="rId228"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4" Target="https://doi.org/10.1016/j.jpsychires.2023.01.028" TargetMode="External" /><Relationship Type="http://schemas.openxmlformats.org/officeDocument/2006/relationships/hyperlink" Id="rId212" Target="https://doi.org/10.1016/j.neuropsychologia.2009.02.013" TargetMode="External" /><Relationship Type="http://schemas.openxmlformats.org/officeDocument/2006/relationships/hyperlink" Id="rId208" Target="https://doi.org/10.1016/j.neuropsychologia.2011.08.025" TargetMode="External" /><Relationship Type="http://schemas.openxmlformats.org/officeDocument/2006/relationships/hyperlink" Id="rId118" Target="https://doi.org/10.1016/s2215-0366(25)00397-9" TargetMode="External" /><Relationship Type="http://schemas.openxmlformats.org/officeDocument/2006/relationships/hyperlink" Id="rId122" Target="https://doi.org/10.1037/0033-295X.103.4.670" TargetMode="External" /><Relationship Type="http://schemas.openxmlformats.org/officeDocument/2006/relationships/hyperlink" Id="rId116" Target="https://doi.org/10.1037/0096-3445.129.1.126" TargetMode="External" /><Relationship Type="http://schemas.openxmlformats.org/officeDocument/2006/relationships/hyperlink" Id="rId147" Target="https://doi.org/10.1037/0096-3445.133.1.3" TargetMode="External" /><Relationship Type="http://schemas.openxmlformats.org/officeDocument/2006/relationships/hyperlink" Id="rId155" Target="https://doi.org/10.1037/0278-7393.25.4.923" TargetMode="External" /><Relationship Type="http://schemas.openxmlformats.org/officeDocument/2006/relationships/hyperlink" Id="rId238" Target="https://doi.org/10.1037/0278-7393.32.4.792" TargetMode="External" /><Relationship Type="http://schemas.openxmlformats.org/officeDocument/2006/relationships/hyperlink" Id="rId222" Target="https://doi.org/10.1037/a0013396" TargetMode="External" /><Relationship Type="http://schemas.openxmlformats.org/officeDocument/2006/relationships/hyperlink" Id="rId210" Target="https://doi.org/10.1037/a0014420" TargetMode="External" /><Relationship Type="http://schemas.openxmlformats.org/officeDocument/2006/relationships/hyperlink" Id="rId124" Target="https://doi.org/10.1037/a0018113" TargetMode="External" /><Relationship Type="http://schemas.openxmlformats.org/officeDocument/2006/relationships/hyperlink" Id="rId206" Target="https://doi.org/10.1037/a0022475" TargetMode="External" /><Relationship Type="http://schemas.openxmlformats.org/officeDocument/2006/relationships/hyperlink" Id="rId135" Target="https://doi.org/10.1037/a0033715" TargetMode="External" /><Relationship Type="http://schemas.openxmlformats.org/officeDocument/2006/relationships/hyperlink" Id="rId120" Target="https://doi.org/10.1037/a0033722" TargetMode="External" /><Relationship Type="http://schemas.openxmlformats.org/officeDocument/2006/relationships/hyperlink" Id="rId195" Target="https://doi.org/10.1037/a0039036" TargetMode="External" /><Relationship Type="http://schemas.openxmlformats.org/officeDocument/2006/relationships/hyperlink" Id="rId137" Target="https://doi.org/10.1037/rev0000015" TargetMode="External" /><Relationship Type="http://schemas.openxmlformats.org/officeDocument/2006/relationships/hyperlink" Id="rId226" Target="https://doi.org/10.1037/rev0000132" TargetMode="External" /><Relationship Type="http://schemas.openxmlformats.org/officeDocument/2006/relationships/hyperlink" Id="rId128" Target="https://doi.org/10.1037/rev0000334" TargetMode="External" /><Relationship Type="http://schemas.openxmlformats.org/officeDocument/2006/relationships/hyperlink" Id="rId240" Target="https://doi.org/10.1037/rev0000505" TargetMode="External" /><Relationship Type="http://schemas.openxmlformats.org/officeDocument/2006/relationships/hyperlink" Id="rId189" Target="https://doi.org/10.1037/xge0000598" TargetMode="External" /><Relationship Type="http://schemas.openxmlformats.org/officeDocument/2006/relationships/hyperlink" Id="rId193" Target="https://doi.org/10.1037/xge0001354" TargetMode="External" /><Relationship Type="http://schemas.openxmlformats.org/officeDocument/2006/relationships/hyperlink" Id="rId162" Target="https://doi.org/10.1038/mp.2017.23" TargetMode="External" /><Relationship Type="http://schemas.openxmlformats.org/officeDocument/2006/relationships/hyperlink" Id="rId183" Target="https://doi.org/10.1038/nn.2271" TargetMode="External" /><Relationship Type="http://schemas.openxmlformats.org/officeDocument/2006/relationships/hyperlink" Id="rId216" Target="https://doi.org/10.1038/s41380-023-02062-7" TargetMode="External" /><Relationship Type="http://schemas.openxmlformats.org/officeDocument/2006/relationships/hyperlink" Id="rId164" Target="https://doi.org/10.1038/s41398-023-02578-0" TargetMode="External" /><Relationship Type="http://schemas.openxmlformats.org/officeDocument/2006/relationships/hyperlink" Id="rId204" Target="https://doi.org/10.1038/s41467-017-01184-1" TargetMode="External" /><Relationship Type="http://schemas.openxmlformats.org/officeDocument/2006/relationships/hyperlink" Id="rId234" Target="https://doi.org/10.1038/s41562-024-01956-y" TargetMode="External" /><Relationship Type="http://schemas.openxmlformats.org/officeDocument/2006/relationships/hyperlink" Id="rId160" Target="https://doi.org/10.1101/lm.1022308" TargetMode="External" /><Relationship Type="http://schemas.openxmlformats.org/officeDocument/2006/relationships/hyperlink" Id="rId218" Target="https://doi.org/10.1111/j.1467-9280.2005.01634.x" TargetMode="External" /><Relationship Type="http://schemas.openxmlformats.org/officeDocument/2006/relationships/hyperlink" Id="rId175" Target="https://doi.org/10.1146/annurev-psych-010418-103358" TargetMode="External" /><Relationship Type="http://schemas.openxmlformats.org/officeDocument/2006/relationships/hyperlink" Id="rId168" Target="https://doi.org/10.1177/0956797615583071" TargetMode="External" /><Relationship Type="http://schemas.openxmlformats.org/officeDocument/2006/relationships/hyperlink" Id="rId224" Target="https://doi.org/10.1177/0963721413498893" TargetMode="External" /><Relationship Type="http://schemas.openxmlformats.org/officeDocument/2006/relationships/hyperlink" Id="rId191" Target="https://doi.org/10.1177/2167702621998315" TargetMode="External" /><Relationship Type="http://schemas.openxmlformats.org/officeDocument/2006/relationships/hyperlink" Id="rId179" Target="https://doi.org/10.1186/s12916-024-03569-8" TargetMode="External" /><Relationship Type="http://schemas.openxmlformats.org/officeDocument/2006/relationships/hyperlink" Id="rId149" Target="https://doi.org/10.1371/journal.pone.0004153" TargetMode="External" /><Relationship Type="http://schemas.openxmlformats.org/officeDocument/2006/relationships/hyperlink" Id="rId151" Target="https://doi.org/10.1371/journal.pone.0013706" TargetMode="External" /><Relationship Type="http://schemas.openxmlformats.org/officeDocument/2006/relationships/hyperlink" Id="rId185" Target="https://doi.org/10.1523/JNEUROSCI.3378-14.2015" TargetMode="External" /><Relationship Type="http://schemas.openxmlformats.org/officeDocument/2006/relationships/hyperlink" Id="rId236" Target="https://doi.org/10.1525/collabra.130791" TargetMode="External" /><Relationship Type="http://schemas.openxmlformats.org/officeDocument/2006/relationships/hyperlink" Id="rId143" Target="https://doi.org/10.31234/osf.io/sm3fw" TargetMode="External" /><Relationship Type="http://schemas.openxmlformats.org/officeDocument/2006/relationships/hyperlink" Id="rId232" Target="https://doi.org/10.3758/MC.38.4.419" TargetMode="External" /><Relationship Type="http://schemas.openxmlformats.org/officeDocument/2006/relationships/hyperlink" Id="rId230" Target="https://doi.org/10.3758/bf03195864" TargetMode="External" /><Relationship Type="http://schemas.openxmlformats.org/officeDocument/2006/relationships/hyperlink" Id="rId139" Target="https://doi.org/10.3758/s13421-023-01453-z" TargetMode="External" /><Relationship Type="http://schemas.openxmlformats.org/officeDocument/2006/relationships/hyperlink" Id="rId220" Target="https://doi.org/10.3758/s13423-011-0086-9" TargetMode="External" /><Relationship Type="http://schemas.openxmlformats.org/officeDocument/2006/relationships/hyperlink" Id="rId197" Target="https://doi.org/10.3758/s13423-025-02744-z" TargetMode="External" /><Relationship Type="http://schemas.openxmlformats.org/officeDocument/2006/relationships/hyperlink" Id="rId172" Target="https://memory.psych.upenn.edu/files/pubs/JinEtal24.pdf" TargetMode="External" /><Relationship Type="http://schemas.openxmlformats.org/officeDocument/2006/relationships/hyperlink" Id="rId20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87" Target="https://doi.org/10.1002/acp.1611" TargetMode="External" /><Relationship Type="http://schemas.openxmlformats.org/officeDocument/2006/relationships/hyperlink" Id="rId177" Target="https://doi.org/10.1002/cpp.2489" TargetMode="External" /><Relationship Type="http://schemas.openxmlformats.org/officeDocument/2006/relationships/hyperlink" Id="rId126" Target="https://doi.org/10.1006/jmps.1999.1282" TargetMode="External" /><Relationship Type="http://schemas.openxmlformats.org/officeDocument/2006/relationships/hyperlink" Id="rId157" Target="https://doi.org/10.1006/jmps.2001.1388" TargetMode="External" /><Relationship Type="http://schemas.openxmlformats.org/officeDocument/2006/relationships/hyperlink" Id="rId133" Target="https://doi.org/10.1016/S0005-7967(99)00123-0" TargetMode="External" /><Relationship Type="http://schemas.openxmlformats.org/officeDocument/2006/relationships/hyperlink" Id="rId214" Target="https://doi.org/10.1016/S0079-7421(08)60162-0" TargetMode="External" /><Relationship Type="http://schemas.openxmlformats.org/officeDocument/2006/relationships/hyperlink" Id="rId145" Target="https://doi.org/10.1016/j.actpsy.2007.11.002" TargetMode="External" /><Relationship Type="http://schemas.openxmlformats.org/officeDocument/2006/relationships/hyperlink" Id="rId153" Target="https://doi.org/10.1016/j.brat.2017.03.018" TargetMode="External" /><Relationship Type="http://schemas.openxmlformats.org/officeDocument/2006/relationships/hyperlink" Id="rId170" Target="https://doi.org/10.1016/j.cpr.2016.04.010" TargetMode="External" /><Relationship Type="http://schemas.openxmlformats.org/officeDocument/2006/relationships/hyperlink" Id="rId166" Target="https://doi.org/10.1016/j.cpr.2018.08.005" TargetMode="External" /><Relationship Type="http://schemas.openxmlformats.org/officeDocument/2006/relationships/hyperlink" Id="rId130" Target="https://doi.org/10.1016/j.jbtep.2011.10.008" TargetMode="External" /><Relationship Type="http://schemas.openxmlformats.org/officeDocument/2006/relationships/hyperlink" Id="rId181" Target="https://doi.org/10.1016/j.jbtep.2019.01.006" TargetMode="External" /><Relationship Type="http://schemas.openxmlformats.org/officeDocument/2006/relationships/hyperlink" Id="rId141" Target="https://doi.org/10.1016/j.jbtep.2023.101858" TargetMode="External" /><Relationship Type="http://schemas.openxmlformats.org/officeDocument/2006/relationships/hyperlink" Id="rId112" Target="https://doi.org/10.1016/j.jbtep.2023.101920" TargetMode="External" /><Relationship Type="http://schemas.openxmlformats.org/officeDocument/2006/relationships/hyperlink" Id="rId228"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4" Target="https://doi.org/10.1016/j.jpsychires.2023.01.028" TargetMode="External" /><Relationship Type="http://schemas.openxmlformats.org/officeDocument/2006/relationships/hyperlink" Id="rId212" Target="https://doi.org/10.1016/j.neuropsychologia.2009.02.013" TargetMode="External" /><Relationship Type="http://schemas.openxmlformats.org/officeDocument/2006/relationships/hyperlink" Id="rId208" Target="https://doi.org/10.1016/j.neuropsychologia.2011.08.025" TargetMode="External" /><Relationship Type="http://schemas.openxmlformats.org/officeDocument/2006/relationships/hyperlink" Id="rId118" Target="https://doi.org/10.1016/s2215-0366(25)00397-9" TargetMode="External" /><Relationship Type="http://schemas.openxmlformats.org/officeDocument/2006/relationships/hyperlink" Id="rId122" Target="https://doi.org/10.1037/0033-295X.103.4.670" TargetMode="External" /><Relationship Type="http://schemas.openxmlformats.org/officeDocument/2006/relationships/hyperlink" Id="rId116" Target="https://doi.org/10.1037/0096-3445.129.1.126" TargetMode="External" /><Relationship Type="http://schemas.openxmlformats.org/officeDocument/2006/relationships/hyperlink" Id="rId147" Target="https://doi.org/10.1037/0096-3445.133.1.3" TargetMode="External" /><Relationship Type="http://schemas.openxmlformats.org/officeDocument/2006/relationships/hyperlink" Id="rId155" Target="https://doi.org/10.1037/0278-7393.25.4.923" TargetMode="External" /><Relationship Type="http://schemas.openxmlformats.org/officeDocument/2006/relationships/hyperlink" Id="rId238" Target="https://doi.org/10.1037/0278-7393.32.4.792" TargetMode="External" /><Relationship Type="http://schemas.openxmlformats.org/officeDocument/2006/relationships/hyperlink" Id="rId222" Target="https://doi.org/10.1037/a0013396" TargetMode="External" /><Relationship Type="http://schemas.openxmlformats.org/officeDocument/2006/relationships/hyperlink" Id="rId210" Target="https://doi.org/10.1037/a0014420" TargetMode="External" /><Relationship Type="http://schemas.openxmlformats.org/officeDocument/2006/relationships/hyperlink" Id="rId124" Target="https://doi.org/10.1037/a0018113" TargetMode="External" /><Relationship Type="http://schemas.openxmlformats.org/officeDocument/2006/relationships/hyperlink" Id="rId206" Target="https://doi.org/10.1037/a0022475" TargetMode="External" /><Relationship Type="http://schemas.openxmlformats.org/officeDocument/2006/relationships/hyperlink" Id="rId135" Target="https://doi.org/10.1037/a0033715" TargetMode="External" /><Relationship Type="http://schemas.openxmlformats.org/officeDocument/2006/relationships/hyperlink" Id="rId120" Target="https://doi.org/10.1037/a0033722" TargetMode="External" /><Relationship Type="http://schemas.openxmlformats.org/officeDocument/2006/relationships/hyperlink" Id="rId195" Target="https://doi.org/10.1037/a0039036" TargetMode="External" /><Relationship Type="http://schemas.openxmlformats.org/officeDocument/2006/relationships/hyperlink" Id="rId137" Target="https://doi.org/10.1037/rev0000015" TargetMode="External" /><Relationship Type="http://schemas.openxmlformats.org/officeDocument/2006/relationships/hyperlink" Id="rId226" Target="https://doi.org/10.1037/rev0000132" TargetMode="External" /><Relationship Type="http://schemas.openxmlformats.org/officeDocument/2006/relationships/hyperlink" Id="rId128" Target="https://doi.org/10.1037/rev0000334" TargetMode="External" /><Relationship Type="http://schemas.openxmlformats.org/officeDocument/2006/relationships/hyperlink" Id="rId240" Target="https://doi.org/10.1037/rev0000505" TargetMode="External" /><Relationship Type="http://schemas.openxmlformats.org/officeDocument/2006/relationships/hyperlink" Id="rId189" Target="https://doi.org/10.1037/xge0000598" TargetMode="External" /><Relationship Type="http://schemas.openxmlformats.org/officeDocument/2006/relationships/hyperlink" Id="rId193" Target="https://doi.org/10.1037/xge0001354" TargetMode="External" /><Relationship Type="http://schemas.openxmlformats.org/officeDocument/2006/relationships/hyperlink" Id="rId162" Target="https://doi.org/10.1038/mp.2017.23" TargetMode="External" /><Relationship Type="http://schemas.openxmlformats.org/officeDocument/2006/relationships/hyperlink" Id="rId183" Target="https://doi.org/10.1038/nn.2271" TargetMode="External" /><Relationship Type="http://schemas.openxmlformats.org/officeDocument/2006/relationships/hyperlink" Id="rId216" Target="https://doi.org/10.1038/s41380-023-02062-7" TargetMode="External" /><Relationship Type="http://schemas.openxmlformats.org/officeDocument/2006/relationships/hyperlink" Id="rId164" Target="https://doi.org/10.1038/s41398-023-02578-0" TargetMode="External" /><Relationship Type="http://schemas.openxmlformats.org/officeDocument/2006/relationships/hyperlink" Id="rId204" Target="https://doi.org/10.1038/s41467-017-01184-1" TargetMode="External" /><Relationship Type="http://schemas.openxmlformats.org/officeDocument/2006/relationships/hyperlink" Id="rId234" Target="https://doi.org/10.1038/s41562-024-01956-y" TargetMode="External" /><Relationship Type="http://schemas.openxmlformats.org/officeDocument/2006/relationships/hyperlink" Id="rId160" Target="https://doi.org/10.1101/lm.1022308" TargetMode="External" /><Relationship Type="http://schemas.openxmlformats.org/officeDocument/2006/relationships/hyperlink" Id="rId218" Target="https://doi.org/10.1111/j.1467-9280.2005.01634.x" TargetMode="External" /><Relationship Type="http://schemas.openxmlformats.org/officeDocument/2006/relationships/hyperlink" Id="rId175" Target="https://doi.org/10.1146/annurev-psych-010418-103358" TargetMode="External" /><Relationship Type="http://schemas.openxmlformats.org/officeDocument/2006/relationships/hyperlink" Id="rId168" Target="https://doi.org/10.1177/0956797615583071" TargetMode="External" /><Relationship Type="http://schemas.openxmlformats.org/officeDocument/2006/relationships/hyperlink" Id="rId224" Target="https://doi.org/10.1177/0963721413498893" TargetMode="External" /><Relationship Type="http://schemas.openxmlformats.org/officeDocument/2006/relationships/hyperlink" Id="rId191" Target="https://doi.org/10.1177/2167702621998315" TargetMode="External" /><Relationship Type="http://schemas.openxmlformats.org/officeDocument/2006/relationships/hyperlink" Id="rId179" Target="https://doi.org/10.1186/s12916-024-03569-8" TargetMode="External" /><Relationship Type="http://schemas.openxmlformats.org/officeDocument/2006/relationships/hyperlink" Id="rId149" Target="https://doi.org/10.1371/journal.pone.0004153" TargetMode="External" /><Relationship Type="http://schemas.openxmlformats.org/officeDocument/2006/relationships/hyperlink" Id="rId151" Target="https://doi.org/10.1371/journal.pone.0013706" TargetMode="External" /><Relationship Type="http://schemas.openxmlformats.org/officeDocument/2006/relationships/hyperlink" Id="rId185" Target="https://doi.org/10.1523/JNEUROSCI.3378-14.2015" TargetMode="External" /><Relationship Type="http://schemas.openxmlformats.org/officeDocument/2006/relationships/hyperlink" Id="rId236" Target="https://doi.org/10.1525/collabra.130791" TargetMode="External" /><Relationship Type="http://schemas.openxmlformats.org/officeDocument/2006/relationships/hyperlink" Id="rId143" Target="https://doi.org/10.31234/osf.io/sm3fw" TargetMode="External" /><Relationship Type="http://schemas.openxmlformats.org/officeDocument/2006/relationships/hyperlink" Id="rId232" Target="https://doi.org/10.3758/MC.38.4.419" TargetMode="External" /><Relationship Type="http://schemas.openxmlformats.org/officeDocument/2006/relationships/hyperlink" Id="rId230" Target="https://doi.org/10.3758/bf03195864" TargetMode="External" /><Relationship Type="http://schemas.openxmlformats.org/officeDocument/2006/relationships/hyperlink" Id="rId139" Target="https://doi.org/10.3758/s13421-023-01453-z" TargetMode="External" /><Relationship Type="http://schemas.openxmlformats.org/officeDocument/2006/relationships/hyperlink" Id="rId220" Target="https://doi.org/10.3758/s13423-011-0086-9" TargetMode="External" /><Relationship Type="http://schemas.openxmlformats.org/officeDocument/2006/relationships/hyperlink" Id="rId197" Target="https://doi.org/10.3758/s13423-025-02744-z" TargetMode="External" /><Relationship Type="http://schemas.openxmlformats.org/officeDocument/2006/relationships/hyperlink" Id="rId172" Target="https://memory.psych.upenn.edu/files/pubs/JinEtal24.pdf" TargetMode="External" /><Relationship Type="http://schemas.openxmlformats.org/officeDocument/2006/relationships/hyperlink" Id="rId20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2026-07-03T04:06:30Z</dcterms:created>
  <dcterms:modified xsi:type="dcterms:W3CDTF">2026-07-03T04:06:30Z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