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demonstrating how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affective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affective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emotional-context drift rate</w:t>
            </w:r>
          </w:p>
        </w:tc>
        <w:tc>
          <w:tcPr/>
          <w:p>
            <w:pPr>
              <w:pStyle w:val="Compact"/>
            </w:pPr>
            <w:r>
              <w:t xml:space="preserve">Context drift in the emotional pathway</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emotional learning scale</w:t>
            </w:r>
          </w:p>
        </w:tc>
        <w:tc>
          <w:tcPr/>
          <w:p>
            <w:pPr>
              <w:pStyle w:val="Compact"/>
            </w:pPr>
            <w:r>
              <w:t xml:space="preserve">Emotional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This cue is not a separate retrieval system; it is the same feature-to-context operation applied to a supplied film item.</w:t>
      </w:r>
    </w:p>
    <w:bookmarkEnd w:id="49"/>
    <w:bookmarkStart w:id="53" w:name="affective-context"/>
    <w:p>
      <w:pPr>
        <w:pStyle w:val="Heading2"/>
      </w:pPr>
      <w:r>
        <w:t xml:space="preserve">Affective Context</w:t>
      </w:r>
    </w:p>
    <w:p>
      <w:pPr>
        <w:pStyle w:val="FirstParagraph"/>
      </w:pPr>
      <w:r>
        <w:t xml:space="preserve">The model also includes an affective-context pathway inherited from eCMR</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affective pathway allows the simulations to examine whether shared affective state can amplify competition; it does not make task affect the explanation of selective interference.</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The affective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affective 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Affective 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learned affective support is present, it contributes to the same context-to-feature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affective feature only in affective-overlap variants.</w:t>
      </w:r>
      <w:r>
        <w:t xml:space="preserve"> </w:t>
      </w:r>
      <w:r>
        <w:t xml:space="preserve">When film and task items share the marked affective feature and affective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6" w:name="simulations"/>
    <w:p>
      <w:pPr>
        <w:pStyle w:val="Heading1"/>
      </w:pPr>
      <w:r>
        <w:t xml:space="preserve">Simulations</w:t>
      </w:r>
    </w:p>
    <w:p>
      <w:pPr>
        <w:pStyle w:val="FirstParagraph"/>
      </w:pPr>
      <w:r>
        <w:t xml:space="preserve">The simulations evaluate the sufficiency of the model mechanisms specified above for producing selective interference.</w:t>
      </w:r>
      <w:r>
        <w:t xml:space="preserve"> </w:t>
      </w:r>
      <w:r>
        <w:t xml:space="preserve">Across simulations, film items, intervening non-film items, task items, and post-task filler items are encoded by the same CMR operations, and unguided retrieval and deliberate recall use the same competitive retrieval rule.</w:t>
      </w:r>
      <w:r>
        <w:t xml:space="preserve"> </w:t>
      </w:r>
      <w:r>
        <w:t xml:space="preserve">The simulations vary the conditions under which task items become competitors and the control settings that determine whether retrieval is guided toward film items.</w:t>
      </w:r>
      <w:r>
        <w:t xml:space="preserve"> </w:t>
      </w:r>
      <w:r>
        <w:t xml:space="preserve">Table</w:t>
      </w:r>
      <w:r>
        <w:t xml:space="preserve"> </w:t>
      </w:r>
      <w:hyperlink w:anchor="tbl-simulated-design">
        <w:r>
          <w:rPr>
            <w:rStyle w:val="Hyperlink"/>
          </w:rPr>
          <w:t xml:space="preserve">Table 2</w:t>
        </w:r>
      </w:hyperlink>
      <w:r>
        <w:t xml:space="preserve"> </w:t>
      </w:r>
      <w:r>
        <w:t xml:space="preserve">summarizes the design components used to instantiate these contrasts.</w:t>
      </w:r>
    </w:p>
    <w:bookmarkStart w:id="55" w:name="tbl-simulated-design"/>
    <w:p>
      <w:pPr>
        <w:pStyle w:val="FigureTitle"/>
      </w:pPr>
      <w:r>
        <w:t xml:space="preserve">Table 2</w:t>
      </w:r>
    </w:p>
    <w:p>
      <w:pPr>
        <w:pStyle w:val="Caption"/>
      </w:pPr>
      <w:r>
        <w:t xml:space="preserve">Simulation design components.</w:t>
      </w:r>
      <w:r>
        <w:t xml:space="preserve"> </w:t>
      </w:r>
      <w:r>
        <w:t xml:space="preserve">The table summarizes how the simulation contrasts map onto model-level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component</w:t>
            </w:r>
          </w:p>
        </w:tc>
        <w:tc>
          <w:tcPr/>
          <w:p>
            <w:pPr>
              <w:pStyle w:val="Compact"/>
            </w:pPr>
            <w:r>
              <w:t xml:space="preserve">Variants</w:t>
            </w:r>
          </w:p>
        </w:tc>
        <w:tc>
          <w:tcPr/>
          <w:p>
            <w:pPr>
              <w:pStyle w:val="Compact"/>
            </w:pPr>
            <w:r>
              <w:t xml:space="preserve">Model role</w:t>
            </w:r>
          </w:p>
        </w:tc>
      </w:tr>
      <w:tr>
        <w:tc>
          <w:tcPr/>
          <w:p>
            <w:pPr>
              <w:pStyle w:val="Compact"/>
            </w:pPr>
            <w:r>
              <w:t xml:space="preserve">Film/clip items</w:t>
            </w:r>
          </w:p>
        </w:tc>
        <w:tc>
          <w:tcPr/>
          <w:p>
            <w:pPr>
              <w:pStyle w:val="Compact"/>
            </w:pPr>
            <w:r>
              <w:t xml:space="preserve">Trauma/affective or neutral target clips</w:t>
            </w:r>
          </w:p>
        </w:tc>
        <w:tc>
          <w:tcPr/>
          <w:p>
            <w:pPr>
              <w:pStyle w:val="Compact"/>
            </w:pPr>
            <w:r>
              <w:t xml:space="preserve">Film items are the target episode whose later access is measured; affective marking is enabled only for affective-overlap variants.</w:t>
            </w:r>
          </w:p>
        </w:tc>
      </w:tr>
      <w:tr>
        <w:tc>
          <w:tcPr/>
          <w:p>
            <w:pPr>
              <w:pStyle w:val="Compact"/>
            </w:pPr>
            <w:r>
              <w:t xml:space="preserve">Task condition</w:t>
            </w:r>
          </w:p>
        </w:tc>
        <w:tc>
          <w:tcPr/>
          <w:p>
            <w:pPr>
              <w:pStyle w:val="Compact"/>
            </w:pPr>
            <w:r>
              <w:t xml:space="preserve">Visuospatial interference task or comparison task</w:t>
            </w:r>
          </w:p>
        </w:tc>
        <w:tc>
          <w:tcPr/>
          <w:p>
            <w:pPr>
              <w:pStyle w:val="Compact"/>
            </w:pPr>
            <w:r>
              <w:t xml:space="preserve">Task items are potential competitors encoded after film encoding or reminder reinstatement; task learning strength indexes how strongly they compete once cued.</w:t>
            </w:r>
          </w:p>
        </w:tc>
      </w:tr>
      <w:tr>
        <w:tc>
          <w:tcPr/>
          <w:p>
            <w:pPr>
              <w:pStyle w:val="Compact"/>
            </w:pPr>
            <w:r>
              <w:t xml:space="preserve">Affective overlap</w:t>
            </w:r>
          </w:p>
        </w:tc>
        <w:tc>
          <w:tcPr/>
          <w:p>
            <w:pPr>
              <w:pStyle w:val="Compact"/>
            </w:pPr>
            <w:r>
              <w:t xml:space="preserve">Film-only marking or shared film-task marking</w:t>
            </w:r>
          </w:p>
        </w:tc>
        <w:tc>
          <w:tcPr/>
          <w:p>
            <w:pPr>
              <w:pStyle w:val="Compact"/>
            </w:pPr>
            <w:r>
              <w:t xml:space="preserve">Varies whether shared affective state amplifies task competition.</w:t>
            </w:r>
          </w:p>
        </w:tc>
      </w:tr>
      <w:tr>
        <w:tc>
          <w:tcPr/>
          <w:p>
            <w:pPr>
              <w:pStyle w:val="Compact"/>
            </w:pPr>
            <w:r>
              <w:t xml:space="preserve">Timing/reinstatement</w:t>
            </w:r>
          </w:p>
        </w:tc>
        <w:tc>
          <w:tcPr/>
          <w:p>
            <w:pPr>
              <w:pStyle w:val="Compact"/>
            </w:pPr>
            <w:r>
              <w:t xml:space="preserve">Immediate post-film task or delayed post-reminder task</w:t>
            </w:r>
          </w:p>
        </w:tc>
        <w:tc>
          <w:tcPr/>
          <w:p>
            <w:pPr>
              <w:pStyle w:val="Compact"/>
            </w:pPr>
            <w:r>
              <w:t xml:space="preserve">Varies whether delayed reminders increase overlap by reinstating film-associated context before task encoding.</w:t>
            </w:r>
          </w:p>
        </w:tc>
      </w:tr>
      <w:tr>
        <w:tc>
          <w:tcPr/>
          <w:p>
            <w:pPr>
              <w:pStyle w:val="Compact"/>
            </w:pPr>
            <w:r>
              <w:t xml:space="preserve">Buffer/filler experience</w:t>
            </w:r>
          </w:p>
        </w:tc>
        <w:tc>
          <w:tcPr/>
          <w:p>
            <w:pPr>
              <w:pStyle w:val="Compact"/>
            </w:pPr>
            <w:r>
              <w:t xml:space="preserve">Pre-reminder buffer and post-task filler</w:t>
            </w:r>
          </w:p>
        </w:tc>
        <w:tc>
          <w:tcPr/>
          <w:p>
            <w:pPr>
              <w:pStyle w:val="Compact"/>
            </w:pPr>
            <w:r>
              <w:t xml:space="preserve">Moves context away from film and adds non-film items that can enter retrieval competition.</w:t>
            </w:r>
          </w:p>
        </w:tc>
      </w:tr>
      <w:tr>
        <w:tc>
          <w:tcPr/>
          <w:p>
            <w:pPr>
              <w:pStyle w:val="Compact"/>
            </w:pPr>
            <w:r>
              <w:t xml:space="preserve">Retrieval mode</w:t>
            </w:r>
          </w:p>
        </w:tc>
        <w:tc>
          <w:tcPr/>
          <w:p>
            <w:pPr>
              <w:pStyle w:val="Compact"/>
            </w:pPr>
            <w:r>
              <w:t xml:space="preserve">Unguided retrieval or deliberate recall</w:t>
            </w:r>
          </w:p>
        </w:tc>
        <w:tc>
          <w:tcPr/>
          <w:p>
            <w:pPr>
              <w:pStyle w:val="Compact"/>
            </w:pPr>
            <w:r>
              <w:t xml:space="preserve">Varies whether film-directed control protects voluntary access within the same retrieval architecture.</w:t>
            </w:r>
          </w:p>
        </w:tc>
      </w:tr>
    </w:tbl>
    <w:bookmarkEnd w:id="55"/>
    <w:p>
      <w:pPr>
        <w:pStyle w:val="AfterWithoutNote"/>
      </w:pPr>
      <w:r>
        <w:t xml:space="preserve">In delayed/post-reminder simulations, the reminder is implemented as two context-updating operations.</w:t>
      </w:r>
      <w:r>
        <w:t xml:space="preserve"> </w:t>
      </w:r>
      <w:r>
        <w:t xml:space="preserve">After the pre-reminder buffer, context first drifts toward the start state.</w:t>
      </w:r>
      <w:r>
        <w:t xml:space="preserve"> </w:t>
      </w:r>
      <w:r>
        <w:t xml:space="preserve">The model then applies film-item reminder cues sequentially, using</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 a reminder-cue drift rate lower than encoding drift.</w:t>
      </w:r>
      <w:r>
        <w:t xml:space="preserve"> </w:t>
      </w:r>
      <w:r>
        <w:t xml:space="preserve">This lower drift rate represents the assumption that brief reminder images provide weaker contextual evidence than full film-item presentations.</w:t>
      </w:r>
      <w:r>
        <w:t xml:space="preserve"> </w:t>
      </w:r>
      <w:r>
        <w:t xml:space="preserve">Reminder cues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r>
        <w:t xml:space="preserve">The immediate variant omits the structured pre-reminder buffer and reminder operations, placing the task phase directly after film encoding.</w:t>
      </w:r>
    </w:p>
    <w:p>
      <w:pPr>
        <w:pStyle w:val="BodyText"/>
      </w:pPr>
      <w:r>
        <w:t xml:space="preserve">Across simulations, task-learning settings manipulate competitor strength, drift and reminder settings manipulate contextual overlap, retrieval-control settings manipulate film-directed access, and affective marking manipulates shared affective state.</w:t>
      </w:r>
      <w:r>
        <w:t xml:space="preserve"> </w:t>
      </w:r>
      <w:r>
        <w:t xml:space="preserve">Fixed settings for buffer and filler phases are treated as simulation configuration rather than as additional model mechanisms.</w:t>
      </w:r>
    </w:p>
    <w:p>
      <w:pPr>
        <w:pStyle w:val="BodyText"/>
      </w:pPr>
      <w:r>
        <w:t xml:space="preserve">The simulation sequence first establishes the memory-side mechanism by showing how task competition and contextual overlap reduce film-item access.</w:t>
      </w:r>
      <w:r>
        <w:t xml:space="preserve"> </w:t>
      </w:r>
      <w:r>
        <w:t xml:space="preserve">It then examines whether retrieval mode turns that memory-side effect into the selective-interference dissociation.</w:t>
      </w:r>
      <w:r>
        <w:t xml:space="preserve"> </w:t>
      </w:r>
      <w:r>
        <w:t xml:space="preserve">The remaining simulations decompose deliberate-recall control and examine boundary conditions involving reminder timing, task specificity, affective overlap, and cue support.</w:t>
      </w:r>
    </w:p>
    <w:bookmarkStart w:id="60" w:name="Xbcb1a978e991f364bff6939060eaf7762ee0e94"/>
    <w:p>
      <w:pPr>
        <w:pStyle w:val="Heading2"/>
      </w:pPr>
      <w:r>
        <w:t xml:space="preserve">Simulation 1: Task Competition and Contextual Overlap</w:t>
      </w:r>
    </w:p>
    <w:p>
      <w:pPr>
        <w:pStyle w:val="FirstParagraph"/>
      </w:pPr>
      <w:r>
        <w:t xml:space="preserve">Simulation 1 asks whether task items can interfere with film recall before any retrieval-mode contrast is introduced.</w:t>
      </w:r>
      <w:r>
        <w:t xml:space="preserve"> </w:t>
      </w:r>
      <w:r>
        <w:t xml:space="preserve">The simulation varies task context-to-feature learning strength and crosses this manipulation with whether a film reminder reinstates film-associated context before task encoding.</w:t>
      </w:r>
      <w:r>
        <w:t xml:space="preserve"> </w:t>
      </w:r>
      <w:r>
        <w:t xml:space="preserve">Task learning strength controls how much support task items receive once they are cued.</w:t>
      </w:r>
      <w:r>
        <w:t xml:space="preserve"> </w:t>
      </w:r>
      <w:r>
        <w:t xml:space="preserve">Because the no-reminder branch still includes the break/buffer before task encoding, the active context has drifted away from film-associated states by the time task items are encoded; in the reminder branch, reminder cues first reinstate film-associated context.</w:t>
      </w:r>
      <w:r>
        <w:t xml:space="preserve"> </w:t>
      </w:r>
      <w:r>
        <w:t xml:space="preserve">Retrieval settings are held fixed, so the simulation does not yet address the intrusion-voluntary-memory dissociation.</w:t>
      </w:r>
      <w:r>
        <w:t xml:space="preserve"> </w:t>
      </w:r>
      <w:r>
        <w:t xml:space="preserve">Its purpose is to establish the stored-association conditions under which distinct task items become effective competitors for film recall.</w:t>
      </w:r>
    </w:p>
    <w:bookmarkStart w:id="59"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film-context reinstatement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This behavioral contrast follows from the context trace: reminder cues make the context states active during task encoding more similar to the states associated with film items.</w:t>
      </w:r>
      <w:r>
        <w:t xml:space="preserve"> </w:t>
      </w:r>
      <w:r>
        <w:rPr>
          <w:b/>
          <w:bCs/>
        </w:rPr>
        <w:t xml:space="preserve">(D)</w:t>
      </w:r>
      <w:r>
        <w:t xml:space="preserve"> </w:t>
      </w:r>
      <w:r>
        <w:t xml:space="preserve">When the model is cued with film context, stronger task encoding assigns a larger share of item support to task items, especially after a film reminder.</w:t>
      </w:r>
    </w:p>
    <w:p>
      <w:pPr>
        <w:pStyle w:val="FigureWithoutNote"/>
      </w:pPr>
      <w:r>
        <w:drawing>
          <wp:inline>
            <wp:extent cx="5943600" cy="3645598"/>
            <wp:effectExtent b="0" l="0" r="0" t="0"/>
            <wp:docPr descr="" title="" id="57" name="Picture"/>
            <a:graphic>
              <a:graphicData uri="http://schemas.openxmlformats.org/drawingml/2006/picture">
                <pic:pic>
                  <pic:nvPicPr>
                    <pic:cNvPr descr="figures/simulation1_context_binding.png" id="58" name="Picture"/>
                    <pic:cNvPicPr>
                      <a:picLocks noChangeArrowheads="1" noChangeAspect="1"/>
                    </pic:cNvPicPr>
                  </pic:nvPicPr>
                  <pic:blipFill>
                    <a:blip r:embed="rId56"/>
                    <a:stretch>
                      <a:fillRect/>
                    </a:stretch>
                  </pic:blipFill>
                  <pic:spPr bwMode="auto">
                    <a:xfrm>
                      <a:off x="0" y="0"/>
                      <a:ext cx="5943600" cy="3645598"/>
                    </a:xfrm>
                    <a:prstGeom prst="rect">
                      <a:avLst/>
                    </a:prstGeom>
                    <a:noFill/>
                    <a:ln w="9525">
                      <a:noFill/>
                      <a:headEnd/>
                      <a:tailEnd/>
                    </a:ln>
                  </pic:spPr>
                </pic:pic>
              </a:graphicData>
            </a:graphic>
          </wp:inline>
        </w:drawing>
      </w:r>
    </w:p>
    <w:bookmarkEnd w:id="59"/>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reminder branch therefore shows that task strength matters most when task items are associated with film-relevant context states.</w:t>
      </w:r>
      <w:r>
        <w:t xml:space="preserve"> </w:t>
      </w:r>
      <w:r>
        <w:t xml:space="preserve">The serial-position curves also show that the effect is not uniform across film positions: early film recall remains relatively protected under the current settings compared with later film positions.</w:t>
      </w:r>
    </w:p>
    <w:p>
      <w:pPr>
        <w:pStyle w:val="BodyText"/>
      </w:pPr>
      <w:r>
        <w:t xml:space="preserve">Panels C and D are model-internal diagnostics rather than additional recall outcomes.</w:t>
      </w:r>
      <w:r>
        <w:t xml:space="preserve"> </w:t>
      </w:r>
      <w:r>
        <w:t xml:space="preserve">Panel C diagnoses temporal-context similarity between the states associated with film items and the states active during task encoding.</w:t>
      </w:r>
      <w:r>
        <w:t xml:space="preserve"> </w:t>
      </w:r>
      <w:r>
        <w:t xml:space="preserve">Panel D diagnoses support allocation from a film-context cue: as task learning increases, task items receive a larger share of item support, especially after the film reminder.</w:t>
      </w:r>
      <w:r>
        <w:t xml:space="preserve"> </w:t>
      </w:r>
      <w:r>
        <w:t xml:space="preserve">The resulting impairment is therefore not a weakening of film-item storage.</w:t>
      </w:r>
      <w:r>
        <w:t xml:space="preserve"> </w:t>
      </w:r>
      <w:r>
        <w:t xml:space="preserve">It is an additive competition effect in which task items remain distinct from film items but become increasingly likely to win retrieval from film-relevant cues.</w:t>
      </w:r>
      <w:r>
        <w:t xml:space="preserve"> </w:t>
      </w:r>
      <w:r>
        <w:t xml:space="preserve">Simulation 2 asks whether retrieval mode and film-directed control turn this stored competition into a selective-interference pattern.</w:t>
      </w:r>
    </w:p>
    <w:bookmarkEnd w:id="60"/>
    <w:bookmarkStart w:id="61" w:name="X37494a7d56ca7a31ce1e7ad5f2ef7cfc35c42b4"/>
    <w:p>
      <w:pPr>
        <w:pStyle w:val="Heading2"/>
      </w:pPr>
      <w:r>
        <w:t xml:space="preserve">Simulation 2: Retrieval Mode and Selective Interference</w:t>
      </w:r>
    </w:p>
    <w:p>
      <w:pPr>
        <w:pStyle w:val="FirstParagraph"/>
      </w:pPr>
      <w:r>
        <w:t xml:space="preserve">Premise: Given stored film and task associations capable of producing competition, the second simulation asks whether unguided retrieval is more impaired than deliberate recall.</w:t>
      </w:r>
      <w:r>
        <w:t xml:space="preserve"> </w:t>
      </w:r>
      <w:r>
        <w:t xml:space="preserve">The section should compare weak or absent task competition with strong task competition under unguided retrieval and deliberate recall.</w:t>
      </w:r>
      <w:r>
        <w:t xml:space="preserve"> </w:t>
      </w:r>
      <w:r>
        <w:t xml:space="preserve">This is the first direct simulation of the selective-interference dissociation between intrusion-like access and voluntary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dissociation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3 can still isolate the separate control mechanisms.</w:t>
      </w:r>
    </w:p>
    <w:bookmarkEnd w:id="61"/>
    <w:bookmarkStart w:id="62" w:name="Xbe670664f0616e2f4bf355deaa2d454398f6d2b"/>
    <w:p>
      <w:pPr>
        <w:pStyle w:val="Heading2"/>
      </w:pPr>
      <w:r>
        <w:t xml:space="preserve">Simulation 3: Deliberate-Recall Control Mechanisms</w:t>
      </w:r>
    </w:p>
    <w:p>
      <w:pPr>
        <w:pStyle w:val="FirstParagraph"/>
      </w:pPr>
      <w:r>
        <w:t xml:space="preserve">Premise: After Simulation 2 establishes relative protection for deliberate recall, this simulation asks which control settings produce that protection.</w:t>
      </w:r>
      <w:r>
        <w:t xml:space="preserve"> </w:t>
      </w:r>
      <w:r>
        <w:t xml:space="preserve">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62"/>
    <w:bookmarkStart w:id="63" w:name="X4e2c45a43ed3089f632b0e88f82303adf550a66"/>
    <w:p>
      <w:pPr>
        <w:pStyle w:val="Heading2"/>
      </w:pPr>
      <w:r>
        <w:t xml:space="preserve">Simulation 4: Reminder and Timing Boundary Conditions</w:t>
      </w:r>
    </w:p>
    <w:p>
      <w:pPr>
        <w:pStyle w:val="FirstParagraph"/>
      </w:pPr>
      <w:r>
        <w:t xml:space="preserve">Premise: After Simulation 1 shows that reminder presence increases task competition, this simulation asks how delayed interference depends on graded reinstatement and drift.</w:t>
      </w:r>
      <w:r>
        <w:t xml:space="preserve"> </w:t>
      </w:r>
      <w:r>
        <w:t xml:space="preserve">The delayed-reminder case applies the overlap mechanism after context has moved away from the film.</w:t>
      </w:r>
      <w:r>
        <w:t xml:space="preserve"> </w:t>
      </w:r>
      <w:r>
        <w:t xml:space="preserve">A reminder reinstates film-associated context before task encoding by first shifting toward start context and then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r>
        <w:t xml:space="preserve"> </w:t>
      </w:r>
      <w:r>
        <w:t xml:space="preserve">Task-competitor retrieval should remain visible enough to show whether boundary-condition effects operate through competitor recruitment.</w:t>
      </w:r>
    </w:p>
    <w:p>
      <w:pPr>
        <w:pStyle w:val="BodyText"/>
      </w:pPr>
      <w:r>
        <w:t xml:space="preserve">Intended text take-away: This section connects the model to post-reminder interventions.</w:t>
      </w:r>
      <w:r>
        <w:t xml:space="preserve"> </w:t>
      </w:r>
      <w:r>
        <w:t xml:space="preserve">Delayed effects depend on graded reinstatement and drift, rather than an all-or-none storage-disruption window.</w:t>
      </w:r>
      <w:r>
        <w:t xml:space="preserve"> </w:t>
      </w:r>
      <w:r>
        <w:t xml:space="preserve">The reminder restores the contextual condition required for later task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r>
        <w:t xml:space="preserve"> </w:t>
      </w:r>
      <w:r>
        <w:t xml:space="preserve">Decide whether immediate interference remains a baseline within this section or is treated as the contrast condition established in Simulation 1.</w:t>
      </w:r>
    </w:p>
    <w:bookmarkEnd w:id="63"/>
    <w:bookmarkStart w:id="64" w:name="X8f13dd31699f6be4bb876276554fb91bb4e3a48"/>
    <w:p>
      <w:pPr>
        <w:pStyle w:val="Heading2"/>
      </w:pPr>
      <w:r>
        <w:t xml:space="preserve">Simulation 5: Task Specificity and Affective Overlap</w:t>
      </w:r>
    </w:p>
    <w:p>
      <w:pPr>
        <w:pStyle w:val="FirstParagraph"/>
      </w:pPr>
      <w:r>
        <w:t xml:space="preserve">Premise: This simulation asks what makes a visuospatial task effective in model terms.</w:t>
      </w:r>
      <w:r>
        <w:t xml:space="preserve"> </w:t>
      </w:r>
      <w:r>
        <w:t xml:space="preserve">Competitor strength is one route by which task items become effective competitors.</w:t>
      </w:r>
      <w:r>
        <w:t xml:space="preserve"> </w:t>
      </w:r>
      <w:r>
        <w:t xml:space="preserve">Contextual and affective overlap can amplify that competition when task items are cued alongside film items.</w:t>
      </w:r>
      <w:r>
        <w:t xml:space="preserve"> </w:t>
      </w:r>
      <w:r>
        <w:t xml:space="preserve">This section should distinguish model-level task properties from the surface label of a task as visuospatial.</w:t>
      </w:r>
    </w:p>
    <w:p>
      <w:pPr>
        <w:pStyle w:val="BodyText"/>
      </w:pPr>
      <w:r>
        <w:t xml:space="preserve">Primary readouts: The figure should show film-item access and task-competitor retrieval under task-strength and affective-overlap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contextual overlap, affective overlap, or their combination.</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Decide whether affective overlap is a main simulation or a sensitivity analysis.</w:t>
      </w:r>
      <w:r>
        <w:t xml:space="preserve"> </w:t>
      </w:r>
      <w:r>
        <w:t xml:space="preserve">Decide whether comparison-task conditions are best represented as weak task learning, lower overlap, lower affective overlap, or a particular combination tied to an empirical contrast.</w:t>
      </w:r>
    </w:p>
    <w:bookmarkEnd w:id="64"/>
    <w:bookmarkStart w:id="65" w:name="X34b78819c3c9c63aaecccc23d6b34f0539f8200"/>
    <w:p>
      <w:pPr>
        <w:pStyle w:val="Heading2"/>
      </w:pPr>
      <w:r>
        <w:t xml:space="preserve">Simulation 6: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65"/>
    <w:bookmarkEnd w:id="66"/>
    <w:bookmarkStart w:id="67" w:name="general-discussion"/>
    <w:p>
      <w:pPr>
        <w:pStyle w:val="Heading1"/>
      </w:pPr>
      <w:r>
        <w:t xml:space="preserve">General Discussion</w:t>
      </w:r>
    </w:p>
    <w:bookmarkEnd w:id="67"/>
    <w:bookmarkStart w:id="138" w:name="references"/>
    <w:p>
      <w:pPr>
        <w:pStyle w:val="Heading1"/>
      </w:pPr>
      <w:r>
        <w:t xml:space="preserve">References</w:t>
      </w:r>
    </w:p>
    <w:bookmarkStart w:id="137" w:name="refs"/>
    <w:bookmarkStart w:id="6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8">
        <w:r>
          <w:rPr>
            <w:rStyle w:val="Hyperlink"/>
          </w:rPr>
          <w:t xml:space="preserve">https://doi.org/10.1016/j.jpsychires.2023.01.028</w:t>
        </w:r>
      </w:hyperlink>
    </w:p>
    <w:bookmarkEnd w:id="69"/>
    <w:bookmarkStart w:id="7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0">
        <w:r>
          <w:rPr>
            <w:rStyle w:val="Hyperlink"/>
          </w:rPr>
          <w:t xml:space="preserve">https://doi.org/10.1037/a0033722</w:t>
        </w:r>
      </w:hyperlink>
    </w:p>
    <w:bookmarkEnd w:id="71"/>
    <w:bookmarkStart w:id="7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2">
        <w:r>
          <w:rPr>
            <w:rStyle w:val="Hyperlink"/>
          </w:rPr>
          <w:t xml:space="preserve">https://doi.org/10.1037/0033-295X.103.4.670</w:t>
        </w:r>
      </w:hyperlink>
    </w:p>
    <w:bookmarkEnd w:id="73"/>
    <w:bookmarkStart w:id="7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4">
        <w:r>
          <w:rPr>
            <w:rStyle w:val="Hyperlink"/>
          </w:rPr>
          <w:t xml:space="preserve">https://doi.org/10.1037/a0018113</w:t>
        </w:r>
      </w:hyperlink>
    </w:p>
    <w:bookmarkEnd w:id="75"/>
    <w:bookmarkStart w:id="7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6">
        <w:r>
          <w:rPr>
            <w:rStyle w:val="Hyperlink"/>
          </w:rPr>
          <w:t xml:space="preserve">https://doi.org/10.1037/rev0000334</w:t>
        </w:r>
      </w:hyperlink>
    </w:p>
    <w:bookmarkEnd w:id="77"/>
    <w:bookmarkStart w:id="7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8">
        <w:r>
          <w:rPr>
            <w:rStyle w:val="Hyperlink"/>
          </w:rPr>
          <w:t xml:space="preserve">https://doi.org/10.1016/j.jbtep.2011.10.008</w:t>
        </w:r>
      </w:hyperlink>
    </w:p>
    <w:bookmarkEnd w:id="79"/>
    <w:bookmarkStart w:id="8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0"/>
    <w:bookmarkStart w:id="8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1">
        <w:r>
          <w:rPr>
            <w:rStyle w:val="Hyperlink"/>
          </w:rPr>
          <w:t xml:space="preserve">https://doi.org/10.1016/S0005-7967(99)00123-0</w:t>
        </w:r>
      </w:hyperlink>
    </w:p>
    <w:bookmarkEnd w:id="82"/>
    <w:bookmarkStart w:id="84"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3">
        <w:r>
          <w:rPr>
            <w:rStyle w:val="Hyperlink"/>
          </w:rPr>
          <w:t xml:space="preserve">https://doi.org/10.1016/j.actpsy.2007.11.002</w:t>
        </w:r>
      </w:hyperlink>
    </w:p>
    <w:bookmarkEnd w:id="84"/>
    <w:bookmarkStart w:id="86"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5">
        <w:r>
          <w:rPr>
            <w:rStyle w:val="Hyperlink"/>
          </w:rPr>
          <w:t xml:space="preserve">https://doi.org/10.1037/0096-3445.133.1.3</w:t>
        </w:r>
      </w:hyperlink>
    </w:p>
    <w:bookmarkEnd w:id="86"/>
    <w:bookmarkStart w:id="88"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7">
        <w:r>
          <w:rPr>
            <w:rStyle w:val="Hyperlink"/>
          </w:rPr>
          <w:t xml:space="preserve">https://doi.org/10.1371/journal.pone.0004153</w:t>
        </w:r>
      </w:hyperlink>
    </w:p>
    <w:bookmarkEnd w:id="88"/>
    <w:bookmarkStart w:id="90"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89">
        <w:r>
          <w:rPr>
            <w:rStyle w:val="Hyperlink"/>
          </w:rPr>
          <w:t xml:space="preserve">https://doi.org/10.1371/journal.pone.0013706</w:t>
        </w:r>
      </w:hyperlink>
    </w:p>
    <w:bookmarkEnd w:id="90"/>
    <w:bookmarkStart w:id="92"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1">
        <w:r>
          <w:rPr>
            <w:rStyle w:val="Hyperlink"/>
          </w:rPr>
          <w:t xml:space="preserve">https://doi.org/10.1016/j.brat.2017.03.018</w:t>
        </w:r>
      </w:hyperlink>
    </w:p>
    <w:bookmarkEnd w:id="92"/>
    <w:bookmarkStart w:id="9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3">
        <w:r>
          <w:rPr>
            <w:rStyle w:val="Hyperlink"/>
          </w:rPr>
          <w:t xml:space="preserve">https://doi.org/10.1006/jmps.2001.1388</w:t>
        </w:r>
      </w:hyperlink>
    </w:p>
    <w:bookmarkEnd w:id="94"/>
    <w:bookmarkStart w:id="95"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5"/>
    <w:bookmarkStart w:id="9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6">
        <w:r>
          <w:rPr>
            <w:rStyle w:val="Hyperlink"/>
          </w:rPr>
          <w:t xml:space="preserve">https://doi.org/10.1038/mp.2017.23</w:t>
        </w:r>
      </w:hyperlink>
    </w:p>
    <w:bookmarkEnd w:id="97"/>
    <w:bookmarkStart w:id="9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8">
        <w:r>
          <w:rPr>
            <w:rStyle w:val="Hyperlink"/>
          </w:rPr>
          <w:t xml:space="preserve">https://doi.org/10.1016/j.cpr.2018.08.005</w:t>
        </w:r>
      </w:hyperlink>
    </w:p>
    <w:bookmarkEnd w:id="99"/>
    <w:bookmarkStart w:id="10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0">
        <w:r>
          <w:rPr>
            <w:rStyle w:val="Hyperlink"/>
          </w:rPr>
          <w:t xml:space="preserve">https://doi.org/10.1177/0956797615583071</w:t>
        </w:r>
      </w:hyperlink>
    </w:p>
    <w:bookmarkEnd w:id="101"/>
    <w:bookmarkStart w:id="10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2">
        <w:r>
          <w:rPr>
            <w:rStyle w:val="Hyperlink"/>
          </w:rPr>
          <w:t xml:space="preserve">https://doi.org/10.1016/j.cpr.2016.04.010</w:t>
        </w:r>
      </w:hyperlink>
    </w:p>
    <w:bookmarkEnd w:id="103"/>
    <w:bookmarkStart w:id="10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4"/>
    <w:bookmarkStart w:id="10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5">
        <w:r>
          <w:rPr>
            <w:rStyle w:val="Hyperlink"/>
          </w:rPr>
          <w:t xml:space="preserve">https://doi.org/10.1002/cpp.2489</w:t>
        </w:r>
      </w:hyperlink>
    </w:p>
    <w:bookmarkEnd w:id="106"/>
    <w:bookmarkStart w:id="108"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7">
        <w:r>
          <w:rPr>
            <w:rStyle w:val="Hyperlink"/>
          </w:rPr>
          <w:t xml:space="preserve">https://doi.org/10.1016/j.jbtep.2019.01.006</w:t>
        </w:r>
      </w:hyperlink>
    </w:p>
    <w:bookmarkEnd w:id="108"/>
    <w:bookmarkStart w:id="110"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09">
        <w:r>
          <w:rPr>
            <w:rStyle w:val="Hyperlink"/>
          </w:rPr>
          <w:t xml:space="preserve">https://doi.org/10.1038/nn.2271</w:t>
        </w:r>
      </w:hyperlink>
    </w:p>
    <w:bookmarkEnd w:id="110"/>
    <w:bookmarkStart w:id="11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1">
        <w:r>
          <w:rPr>
            <w:rStyle w:val="Hyperlink"/>
          </w:rPr>
          <w:t xml:space="preserve">https://doi.org/10.1002/acp.1611</w:t>
        </w:r>
      </w:hyperlink>
    </w:p>
    <w:bookmarkEnd w:id="112"/>
    <w:bookmarkStart w:id="11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3">
        <w:r>
          <w:rPr>
            <w:rStyle w:val="Hyperlink"/>
          </w:rPr>
          <w:t xml:space="preserve">https://doi.org/10.1037/xge0000598</w:t>
        </w:r>
      </w:hyperlink>
    </w:p>
    <w:bookmarkEnd w:id="114"/>
    <w:bookmarkStart w:id="11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5">
        <w:r>
          <w:rPr>
            <w:rStyle w:val="Hyperlink"/>
          </w:rPr>
          <w:t xml:space="preserve">https://doi.org/10.1177/2167702621998315</w:t>
        </w:r>
      </w:hyperlink>
    </w:p>
    <w:bookmarkEnd w:id="116"/>
    <w:bookmarkStart w:id="11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7">
        <w:r>
          <w:rPr>
            <w:rStyle w:val="Hyperlink"/>
          </w:rPr>
          <w:t xml:space="preserve">https://doi.org/10.1037/a0039036</w:t>
        </w:r>
      </w:hyperlink>
    </w:p>
    <w:bookmarkEnd w:id="118"/>
    <w:bookmarkStart w:id="120"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19">
        <w:r>
          <w:rPr>
            <w:rStyle w:val="Hyperlink"/>
          </w:rPr>
          <w:t xml:space="preserve">https://doi.org/10.1037/a0014420</w:t>
        </w:r>
      </w:hyperlink>
    </w:p>
    <w:bookmarkEnd w:id="120"/>
    <w:bookmarkStart w:id="122"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1">
        <w:r>
          <w:rPr>
            <w:rStyle w:val="Hyperlink"/>
          </w:rPr>
          <w:t xml:space="preserve">https://doi.org/10.1016/j.neuropsychologia.2009.02.013</w:t>
        </w:r>
      </w:hyperlink>
    </w:p>
    <w:bookmarkEnd w:id="122"/>
    <w:bookmarkStart w:id="124"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3">
        <w:r>
          <w:rPr>
            <w:rStyle w:val="Hyperlink"/>
          </w:rPr>
          <w:t xml:space="preserve">https://doi.org/10.3758/s13423-011-0086-9</w:t>
        </w:r>
      </w:hyperlink>
    </w:p>
    <w:bookmarkEnd w:id="124"/>
    <w:bookmarkStart w:id="12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5">
        <w:r>
          <w:rPr>
            <w:rStyle w:val="Hyperlink"/>
          </w:rPr>
          <w:t xml:space="preserve">https://doi.org/10.1037/a0013396</w:t>
        </w:r>
      </w:hyperlink>
    </w:p>
    <w:bookmarkEnd w:id="126"/>
    <w:bookmarkStart w:id="1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7">
        <w:r>
          <w:rPr>
            <w:rStyle w:val="Hyperlink"/>
          </w:rPr>
          <w:t xml:space="preserve">https://doi.org/10.1037/rev0000132</w:t>
        </w:r>
      </w:hyperlink>
    </w:p>
    <w:bookmarkEnd w:id="128"/>
    <w:bookmarkStart w:id="13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29">
        <w:r>
          <w:rPr>
            <w:rStyle w:val="Hyperlink"/>
          </w:rPr>
          <w:t xml:space="preserve">https://doi.org/10.1038/s41562-024-01956-y</w:t>
        </w:r>
      </w:hyperlink>
    </w:p>
    <w:bookmarkEnd w:id="130"/>
    <w:bookmarkStart w:id="13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1">
        <w:r>
          <w:rPr>
            <w:rStyle w:val="Hyperlink"/>
          </w:rPr>
          <w:t xml:space="preserve">https://doi.org/10.1525/collabra.130791</w:t>
        </w:r>
      </w:hyperlink>
    </w:p>
    <w:bookmarkEnd w:id="132"/>
    <w:bookmarkStart w:id="13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3">
        <w:r>
          <w:rPr>
            <w:rStyle w:val="Hyperlink"/>
          </w:rPr>
          <w:t xml:space="preserve">https://doi.org/10.1038/s41583-019-0150-4</w:t>
        </w:r>
      </w:hyperlink>
    </w:p>
    <w:bookmarkEnd w:id="134"/>
    <w:bookmarkStart w:id="13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5">
        <w:r>
          <w:rPr>
            <w:rStyle w:val="Hyperlink"/>
          </w:rPr>
          <w:t xml:space="preserve">https://doi.org/10.1037/0278-7393.32.4.792</w:t>
        </w:r>
      </w:hyperlink>
    </w:p>
    <w:bookmarkEnd w:id="136"/>
    <w:bookmarkEnd w:id="137"/>
    <w:bookmarkEnd w:id="13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25" Target="media/rId25.png" /><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2026-05-23T06:00:27Z</dcterms:created>
  <dcterms:modified xsi:type="dcterms:W3CDTF">2026-05-23T06:00:27Z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