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Added support for candidates matching the maintained film goal</w:t>
            </w:r>
          </w:p>
        </w:tc>
        <w:tc>
          <w:tcPr/>
          <w:p>
            <w:pPr>
              <w:pStyle w:val="Compact"/>
            </w:pPr>
            <w:r>
              <w:t xml:space="preserve">Film-goal support</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film-related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4"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5"/>
    <w:bookmarkStart w:id="67"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The simulations use this evidence as a supplied-item access step rather than a full recognition-decision model.</w:t>
      </w:r>
      <w:r>
        <w:t xml:space="preserve"> </w:t>
      </w: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focal distinction between recognition and context-guided recall measures in the trauma-film paradigm: recall requires film material to be selected from context-supported candidates, whereas recognition starts with the candidate item and evaluates the context it retrieves.</w:t>
      </w:r>
    </w:p>
    <w:bookmarkEnd w:id="67"/>
    <w:bookmarkEnd w:id="68"/>
    <w:bookmarkStart w:id="110" w:name="simulations"/>
    <w:p>
      <w:pPr>
        <w:pStyle w:val="Heading1"/>
      </w:pPr>
      <w:r>
        <w:t xml:space="preserve">Simulations</w:t>
      </w:r>
    </w:p>
    <w:p>
      <w:pPr>
        <w:pStyle w:val="FirstParagraph"/>
      </w:pPr>
      <w:r>
        <w:t xml:space="preserve">The simulations instantiate the retrieved-context account by mapping the trauma-film paradigm onto sequences of film, delay, task, and filler events.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a boundary case in which the test supplies a candidate film item for judgment rather than requiring that item to be sampled from context.</w:t>
      </w:r>
      <w:r>
        <w:t xml:space="preserve"> </w:t>
      </w:r>
      <w:r>
        <w:t xml:space="preserve">Together, these simulations show how selective interference can arise from reminder-linked competitor encoding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Existing trauma-film studies define the target phenomenon,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reminder manipulation, task-encoding manipulation, and retrieval-control settings.</w:t>
      </w:r>
      <w:r>
        <w:t xml:space="preserve"> </w:t>
      </w:r>
      <w:r>
        <w:t xml:space="preserve">Additional implementation settings adapt this regime to the trauma-film sequence.</w:t>
      </w:r>
      <w:r>
        <w:t xml:space="preserve"> </w:t>
      </w:r>
      <w:r>
        <w:t xml:space="preserve">Film items reinstate the marked source feature into source context, neutral/default events can weakly bind active source context, and retrieval begins with partial film-source reinstatement.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Partial film-source reinstatement before recall</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70"/>
    <w:bookmarkStart w:id="83" w:name="X2c2b19ca61f0d8679fb357e3aa386e7efdd5f9f"/>
    <w:p>
      <w:pPr>
        <w:pStyle w:val="Heading2"/>
      </w:pPr>
      <w:r>
        <w:t xml:space="preserve">Simulation 1: Task Encoding and Contextual Overlap</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53668"/>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create one generic film context.</w:t>
      </w:r>
      <w:r>
        <w:t xml:space="preserve"> </w:t>
      </w:r>
      <w:r>
        <w:t xml:space="preserve">They move context through film-associated states before task encoding, increasing overlap between task-encoding contexts and particular positions along the film trajectory.</w:t>
      </w:r>
      <w:r>
        <w:t xml:space="preserve"> </w:t>
      </w:r>
      <w:r>
        <w:t xml:space="preserve">Task encoding strength then determines how strongly task items are learned in those overlapping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examines the conditions under which deliberate film recall is protected from reminder-linked task competition.</w:t>
      </w:r>
      <w:r>
        <w:t xml:space="preserve"> </w:t>
      </w:r>
      <w:r>
        <w:t xml:space="preserve">The simulation keeps the same reminder-by-task-encoding design and periodic film cues, but varies retrieval mode and decomposes the control operations available during deliberate recall.</w:t>
      </w:r>
      <w:r>
        <w:t xml:space="preserve"> </w:t>
      </w:r>
      <w:r>
        <w:t xml:space="preserve">Deliberate recall combines three control operations: start-of-film context reinstatement before sampling, a maintained film-retrieval goal during sampling, and post-retrieval context monitoring after sampled non-film items.</w:t>
      </w:r>
      <w:r>
        <w:t xml:space="preserve"> </w:t>
      </w:r>
      <w:r>
        <w:t xml:space="preserve">The main readout is the film-recall loss produced by strong task encoding after a film reminder, not only total film recall.</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post-retrieval context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hyperlink w:anchor="fig-simulation2-control-cued-behavioral">
        <w:r>
          <w:rPr>
            <w:rStyle w:val="Hyperlink"/>
          </w:rPr>
          <w:t xml:space="preserve">Figure 8</w:t>
        </w:r>
      </w:hyperlink>
      <w:r>
        <w:t xml:space="preserve"> </w:t>
      </w:r>
      <w:r>
        <w:t xml:space="preserve">demonstrate the model’s simulation of the selective interference effect.</w:t>
      </w:r>
      <w:r>
        <w:t xml:space="preserve"> </w:t>
      </w:r>
      <w:r>
        <w:t xml:space="preserve">In unguided recall, strong task encoding produces a small film-recall loss without a pre-task reminder and a much larger loss after a film reminder.</w:t>
      </w:r>
      <w:r>
        <w:t xml:space="preserve"> </w:t>
      </w:r>
      <w:r>
        <w:t xml:space="preserve">In deliberate film recall, the same reminder-linked manipulation produces a smaller reduction.</w:t>
      </w:r>
      <w:r>
        <w:t xml:space="preserve"> </w:t>
      </w:r>
      <w:r>
        <w:t xml:space="preserve">Mean film recall in the with-reminder condition drops from 2.790 to 0.793 items under unguided recall, but from 7.572 to 6.995 items under deliberate film recall.</w:t>
      </w:r>
      <w:r>
        <w:t xml:space="preserve"> </w:t>
      </w:r>
      <w:r>
        <w:t xml:space="preserve">The full deliberate-control setting therefore reproduces the selective-interference pattern under the same learned task competitors.</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Endpoint loss remains large when the film-retrieval goal is absent.</w:t>
      </w:r>
      <w:r>
        <w:t xml:space="preserve"> </w:t>
      </w:r>
      <w:r>
        <w:t xml:space="preserve">Start-of-film reinstatement and post-retrieval context monitoring can raise film recall, but they do not make recall insensitive to the high-interference endpoint.</w:t>
      </w:r>
      <w:r>
        <w:t xml:space="preserve"> </w:t>
      </w:r>
      <w:r>
        <w:t xml:space="preserve">When the film-retrieval goal is present, endpoint losses remain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5"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53668"/>
                    </a:xfrm>
                    <a:prstGeom prst="rect">
                      <a:avLst/>
                    </a:prstGeom>
                    <a:noFill/>
                    <a:ln w="9525">
                      <a:noFill/>
                      <a:headEnd/>
                      <a:tailEnd/>
                    </a:ln>
                  </pic:spPr>
                </pic:pic>
              </a:graphicData>
            </a:graphic>
          </wp:inline>
        </w:drawing>
      </w:r>
    </w:p>
    <w:bookmarkEnd w:id="95"/>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The figure compares film recall in a low-interference setting, with no reminder and weak task encoding, against film recall in the high-interference setting, where a film reminder precedes strong task encoding.</w:t>
      </w:r>
      <w:r>
        <w:t xml:space="preserve"> </w:t>
      </w:r>
      <w:r>
        <w:t xml:space="preserve">When the film-retrieval goal is absent, film recall remains much lower in the high-interference setting.</w:t>
      </w:r>
      <w:r>
        <w:t xml:space="preserve"> </w:t>
      </w:r>
      <w:r>
        <w:t xml:space="preserve">Start-of-film reinstatement and post-retrieval context monitoring can raise film recall, but they do not eliminate the loss produced by reminder-linked strong task encoding.</w:t>
      </w:r>
      <w:r>
        <w:t xml:space="preserve"> </w:t>
      </w:r>
      <w:r>
        <w:t xml:space="preserve">When the film-retrieval goal is present, the loss remains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2321"/>
                    </a:xfrm>
                    <a:prstGeom prst="rect">
                      <a:avLst/>
                    </a:prstGeom>
                    <a:noFill/>
                    <a:ln w="9525">
                      <a:noFill/>
                      <a:headEnd/>
                      <a:tailEnd/>
                    </a:ln>
                  </pic:spPr>
                </pic:pic>
              </a:graphicData>
            </a:graphic>
          </wp:inline>
        </w:drawing>
      </w:r>
    </w:p>
    <w:bookmarkEnd w:id="99"/>
    <w:p>
      <w:pPr>
        <w:pStyle w:val="AfterWithoutNote"/>
      </w:pPr>
      <w:hyperlink w:anchor="Xe96feb7454d6b23e449dfafb9c326dcfa9c3226">
        <w:r>
          <w:rPr>
            <w:rStyle w:val="Hyperlink"/>
          </w:rPr>
          <w:t xml:space="preserve">Figure 11</w:t>
        </w:r>
      </w:hyperlink>
      <w:r>
        <w:t xml:space="preserve"> </w:t>
      </w:r>
      <w:r>
        <w:t xml:space="preserve">holds the high-interference condition fixed and isolates start-of-film context reinstatement.</w:t>
      </w:r>
      <w:r>
        <w:t xml:space="preserve"> </w:t>
      </w:r>
      <w:r>
        <w:t xml:space="preserve">Reinstatement increases access to early film positions and shifts the first sampled item toward the beginning of the film sequence.</w:t>
      </w:r>
      <w:r>
        <w:t xml:space="preserve"> </w:t>
      </w:r>
      <w:r>
        <w:t xml:space="preserve">Those gains persist in the full recall curve, but later film positions remain vulnerable because the start state does not remove task support from film-overlapping context.</w:t>
      </w:r>
      <w:r>
        <w:t xml:space="preserve"> </w:t>
      </w:r>
      <w:r>
        <w:t xml:space="preserve">Start-of-film context reinstatement can increase film recall, but its protection depends on which part of the film trajectory is reinstated.</w:t>
      </w:r>
    </w:p>
    <w:p>
      <w:pPr>
        <w:pStyle w:val="BodyText"/>
      </w:pPr>
      <w:r>
        <w:t xml:space="preserve">Retrieval monitoring acts after a non-film item has already been sampled.</w:t>
      </w:r>
      <w:r>
        <w:t xml:space="preserve"> </w:t>
      </w:r>
      <w:r>
        <w:t xml:space="preserve">By dampening that item’s context update, monitoring limits how much the sample redirects subsequent retrieval.</w:t>
      </w:r>
      <w:r>
        <w:t xml:space="preserve"> </w:t>
      </w:r>
      <w:hyperlink w:anchor="Xa9c4b5e1618786b5f440768b73dd7732a592b1f">
        <w:r>
          <w:rPr>
            <w:rStyle w:val="Hyperlink"/>
          </w:rPr>
          <w:t xml:space="preserve">Figure 12</w:t>
        </w:r>
      </w:hyperlink>
      <w:r>
        <w:t xml:space="preserve"> </w:t>
      </w:r>
      <w:r>
        <w:t xml:space="preserve">shows that monitoring increases the probability that a sampled non-film item is followed by a film output.</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is not the broadest route to protection from reminder-linked task competition.</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38967"/>
                    </a:xfrm>
                    <a:prstGeom prst="rect">
                      <a:avLst/>
                    </a:prstGeom>
                    <a:noFill/>
                    <a:ln w="9525">
                      <a:noFill/>
                      <a:headEnd/>
                      <a:tailEnd/>
                    </a:ln>
                  </pic:spPr>
                </pic:pic>
              </a:graphicData>
            </a:graphic>
          </wp:inline>
        </w:drawing>
      </w:r>
    </w:p>
    <w:bookmarkEnd w:id="103"/>
    <w:bookmarkEnd w:id="104"/>
    <w:bookmarkStart w:id="109" w:name="simulation-3-recognition"/>
    <w:p>
      <w:pPr>
        <w:pStyle w:val="Heading2"/>
      </w:pPr>
      <w:r>
        <w:t xml:space="preserve">Simulation 3: Recognition</w:t>
      </w:r>
    </w:p>
    <w:p>
      <w:pPr>
        <w:pStyle w:val="FirstParagraph"/>
      </w:pPr>
      <w:r>
        <w:t xml:space="preserve">The recognition simulation asks what happens when the test presents the candidate film item rather than requiring that item to be sampled from context.</w:t>
      </w:r>
      <w:r>
        <w:t xml:space="preserve"> </w:t>
      </w:r>
      <w:r>
        <w:t xml:space="preserve">The same reminder-by-task-encoding design is used, but the test format changes how film material enters the response.</w:t>
      </w:r>
      <w:r>
        <w:t xml:space="preserve"> </w:t>
      </w:r>
      <w:r>
        <w:t xml:space="preserve">Context-guided recall requires a film item to be sampled from the candidates supported by current context.</w:t>
      </w:r>
      <w:r>
        <w:t xml:space="preserve"> </w:t>
      </w:r>
      <w:r>
        <w:t xml:space="preserve">Recognition begins with a supplied candidate item and asks whether the context retrieved by that item supports its occurrence in the film.</w:t>
      </w:r>
    </w:p>
    <w:p>
      <w:pPr>
        <w:pStyle w:val="BodyText"/>
      </w:pPr>
      <w:r>
        <w:t xml:space="preserve">The simulation presents studied film items and unstudied film-like foils as recognition probes.</w:t>
      </w:r>
      <w:r>
        <w:t xml:space="preserve"> </w:t>
      </w:r>
      <w:r>
        <w:t xml:space="preserve">Each probe retrieves associated temporal and source context through feature-to-context associations, and recognition evidence is computed from the match between the probe-retrieved context and the current test context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The simulation estimates recognition evidence after the candidate item has already been presented as a probe.</w:t>
      </w:r>
      <w:r>
        <w:t xml:space="preserve"> </w:t>
      </w:r>
      <w:r>
        <w:t xml:space="preserve">Decision criteria, confidence, and detailed foil-processing assumptions are left outside the present implementation.</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The reminder-plus-strong-task condition that strongly reduces context-guided film recall does not produce a corresponding reduction in recognition accuracy.</w:t>
      </w:r>
      <w:r>
        <w:t xml:space="preserve"> </w:t>
      </w:r>
      <w:r>
        <w:t xml:space="preserve">Corrected recognition remains essentially unchanged across the reminder-by-task-encoding design, ranging from .397 to .399.</w:t>
      </w:r>
      <w:r>
        <w:t xml:space="preserve"> </w:t>
      </w:r>
      <w:r>
        <w:t xml:space="preserve">In context-guided recall, film and task candidates can compete whenever the retrieval context supports both.</w:t>
      </w:r>
      <w:r>
        <w:t xml:space="preserve"> </w:t>
      </w:r>
      <w:r>
        <w:t xml:space="preserve">Recognition reverses that access route: the presented film candidate retrieves associated context directly, so task items do not compete to be retrieved in place of the film item.</w:t>
      </w:r>
      <w:r>
        <w:t xml:space="preserve"> </w:t>
      </w:r>
      <w:r>
        <w:t xml:space="preserve">The simulation therefore identifies a test-format confound in designs that compare involuntary tests measuring whether film material comes to mind with voluntary tests that supply film material for recognition.</w:t>
      </w:r>
      <w:r>
        <w:t xml:space="preserve"> </w:t>
      </w:r>
      <w:r>
        <w:t xml:space="preserve">Such designs therefore do not isolate retrieval intentionality: preserved recognition alongside reduced intrusions may reflect the supplied-item test format rather than a general sparing of voluntary recall.</w:t>
      </w:r>
    </w:p>
    <w:bookmarkEnd w:id="109"/>
    <w:bookmarkEnd w:id="110"/>
    <w:bookmarkStart w:id="111" w:name="general-discussion"/>
    <w:p>
      <w:pPr>
        <w:pStyle w:val="Heading1"/>
      </w:pPr>
      <w:r>
        <w:t xml:space="preserve">General Discussion</w:t>
      </w:r>
    </w:p>
    <w:bookmarkEnd w:id="111"/>
    <w:bookmarkStart w:id="243" w:name="references"/>
    <w:p>
      <w:pPr>
        <w:pStyle w:val="Heading1"/>
      </w:pPr>
      <w:r>
        <w:t xml:space="preserve">References</w:t>
      </w:r>
    </w:p>
    <w:bookmarkStart w:id="242" w:name="refs"/>
    <w:bookmarkStart w:id="113"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2">
        <w:r>
          <w:rPr>
            <w:rStyle w:val="Hyperlink"/>
          </w:rPr>
          <w:t xml:space="preserve">https://doi.org/10.1016/j.jbtep.2023.101920</w:t>
        </w:r>
      </w:hyperlink>
    </w:p>
    <w:bookmarkEnd w:id="113"/>
    <w:bookmarkStart w:id="11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4">
        <w:r>
          <w:rPr>
            <w:rStyle w:val="Hyperlink"/>
          </w:rPr>
          <w:t xml:space="preserve">https://doi.org/10.1016/j.jpsychires.2023.01.028</w:t>
        </w:r>
      </w:hyperlink>
    </w:p>
    <w:bookmarkEnd w:id="115"/>
    <w:bookmarkStart w:id="117"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6">
        <w:r>
          <w:rPr>
            <w:rStyle w:val="Hyperlink"/>
          </w:rPr>
          <w:t xml:space="preserve">https://doi.org/10.1037/0096-3445.129.1.126</w:t>
        </w:r>
      </w:hyperlink>
    </w:p>
    <w:bookmarkEnd w:id="117"/>
    <w:bookmarkStart w:id="119"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8">
        <w:r>
          <w:rPr>
            <w:rStyle w:val="Hyperlink"/>
          </w:rPr>
          <w:t xml:space="preserve">https://doi.org/10.1016/s2215-0366(25)00397-9</w:t>
        </w:r>
      </w:hyperlink>
    </w:p>
    <w:bookmarkEnd w:id="119"/>
    <w:bookmarkStart w:id="12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0">
        <w:r>
          <w:rPr>
            <w:rStyle w:val="Hyperlink"/>
          </w:rPr>
          <w:t xml:space="preserve">https://doi.org/10.1037/a0033722</w:t>
        </w:r>
      </w:hyperlink>
    </w:p>
    <w:bookmarkEnd w:id="121"/>
    <w:bookmarkStart w:id="12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2">
        <w:r>
          <w:rPr>
            <w:rStyle w:val="Hyperlink"/>
          </w:rPr>
          <w:t xml:space="preserve">https://doi.org/10.1037/0033-295X.103.4.670</w:t>
        </w:r>
      </w:hyperlink>
    </w:p>
    <w:bookmarkEnd w:id="123"/>
    <w:bookmarkStart w:id="12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4">
        <w:r>
          <w:rPr>
            <w:rStyle w:val="Hyperlink"/>
          </w:rPr>
          <w:t xml:space="preserve">https://doi.org/10.1037/a0018113</w:t>
        </w:r>
      </w:hyperlink>
    </w:p>
    <w:bookmarkEnd w:id="125"/>
    <w:bookmarkStart w:id="127"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6">
        <w:r>
          <w:rPr>
            <w:rStyle w:val="Hyperlink"/>
          </w:rPr>
          <w:t xml:space="preserve">https://doi.org/10.1006/jmps.1999.1282</w:t>
        </w:r>
      </w:hyperlink>
    </w:p>
    <w:bookmarkEnd w:id="127"/>
    <w:bookmarkStart w:id="12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8">
        <w:r>
          <w:rPr>
            <w:rStyle w:val="Hyperlink"/>
          </w:rPr>
          <w:t xml:space="preserve">https://doi.org/10.1037/rev0000334</w:t>
        </w:r>
      </w:hyperlink>
    </w:p>
    <w:bookmarkEnd w:id="129"/>
    <w:bookmarkStart w:id="13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0">
        <w:r>
          <w:rPr>
            <w:rStyle w:val="Hyperlink"/>
          </w:rPr>
          <w:t xml:space="preserve">https://doi.org/10.1016/j.jbtep.2011.10.008</w:t>
        </w:r>
      </w:hyperlink>
    </w:p>
    <w:bookmarkEnd w:id="131"/>
    <w:bookmarkStart w:id="13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2"/>
    <w:bookmarkStart w:id="13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3">
        <w:r>
          <w:rPr>
            <w:rStyle w:val="Hyperlink"/>
          </w:rPr>
          <w:t xml:space="preserve">https://doi.org/10.1016/S0005-7967(99)00123-0</w:t>
        </w:r>
      </w:hyperlink>
    </w:p>
    <w:bookmarkEnd w:id="134"/>
    <w:bookmarkStart w:id="13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5">
        <w:r>
          <w:rPr>
            <w:rStyle w:val="Hyperlink"/>
          </w:rPr>
          <w:t xml:space="preserve">https://doi.org/10.1037/a0033715</w:t>
        </w:r>
      </w:hyperlink>
    </w:p>
    <w:bookmarkEnd w:id="136"/>
    <w:bookmarkStart w:id="13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7">
        <w:r>
          <w:rPr>
            <w:rStyle w:val="Hyperlink"/>
          </w:rPr>
          <w:t xml:space="preserve">https://doi.org/10.1037/rev0000015</w:t>
        </w:r>
      </w:hyperlink>
    </w:p>
    <w:bookmarkEnd w:id="138"/>
    <w:bookmarkStart w:id="14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39">
        <w:r>
          <w:rPr>
            <w:rStyle w:val="Hyperlink"/>
          </w:rPr>
          <w:t xml:space="preserve">https://doi.org/10.3758/s13421-023-01453-z</w:t>
        </w:r>
      </w:hyperlink>
    </w:p>
    <w:bookmarkEnd w:id="140"/>
    <w:bookmarkStart w:id="14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1">
        <w:r>
          <w:rPr>
            <w:rStyle w:val="Hyperlink"/>
          </w:rPr>
          <w:t xml:space="preserve">https://doi.org/10.1016/j.jbtep.2023.101858</w:t>
        </w:r>
      </w:hyperlink>
    </w:p>
    <w:bookmarkEnd w:id="142"/>
    <w:bookmarkStart w:id="14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3">
        <w:r>
          <w:rPr>
            <w:rStyle w:val="Hyperlink"/>
          </w:rPr>
          <w:t xml:space="preserve">https://doi.org/10.31234/osf.io/sm3fw</w:t>
        </w:r>
      </w:hyperlink>
    </w:p>
    <w:bookmarkEnd w:id="144"/>
    <w:bookmarkStart w:id="14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5">
        <w:r>
          <w:rPr>
            <w:rStyle w:val="Hyperlink"/>
          </w:rPr>
          <w:t xml:space="preserve">https://doi.org/10.1016/j.actpsy.2007.11.002</w:t>
        </w:r>
      </w:hyperlink>
    </w:p>
    <w:bookmarkEnd w:id="146"/>
    <w:bookmarkStart w:id="14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7">
        <w:r>
          <w:rPr>
            <w:rStyle w:val="Hyperlink"/>
          </w:rPr>
          <w:t xml:space="preserve">https://doi.org/10.1037/0096-3445.133.1.3</w:t>
        </w:r>
      </w:hyperlink>
    </w:p>
    <w:bookmarkEnd w:id="148"/>
    <w:bookmarkStart w:id="15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9">
        <w:r>
          <w:rPr>
            <w:rStyle w:val="Hyperlink"/>
          </w:rPr>
          <w:t xml:space="preserve">https://doi.org/10.1371/journal.pone.0004153</w:t>
        </w:r>
      </w:hyperlink>
    </w:p>
    <w:bookmarkEnd w:id="150"/>
    <w:bookmarkStart w:id="15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1">
        <w:r>
          <w:rPr>
            <w:rStyle w:val="Hyperlink"/>
          </w:rPr>
          <w:t xml:space="preserve">https://doi.org/10.1371/journal.pone.0013706</w:t>
        </w:r>
      </w:hyperlink>
    </w:p>
    <w:bookmarkEnd w:id="152"/>
    <w:bookmarkStart w:id="15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3">
        <w:r>
          <w:rPr>
            <w:rStyle w:val="Hyperlink"/>
          </w:rPr>
          <w:t xml:space="preserve">https://doi.org/10.1016/j.brat.2017.03.018</w:t>
        </w:r>
      </w:hyperlink>
    </w:p>
    <w:bookmarkEnd w:id="154"/>
    <w:bookmarkStart w:id="15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5">
        <w:r>
          <w:rPr>
            <w:rStyle w:val="Hyperlink"/>
          </w:rPr>
          <w:t xml:space="preserve">https://doi.org/10.1037/0278-7393.25.4.923</w:t>
        </w:r>
      </w:hyperlink>
    </w:p>
    <w:bookmarkEnd w:id="156"/>
    <w:bookmarkStart w:id="15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7">
        <w:r>
          <w:rPr>
            <w:rStyle w:val="Hyperlink"/>
          </w:rPr>
          <w:t xml:space="preserve">https://doi.org/10.1006/jmps.2001.1388</w:t>
        </w:r>
      </w:hyperlink>
    </w:p>
    <w:bookmarkEnd w:id="158"/>
    <w:bookmarkStart w:id="15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9"/>
    <w:bookmarkStart w:id="16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0">
        <w:r>
          <w:rPr>
            <w:rStyle w:val="Hyperlink"/>
          </w:rPr>
          <w:t xml:space="preserve">https://doi.org/10.1101/lm.1022308</w:t>
        </w:r>
      </w:hyperlink>
    </w:p>
    <w:bookmarkEnd w:id="161"/>
    <w:bookmarkStart w:id="16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2">
        <w:r>
          <w:rPr>
            <w:rStyle w:val="Hyperlink"/>
          </w:rPr>
          <w:t xml:space="preserve">https://doi.org/10.1038/mp.2017.23</w:t>
        </w:r>
      </w:hyperlink>
    </w:p>
    <w:bookmarkEnd w:id="163"/>
    <w:bookmarkStart w:id="16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4">
        <w:r>
          <w:rPr>
            <w:rStyle w:val="Hyperlink"/>
          </w:rPr>
          <w:t xml:space="preserve">https://doi.org/10.1038/s41398-023-02578-0</w:t>
        </w:r>
      </w:hyperlink>
    </w:p>
    <w:bookmarkEnd w:id="165"/>
    <w:bookmarkStart w:id="16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6">
        <w:r>
          <w:rPr>
            <w:rStyle w:val="Hyperlink"/>
          </w:rPr>
          <w:t xml:space="preserve">https://doi.org/10.1016/j.cpr.2018.08.005</w:t>
        </w:r>
      </w:hyperlink>
    </w:p>
    <w:bookmarkEnd w:id="167"/>
    <w:bookmarkStart w:id="16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8">
        <w:r>
          <w:rPr>
            <w:rStyle w:val="Hyperlink"/>
          </w:rPr>
          <w:t xml:space="preserve">https://doi.org/10.1177/0956797615583071</w:t>
        </w:r>
      </w:hyperlink>
    </w:p>
    <w:bookmarkEnd w:id="169"/>
    <w:bookmarkStart w:id="17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0">
        <w:r>
          <w:rPr>
            <w:rStyle w:val="Hyperlink"/>
          </w:rPr>
          <w:t xml:space="preserve">https://doi.org/10.1016/j.cpr.2016.04.010</w:t>
        </w:r>
      </w:hyperlink>
    </w:p>
    <w:bookmarkEnd w:id="171"/>
    <w:bookmarkStart w:id="17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2">
        <w:r>
          <w:rPr>
            <w:rStyle w:val="Hyperlink"/>
          </w:rPr>
          <w:t xml:space="preserve">https://memory.psych.upenn.edu/files/pubs/JinEtal24.pdf</w:t>
        </w:r>
      </w:hyperlink>
    </w:p>
    <w:bookmarkEnd w:id="173"/>
    <w:bookmarkStart w:id="17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4"/>
    <w:bookmarkStart w:id="17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5">
        <w:r>
          <w:rPr>
            <w:rStyle w:val="Hyperlink"/>
          </w:rPr>
          <w:t xml:space="preserve">https://doi.org/10.1146/annurev-psych-010418-103358</w:t>
        </w:r>
      </w:hyperlink>
    </w:p>
    <w:bookmarkEnd w:id="176"/>
    <w:bookmarkStart w:id="17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7">
        <w:r>
          <w:rPr>
            <w:rStyle w:val="Hyperlink"/>
          </w:rPr>
          <w:t xml:space="preserve">https://doi.org/10.1002/cpp.2489</w:t>
        </w:r>
      </w:hyperlink>
    </w:p>
    <w:bookmarkEnd w:id="178"/>
    <w:bookmarkStart w:id="18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79">
        <w:r>
          <w:rPr>
            <w:rStyle w:val="Hyperlink"/>
          </w:rPr>
          <w:t xml:space="preserve">https://doi.org/10.1186/s12916-024-03569-8</w:t>
        </w:r>
      </w:hyperlink>
    </w:p>
    <w:bookmarkEnd w:id="180"/>
    <w:bookmarkStart w:id="18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1">
        <w:r>
          <w:rPr>
            <w:rStyle w:val="Hyperlink"/>
          </w:rPr>
          <w:t xml:space="preserve">https://doi.org/10.1016/j.jbtep.2019.01.006</w:t>
        </w:r>
      </w:hyperlink>
    </w:p>
    <w:bookmarkEnd w:id="182"/>
    <w:bookmarkStart w:id="18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3">
        <w:r>
          <w:rPr>
            <w:rStyle w:val="Hyperlink"/>
          </w:rPr>
          <w:t xml:space="preserve">https://doi.org/10.1038/nn.2271</w:t>
        </w:r>
      </w:hyperlink>
    </w:p>
    <w:bookmarkEnd w:id="184"/>
    <w:bookmarkStart w:id="18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5">
        <w:r>
          <w:rPr>
            <w:rStyle w:val="Hyperlink"/>
          </w:rPr>
          <w:t xml:space="preserve">https://doi.org/10.1523/JNEUROSCI.3378-14.2015</w:t>
        </w:r>
      </w:hyperlink>
    </w:p>
    <w:bookmarkEnd w:id="186"/>
    <w:bookmarkStart w:id="18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7">
        <w:r>
          <w:rPr>
            <w:rStyle w:val="Hyperlink"/>
          </w:rPr>
          <w:t xml:space="preserve">https://doi.org/10.1002/acp.1611</w:t>
        </w:r>
      </w:hyperlink>
    </w:p>
    <w:bookmarkEnd w:id="188"/>
    <w:bookmarkStart w:id="19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89">
        <w:r>
          <w:rPr>
            <w:rStyle w:val="Hyperlink"/>
          </w:rPr>
          <w:t xml:space="preserve">https://doi.org/10.1037/xge0000598</w:t>
        </w:r>
      </w:hyperlink>
    </w:p>
    <w:bookmarkEnd w:id="190"/>
    <w:bookmarkStart w:id="19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1">
        <w:r>
          <w:rPr>
            <w:rStyle w:val="Hyperlink"/>
          </w:rPr>
          <w:t xml:space="preserve">https://doi.org/10.1177/2167702621998315</w:t>
        </w:r>
      </w:hyperlink>
    </w:p>
    <w:bookmarkEnd w:id="192"/>
    <w:bookmarkStart w:id="19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3">
        <w:r>
          <w:rPr>
            <w:rStyle w:val="Hyperlink"/>
          </w:rPr>
          <w:t xml:space="preserve">https://doi.org/10.1037/xge0001354</w:t>
        </w:r>
      </w:hyperlink>
    </w:p>
    <w:bookmarkEnd w:id="194"/>
    <w:bookmarkStart w:id="19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5">
        <w:r>
          <w:rPr>
            <w:rStyle w:val="Hyperlink"/>
          </w:rPr>
          <w:t xml:space="preserve">https://doi.org/10.1037/a0039036</w:t>
        </w:r>
      </w:hyperlink>
    </w:p>
    <w:bookmarkEnd w:id="196"/>
    <w:bookmarkStart w:id="19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7">
        <w:r>
          <w:rPr>
            <w:rStyle w:val="Hyperlink"/>
          </w:rPr>
          <w:t xml:space="preserve">https://doi.org/10.3758/s13423-025-02744-z</w:t>
        </w:r>
      </w:hyperlink>
    </w:p>
    <w:bookmarkEnd w:id="198"/>
    <w:bookmarkStart w:id="19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4">
        <w:r>
          <w:rPr>
            <w:rStyle w:val="Hyperlink"/>
          </w:rPr>
          <w:t xml:space="preserve">https://doi.org/10.1038/s41467-017-01184-1</w:t>
        </w:r>
      </w:hyperlink>
    </w:p>
    <w:bookmarkEnd w:id="205"/>
    <w:bookmarkStart w:id="207"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6">
        <w:r>
          <w:rPr>
            <w:rStyle w:val="Hyperlink"/>
          </w:rPr>
          <w:t xml:space="preserve">https://doi.org/10.1037/a0022475</w:t>
        </w:r>
      </w:hyperlink>
    </w:p>
    <w:bookmarkEnd w:id="207"/>
    <w:bookmarkStart w:id="209"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8">
        <w:r>
          <w:rPr>
            <w:rStyle w:val="Hyperlink"/>
          </w:rPr>
          <w:t xml:space="preserve">https://doi.org/10.1016/j.neuropsychologia.2011.08.025</w:t>
        </w:r>
      </w:hyperlink>
    </w:p>
    <w:bookmarkEnd w:id="209"/>
    <w:bookmarkStart w:id="21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0">
        <w:r>
          <w:rPr>
            <w:rStyle w:val="Hyperlink"/>
          </w:rPr>
          <w:t xml:space="preserve">https://doi.org/10.1037/a0014420</w:t>
        </w:r>
      </w:hyperlink>
    </w:p>
    <w:bookmarkEnd w:id="211"/>
    <w:bookmarkStart w:id="21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2">
        <w:r>
          <w:rPr>
            <w:rStyle w:val="Hyperlink"/>
          </w:rPr>
          <w:t xml:space="preserve">https://doi.org/10.1016/j.neuropsychologia.2009.02.013</w:t>
        </w:r>
      </w:hyperlink>
    </w:p>
    <w:bookmarkEnd w:id="213"/>
    <w:bookmarkStart w:id="215"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4">
        <w:r>
          <w:rPr>
            <w:rStyle w:val="Hyperlink"/>
          </w:rPr>
          <w:t xml:space="preserve">https://doi.org/10.1016/S0079-7421(08)60162-0</w:t>
        </w:r>
      </w:hyperlink>
    </w:p>
    <w:bookmarkEnd w:id="215"/>
    <w:bookmarkStart w:id="217"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6">
        <w:r>
          <w:rPr>
            <w:rStyle w:val="Hyperlink"/>
          </w:rPr>
          <w:t xml:space="preserve">https://doi.org/10.1038/s41380-023-02062-7</w:t>
        </w:r>
      </w:hyperlink>
    </w:p>
    <w:bookmarkEnd w:id="217"/>
    <w:bookmarkStart w:id="219"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8">
        <w:r>
          <w:rPr>
            <w:rStyle w:val="Hyperlink"/>
          </w:rPr>
          <w:t xml:space="preserve">https://doi.org/10.1111/j.1467-9280.2005.01634.x</w:t>
        </w:r>
      </w:hyperlink>
    </w:p>
    <w:bookmarkEnd w:id="219"/>
    <w:bookmarkStart w:id="22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0">
        <w:r>
          <w:rPr>
            <w:rStyle w:val="Hyperlink"/>
          </w:rPr>
          <w:t xml:space="preserve">https://doi.org/10.3758/s13423-011-0086-9</w:t>
        </w:r>
      </w:hyperlink>
    </w:p>
    <w:bookmarkEnd w:id="221"/>
    <w:bookmarkStart w:id="22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2">
        <w:r>
          <w:rPr>
            <w:rStyle w:val="Hyperlink"/>
          </w:rPr>
          <w:t xml:space="preserve">https://doi.org/10.1037/a0013396</w:t>
        </w:r>
      </w:hyperlink>
    </w:p>
    <w:bookmarkEnd w:id="223"/>
    <w:bookmarkStart w:id="225"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4">
        <w:r>
          <w:rPr>
            <w:rStyle w:val="Hyperlink"/>
          </w:rPr>
          <w:t xml:space="preserve">https://doi.org/10.1177/0963721413498893</w:t>
        </w:r>
      </w:hyperlink>
    </w:p>
    <w:bookmarkEnd w:id="225"/>
    <w:bookmarkStart w:id="22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6">
        <w:r>
          <w:rPr>
            <w:rStyle w:val="Hyperlink"/>
          </w:rPr>
          <w:t xml:space="preserve">https://doi.org/10.1037/rev0000132</w:t>
        </w:r>
      </w:hyperlink>
    </w:p>
    <w:bookmarkEnd w:id="227"/>
    <w:bookmarkStart w:id="229"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8">
        <w:r>
          <w:rPr>
            <w:rStyle w:val="Hyperlink"/>
          </w:rPr>
          <w:t xml:space="preserve">https://doi.org/10.1016/j.jml.2007.01.002</w:t>
        </w:r>
      </w:hyperlink>
    </w:p>
    <w:bookmarkEnd w:id="229"/>
    <w:bookmarkStart w:id="231"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0">
        <w:r>
          <w:rPr>
            <w:rStyle w:val="Hyperlink"/>
          </w:rPr>
          <w:t xml:space="preserve">https://doi.org/10.3758/bf03195864</w:t>
        </w:r>
      </w:hyperlink>
    </w:p>
    <w:bookmarkEnd w:id="231"/>
    <w:bookmarkStart w:id="233"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2">
        <w:r>
          <w:rPr>
            <w:rStyle w:val="Hyperlink"/>
          </w:rPr>
          <w:t xml:space="preserve">https://doi.org/10.3758/MC.38.4.419</w:t>
        </w:r>
      </w:hyperlink>
    </w:p>
    <w:bookmarkEnd w:id="233"/>
    <w:bookmarkStart w:id="235"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4">
        <w:r>
          <w:rPr>
            <w:rStyle w:val="Hyperlink"/>
          </w:rPr>
          <w:t xml:space="preserve">https://doi.org/10.1038/s41562-024-01956-y</w:t>
        </w:r>
      </w:hyperlink>
    </w:p>
    <w:bookmarkEnd w:id="235"/>
    <w:bookmarkStart w:id="237"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6">
        <w:r>
          <w:rPr>
            <w:rStyle w:val="Hyperlink"/>
          </w:rPr>
          <w:t xml:space="preserve">https://doi.org/10.1525/collabra.130791</w:t>
        </w:r>
      </w:hyperlink>
    </w:p>
    <w:bookmarkEnd w:id="237"/>
    <w:bookmarkStart w:id="23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8">
        <w:r>
          <w:rPr>
            <w:rStyle w:val="Hyperlink"/>
          </w:rPr>
          <w:t xml:space="preserve">https://doi.org/10.1037/0278-7393.32.4.792</w:t>
        </w:r>
      </w:hyperlink>
    </w:p>
    <w:bookmarkEnd w:id="239"/>
    <w:bookmarkStart w:id="241"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0">
        <w:r>
          <w:rPr>
            <w:rStyle w:val="Hyperlink"/>
          </w:rPr>
          <w:t xml:space="preserve">https://doi.org/10.1037/rev0000505</w:t>
        </w:r>
      </w:hyperlink>
    </w:p>
    <w:bookmarkEnd w:id="241"/>
    <w:bookmarkEnd w:id="242"/>
    <w:bookmarkEnd w:id="24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2026-07-03T03:53:40Z</dcterms:created>
  <dcterms:modified xsi:type="dcterms:W3CDTF">2026-07-03T03:53:40Z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