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by contrast,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One prominent interpretation is that the intervention acts more strongly on the form of memory that gives rise to intrusions than on the memory accessed by voluntary tests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the shared logic is selective vulnerability.</w:t>
      </w:r>
      <w:r>
        <w:t xml:space="preserve"> </w:t>
      </w:r>
      <w:r>
        <w:t xml:space="preserve">The intervention is assumed to affect sensory/perceptual processes linked to intrusions more than the contextualized processes used in voluntary tests.</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should interfere less when retrieval has a more selective basis for identifying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then use simulations to explore what the formalized account predicts about when and how the dissociation should appear.</w:t>
      </w:r>
      <w:r>
        <w:t xml:space="preserve"> </w:t>
      </w:r>
      <w:r>
        <w:t xml:space="preserve">The simulations show how reminder-linked task encoding can make task material compete with film recall, how deliberate recall can be less affected when retrieval control gives film material a more selective basis for recall, and how recognition-like paradigms can remain relatively unaffected when a presented item retrieves associated context rather than context selecting among film and task items.</w:t>
      </w:r>
      <w:r>
        <w:t xml:space="preserve"> </w:t>
      </w:r>
      <w:r>
        <w:t xml:space="preserve">The result is a mechanistic alternative to selective-vulnerability accounts of the selective-interference effect, clarifying boundary conditions for the dissociation and motivating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a reduction in intrusion-like access with relatively preserved voluntary memory for the same film material.</w:t>
      </w:r>
      <w:r>
        <w:t xml:space="preserve"> </w:t>
      </w:r>
      <w:r>
        <w:t xml:space="preserve">The empirical literature supports that pattern, but the measures used to establish it vary in what they ask memory to do.</w:t>
      </w:r>
      <w:r>
        <w:t xml:space="preserve"> </w:t>
      </w:r>
      <w:r>
        <w:t xml:space="preserve">Diary measures count film memories that arise during daily life.</w:t>
      </w:r>
      <w:r>
        <w:t xml:space="preserve"> </w:t>
      </w:r>
      <w:r>
        <w:t xml:space="preserve">Laboratory intrusion tasks bring intrusion measurement into a more controlled setting, often by adding film cues, monitoring instructions, or a defined reporting window.</w:t>
      </w:r>
      <w:r>
        <w:t xml:space="preserve"> </w:t>
      </w:r>
      <w:r>
        <w:t xml:space="preserve">Voluntary-memory tests vary as well: some ask participants to produce or elaborate film details, whereas many present film statements or still images for recognition.</w:t>
      </w:r>
    </w:p>
    <w:p>
      <w:pPr>
        <w:pStyle w:val="BodyText"/>
      </w:pPr>
      <w:r>
        <w:t xml:space="preserve">Much of the evidence comes from studies that pair diary or laboratory intrusion measures with recognition.</w:t>
      </w:r>
      <w:r>
        <w:t xml:space="preserve"> </w:t>
      </w:r>
      <w:r>
        <w:t xml:space="preserve">In immediate post-film studies, Tetris reduced intrusions during the intervention period and over the following week, while later verbal recognition did not differ reliably from control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Delayed-reminder studies found a similar pattern when diary or laboratory intrusion measures were paired with verbal or visual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followed the same basic design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These findings show preserved voluntary performance under a specific testing condition: participants could still recognize candidate film material when it was presented at test.</w:t>
      </w:r>
      <w:r>
        <w:t xml:space="preserve"> </w:t>
      </w:r>
      <w:r>
        <w:t xml:space="preserve">The broader evidence remains mixed, with recent reviews, replication attempts, and new tests cautioning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The strongest evidence beyond recognition comes from studies that added other voluntary or intrusion-like measures.</w:t>
      </w:r>
      <w:r>
        <w:t xml:space="preserve"> </w:t>
      </w:r>
      <w:r>
        <w:t xml:space="preserve">In one experiment, reminder-plus-Tetris reduced diary intrusions while free recall, specific probing, and visual recognition were relatively preserved</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In another, the intervention reduced both diary intrusions and vigilance-intrusion reports while recognition remained relatively intact</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Later work compared intrusion and recognition measures while varying whether trauma-film or foil cues appeared during the task</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These studies broaden the empirical base, while showing that retrieval conditions cannot be treated as incidental.</w:t>
      </w:r>
      <w:r>
        <w:t xml:space="preserve"> </w:t>
      </w:r>
      <w:r>
        <w:t xml:space="preserve">Free recall, probing, recognition, diaries, and vigilance-intrusion tasks all concern the same film, but they differ in whether film material is generated, cued, monitored, or supplied.</w:t>
      </w:r>
    </w:p>
    <w:p>
      <w:pPr>
        <w:pStyle w:val="BodyText"/>
      </w:pPr>
      <w:r>
        <w:t xml:space="preserve">This variation is important for the present account.</w:t>
      </w:r>
      <w:r>
        <w:t xml:space="preserve"> </w:t>
      </w:r>
      <w:r>
        <w:t xml:space="preserve">A diary intrusion reflects film material coming to mind in the course of ongoing activity.</w:t>
      </w:r>
      <w:r>
        <w:t xml:space="preserve"> </w:t>
      </w:r>
      <w:r>
        <w:t xml:space="preserve">A recognition response reflects a judgment about candidate film material already present at test.</w:t>
      </w:r>
      <w:r>
        <w:t xml:space="preserve"> </w:t>
      </w:r>
      <w:r>
        <w:t xml:space="preserve">Free recall, probing, and vigilance-intrusion tasks fall between these endpoints in different ways.</w:t>
      </w:r>
      <w:r>
        <w:t xml:space="preserve"> </w:t>
      </w:r>
      <w:hyperlink w:anchor="fig-empirical-examples">
        <w:r>
          <w:rPr>
            <w:rStyle w:val="Hyperlink"/>
          </w:rPr>
          <w:t xml:space="preserve">Figure 2</w:t>
        </w:r>
      </w:hyperlink>
      <w:r>
        <w:t xml:space="preserve"> </w:t>
      </w:r>
      <w:r>
        <w:t xml:space="preserve">illustrates this range with three exemplar designs: delayed-reminder diary-plus-recognition, delayed-reminder diary-plus-free-recall, and trauma-film-cued vigilance-intrusion-plus-recognition.</w:t>
      </w:r>
      <w:r>
        <w:t xml:space="preserve"> </w:t>
      </w:r>
      <w:r>
        <w:t xml:space="preserve">Reading the evidence this way gives the model a more specific target than a simple involuntary-versus-voluntary difference.</w:t>
      </w:r>
      <w:r>
        <w:t xml:space="preserve"> </w:t>
      </w:r>
      <w:r>
        <w:t xml:space="preserve">It has to explain when reminder-linked task material competes with film retrieval, and when the test conditions make film memory appear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In the present simulations, this control component changes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the present model uses the same architectural role for a simplified film/source feature.</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current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For the present simulations, film items match the goal and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09" w:name="references"/>
    <w:p>
      <w:pPr>
        <w:pStyle w:val="Heading1"/>
      </w:pPr>
      <w:r>
        <w:t xml:space="preserve">References</w:t>
      </w:r>
    </w:p>
    <w:bookmarkStart w:id="208"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8">
        <w:r>
          <w:rPr>
            <w:rStyle w:val="Hyperlink"/>
          </w:rPr>
          <w:t xml:space="preserve">https://doi.org/10.1037/rev0000132</w:t>
        </w:r>
      </w:hyperlink>
    </w:p>
    <w:bookmarkEnd w:id="199"/>
    <w:bookmarkStart w:id="20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0">
        <w:r>
          <w:rPr>
            <w:rStyle w:val="Hyperlink"/>
          </w:rPr>
          <w:t xml:space="preserve">https://doi.org/10.1038/s41562-024-01956-y</w:t>
        </w:r>
      </w:hyperlink>
    </w:p>
    <w:bookmarkEnd w:id="201"/>
    <w:bookmarkStart w:id="20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2">
        <w:r>
          <w:rPr>
            <w:rStyle w:val="Hyperlink"/>
          </w:rPr>
          <w:t xml:space="preserve">https://doi.org/10.1525/collabra.130791</w:t>
        </w:r>
      </w:hyperlink>
    </w:p>
    <w:bookmarkEnd w:id="203"/>
    <w:bookmarkStart w:id="20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4">
        <w:r>
          <w:rPr>
            <w:rStyle w:val="Hyperlink"/>
          </w:rPr>
          <w:t xml:space="preserve">https://doi.org/10.1037/0278-7393.32.4.792</w:t>
        </w:r>
      </w:hyperlink>
    </w:p>
    <w:bookmarkEnd w:id="205"/>
    <w:bookmarkStart w:id="20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6">
        <w:r>
          <w:rPr>
            <w:rStyle w:val="Hyperlink"/>
          </w:rPr>
          <w:t xml:space="preserve">https://doi.org/10.1037/rev0000505</w:t>
        </w:r>
      </w:hyperlink>
    </w:p>
    <w:bookmarkEnd w:id="207"/>
    <w:bookmarkEnd w:id="208"/>
    <w:bookmarkEnd w:id="20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2026-06-30T08:16:17Z</dcterms:created>
  <dcterms:modified xsi:type="dcterms:W3CDTF">2026-06-30T08:16:17Z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