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79.png" ContentType="image/png"/>
  <Override PartName="/word/media/rId75.png" ContentType="image/png"/>
  <Override PartName="/word/media/rId70.png" ContentType="image/png"/>
  <Override PartName="/word/media/rId84.png" ContentType="image/png"/>
  <Override PartName="/word/media/rId100.png" ContentType="image/png"/>
  <Override PartName="/word/media/rId88.png" ContentType="image/png"/>
  <Override PartName="/word/media/rId92.png" ContentType="image/png"/>
  <Override PartName="/word/media/rId96.png" ContentType="image/png"/>
  <Override PartName="/word/media/rId105.png" ContentType="image/png"/>
  <Override PartName="/word/media/rId110.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bookmarkEnd w:id="23"/>
    <w:bookmarkStart w:id="32"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The empirical target is an interaction, not only a difference between two memory measures.</w:t>
      </w:r>
      <w:r>
        <w:t xml:space="preserve"> </w:t>
      </w:r>
      <w:r>
        <w:t xml:space="preserve">The same interference manipulation should reduce unguided or intrusion-like film output more than deliberate film recall, over and above the general advantage for deliberate recall.</w:t>
      </w:r>
      <w:r>
        <w:t xml:space="preserve"> </w:t>
      </w:r>
      <w:r>
        <w:t xml:space="preserve">In the simulations below, we decompose this broad manipulation into two ingredients: whether a film reminder is presented before the task, and how strongly the task functions as an interference source.</w:t>
      </w:r>
      <w:r>
        <w:t xml:space="preserve"> </w:t>
      </w:r>
      <w:r>
        <w:t xml:space="preserve">This decomposition lets the model ask when a task becomes a strong competitor for film retrieval, and when retrieval control reduces the resulting interference effect.</w:t>
      </w:r>
      <w:r>
        <w:t xml:space="preserve"> </w:t>
      </w:r>
      <w:hyperlink w:anchor="fig-empirical-target">
        <w:r>
          <w:rPr>
            <w:rStyle w:val="Hyperlink"/>
          </w:rPr>
          <w:t xml:space="preserve">Figure 1</w:t>
        </w:r>
      </w:hyperlink>
      <w:r>
        <w:t xml:space="preserve"> </w:t>
      </w:r>
      <w:r>
        <w:t xml:space="preserve">summarizes the modeled paradigm variables and the selective interference contrast.</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crossing reminder condition, intervening task, and retrieval measure.</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empirical_target_figure/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p>
      <w:pPr>
        <w:pStyle w:val="AfterWithoutNote"/>
      </w:pPr>
      <w:r>
        <w:t xml:space="preserve">Figure</w:t>
      </w:r>
      <w:r>
        <w:t xml:space="preserve"> </w:t>
      </w:r>
      <w:hyperlink w:anchor="fig-empirical-examples">
        <w:r>
          <w:rPr>
            <w:rStyle w:val="Hyperlink"/>
          </w:rPr>
          <w:t xml:space="preserve">Figure 2</w:t>
        </w:r>
      </w:hyperlink>
      <w:r>
        <w:t xml:space="preserve"> </w:t>
      </w:r>
      <w:r>
        <w:t xml:space="preserve">places this schematic target alongside exemplar trauma-film studies that vary in reminder timing and deliberate-memory test format.</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empirical_target_figure/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builds the unguided interference component by showing how a task performed after a film reminder can become a retrieval competitor and reduce later film recall.</w:t>
      </w:r>
      <w:r>
        <w:t xml:space="preserve"> </w:t>
      </w:r>
      <w:r>
        <w:t xml:space="preserve">Simulation 2 asks which deliberate-retrieval control settings attenuate the resulting interference effect by changing where retrieval begins, how selectively candidates are sampled, and how much off-target samples shape ongoing search.</w:t>
      </w:r>
      <w:r>
        <w:t xml:space="preserve"> </w:t>
      </w:r>
      <w:r>
        <w:t xml:space="preserve">The next simulations examine how memory-test format changes access to the same encoded film and task associations.</w:t>
      </w:r>
      <w:r>
        <w:t xml:space="preserve"> </w:t>
      </w:r>
      <w:r>
        <w:t xml:space="preserve">Some trauma-film studies measure intrusions in the laboratory with vigilance-intrusion tasks, in which participants perform an attention task while film-related cues can be used to elicit intrusive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w:t>
      </w:r>
      <w:r>
        <w:t xml:space="preserve"> </w:t>
      </w:r>
      <w:r>
        <w:t xml:space="preserve">Lau-Zhu et al. (</w:t>
      </w:r>
      <w:hyperlink w:anchor="ref-lau2021selectively">
        <w:r>
          <w:rPr>
            <w:rStyle w:val="Hyperlink"/>
          </w:rPr>
          <w:t xml:space="preserve">2021</w:t>
        </w:r>
      </w:hyperlink>
      <w:r>
        <w:t xml:space="preserve">)</w:t>
      </w:r>
      <w:r>
        <w:t xml:space="preserve">, trauma-film cues elicited more intrusion reports than foil cues, but cue condition did not clearly change the size of the interference effect.</w:t>
      </w:r>
      <w:r>
        <w:t xml:space="preserve"> </w:t>
      </w:r>
      <w:r>
        <w:t xml:space="preserve">Simulation 3 abstracts this retrieval-period cueing manipulation, testing whether film cues can increase film access without necessarily reducing the interference effect.</w:t>
      </w:r>
      <w:r>
        <w:t xml:space="preserve"> </w:t>
      </w:r>
      <w:r>
        <w:t xml:space="preserve">Simulation 4 turns to recognition, where a candidate film item is presented for judgment rather than first being recovered through free recall.</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32"/>
    <w:bookmarkStart w:id="41"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In the sections below, film reminders are film cues presented before task encoding, so they can change the context in which task items are learned.</w:t>
      </w:r>
      <w:r>
        <w:t xml:space="preserve"> </w:t>
      </w:r>
      <w:r>
        <w:t xml:space="preserve">Test-phase film cues are film-related cues presented during retrieval or intrusion monitoring, as in vigilance-intrusion tasks.</w:t>
      </w:r>
      <w:r>
        <w:t xml:space="preserve"> </w:t>
      </w:r>
      <w:r>
        <w:t xml:space="preserve">Recognition tests present a candidate film item for judgment; Simulation 4 models this supplied-item access step without modeling the full recognition decision.</w:t>
      </w:r>
    </w:p>
    <w:p>
      <w:r>
        <w:br w:type="page"/>
      </w:r>
    </w:p>
    <w:bookmarkStart w:id="36"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4" name="Picture"/>
            <a:graphic>
              <a:graphicData uri="http://schemas.openxmlformats.org/drawingml/2006/picture">
                <pic:pic>
                  <pic:nvPicPr>
                    <pic:cNvPr descr="retrieved_context_account_figure/retrieved_context_encoding_associations_composite.png" id="35" name="Picture"/>
                    <pic:cNvPicPr>
                      <a:picLocks noChangeArrowheads="1" noChangeAspect="1"/>
                    </pic:cNvPicPr>
                  </pic:nvPicPr>
                  <pic:blipFill>
                    <a:blip r:embed="rId33"/>
                    <a:stretch>
                      <a:fillRect/>
                    </a:stretch>
                  </pic:blipFill>
                  <pic:spPr bwMode="auto">
                    <a:xfrm>
                      <a:off x="0" y="0"/>
                      <a:ext cx="5943600" cy="4781436"/>
                    </a:xfrm>
                    <a:prstGeom prst="rect">
                      <a:avLst/>
                    </a:prstGeom>
                    <a:noFill/>
                    <a:ln w="9525">
                      <a:noFill/>
                      <a:headEnd/>
                      <a:tailEnd/>
                    </a:ln>
                  </pic:spPr>
                </pic:pic>
              </a:graphicData>
            </a:graphic>
          </wp:inline>
        </w:drawing>
      </w:r>
    </w:p>
    <w:bookmarkEnd w:id="36"/>
    <w:p>
      <w:r>
        <w:br w:type="page"/>
      </w:r>
    </w:p>
    <w:bookmarkStart w:id="40"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8" name="Picture"/>
            <a:graphic>
              <a:graphicData uri="http://schemas.openxmlformats.org/drawingml/2006/picture">
                <pic:pic>
                  <pic:nvPicPr>
                    <pic:cNvPr descr="retrieved_context_account_figure/retrieved_context_retrieval_operations_composite.png" id="39" name="Picture"/>
                    <pic:cNvPicPr>
                      <a:picLocks noChangeArrowheads="1" noChangeAspect="1"/>
                    </pic:cNvPicPr>
                  </pic:nvPicPr>
                  <pic:blipFill>
                    <a:blip r:embed="rId37"/>
                    <a:stretch>
                      <a:fillRect/>
                    </a:stretch>
                  </pic:blipFill>
                  <pic:spPr bwMode="auto">
                    <a:xfrm>
                      <a:off x="0" y="0"/>
                      <a:ext cx="5943600" cy="4505122"/>
                    </a:xfrm>
                    <a:prstGeom prst="rect">
                      <a:avLst/>
                    </a:prstGeom>
                    <a:noFill/>
                    <a:ln w="9525">
                      <a:noFill/>
                      <a:headEnd/>
                      <a:tailEnd/>
                    </a:ln>
                  </pic:spPr>
                </pic:pic>
              </a:graphicData>
            </a:graphic>
          </wp:inline>
        </w:drawing>
      </w:r>
    </w:p>
    <w:bookmarkEnd w:id="40"/>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retrieval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41"/>
    <w:bookmarkStart w:id="66"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5"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2"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2"/>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3"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3"/>
    </w:p>
    <w:p>
      <w:pPr>
        <w:pStyle w:val="FirstParagraph"/>
      </w:pPr>
      <w:bookmarkStart w:id="44"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4"/>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5"/>
    <w:bookmarkStart w:id="57"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6"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6"/>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7"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7"/>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8"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8"/>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49"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49"/>
    </w:p>
    <w:p>
      <w:pPr>
        <w:pStyle w:val="FirstParagraph"/>
      </w:pPr>
      <w:r>
        <w:t xml:space="preserve">A primacy function weights context-to-feature learning:</w:t>
      </w:r>
    </w:p>
    <w:p>
      <w:pPr>
        <w:pStyle w:val="BodyText"/>
      </w:pPr>
      <w:bookmarkStart w:id="50"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0"/>
    </w:p>
    <w:p>
      <w:pPr>
        <w:pStyle w:val="FirstParagraph"/>
      </w:pPr>
      <w:r>
        <w:t xml:space="preserve">Context-to-feature associations update as:</w:t>
      </w:r>
    </w:p>
    <w:p>
      <w:pPr>
        <w:pStyle w:val="BodyText"/>
      </w:pPr>
      <w:bookmarkStart w:id="51"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1"/>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52"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52"/>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3"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3"/>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4"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4"/>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5"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5"/>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6"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6"/>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57"/>
    <w:bookmarkStart w:id="61"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58"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8"/>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5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59"/>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0"/>
    </w:p>
    <w:p>
      <w:pPr>
        <w:pStyle w:val="FirstParagraph"/>
      </w:pPr>
      <w:r>
        <w:t xml:space="preserve">Supplied film items therefore use the same feature-to-context operation as sampled and reminded items.</w:t>
      </w:r>
    </w:p>
    <w:bookmarkEnd w:id="61"/>
    <w:bookmarkStart w:id="65"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2"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2"/>
    </w:p>
    <w:p>
      <w:pPr>
        <w:pStyle w:val="FirstParagraph"/>
      </w:pPr>
      <w:r>
        <w:t xml:space="preserve">Source-context-to-feature support begins at zero:</w:t>
      </w:r>
    </w:p>
    <w:p>
      <w:pPr>
        <w:pStyle w:val="BodyText"/>
      </w:pPr>
      <w:bookmarkStart w:id="63"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3"/>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4"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4"/>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5"/>
    <w:bookmarkEnd w:id="66"/>
    <w:bookmarkStart w:id="116"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7"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7"/>
    <w:bookmarkStart w:id="69"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8"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8"/>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69"/>
    <w:bookmarkStart w:id="8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3"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1" name="Picture"/>
            <a:graphic>
              <a:graphicData uri="http://schemas.openxmlformats.org/drawingml/2006/picture">
                <pic:pic>
                  <pic:nvPicPr>
                    <pic:cNvPr descr="figures/simulation1_unguided_cued_sequence_summary.png" id="72" name="Picture"/>
                    <pic:cNvPicPr>
                      <a:picLocks noChangeArrowheads="1" noChangeAspect="1"/>
                    </pic:cNvPicPr>
                  </pic:nvPicPr>
                  <pic:blipFill>
                    <a:blip r:embed="rId70"/>
                    <a:stretch>
                      <a:fillRect/>
                    </a:stretch>
                  </pic:blipFill>
                  <pic:spPr bwMode="auto">
                    <a:xfrm>
                      <a:off x="0" y="0"/>
                      <a:ext cx="5943600" cy="5253037"/>
                    </a:xfrm>
                    <a:prstGeom prst="rect">
                      <a:avLst/>
                    </a:prstGeom>
                    <a:noFill/>
                    <a:ln w="9525">
                      <a:noFill/>
                      <a:headEnd/>
                      <a:tailEnd/>
                    </a:ln>
                  </pic:spPr>
                </pic:pic>
              </a:graphicData>
            </a:graphic>
          </wp:inline>
        </w:drawing>
      </w:r>
    </w:p>
    <w:bookmarkEnd w:id="73"/>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4"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4"/>
    <w:p>
      <w:pPr>
        <w:pStyle w:val="AfterWithoutNote"/>
      </w:pPr>
      <w:r>
        <w:t xml:space="preserve"> </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9783"/>
            <wp:effectExtent b="0" l="0" r="0" t="0"/>
            <wp:docPr descr="" title="" id="76" name="Picture"/>
            <a:graphic>
              <a:graphicData uri="http://schemas.openxmlformats.org/drawingml/2006/picture">
                <pic:pic>
                  <pic:nvPicPr>
                    <pic:cNvPr descr="figures/simulation1_unguided_cued_recall_distributions.png" id="77" name="Picture"/>
                    <pic:cNvPicPr>
                      <a:picLocks noChangeArrowheads="1" noChangeAspect="1"/>
                    </pic:cNvPicPr>
                  </pic:nvPicPr>
                  <pic:blipFill>
                    <a:blip r:embed="rId75"/>
                    <a:stretch>
                      <a:fillRect/>
                    </a:stretch>
                  </pic:blipFill>
                  <pic:spPr bwMode="auto">
                    <a:xfrm>
                      <a:off x="0" y="0"/>
                      <a:ext cx="5943600" cy="5589783"/>
                    </a:xfrm>
                    <a:prstGeom prst="rect">
                      <a:avLst/>
                    </a:prstGeom>
                    <a:noFill/>
                    <a:ln w="9525">
                      <a:noFill/>
                      <a:headEnd/>
                      <a:tailEnd/>
                    </a:ln>
                  </pic:spPr>
                </pic:pic>
              </a:graphicData>
            </a:graphic>
          </wp:inline>
        </w:drawing>
      </w:r>
    </w:p>
    <w:bookmarkEnd w:id="78"/>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condition with a pre-task film reminder, mean film recall changes from 0.306 to 0.064, while mean task recall changes from 0.000 to 0.384.</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figures/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figures/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figures/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r>
        <w:t xml:space="preserve"> </w:t>
      </w:r>
    </w:p>
    <w:bookmarkStart w:id="95" w:name="Xe96feb7454d6b23e449dfafb9c326dcfa9c3226"/>
    <w:p>
      <w:pPr>
        <w:pStyle w:val="FigureTitle"/>
      </w:pPr>
      <w:r>
        <w:t xml:space="preserve">Figure 10</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3" name="Picture"/>
            <a:graphic>
              <a:graphicData uri="http://schemas.openxmlformats.org/drawingml/2006/picture">
                <pic:pic>
                  <pic:nvPicPr>
                    <pic:cNvPr descr="figures/simulation2_start_context_reinstatement.png" id="94" name="Picture"/>
                    <pic:cNvPicPr>
                      <a:picLocks noChangeArrowheads="1" noChangeAspect="1"/>
                    </pic:cNvPicPr>
                  </pic:nvPicPr>
                  <pic:blipFill>
                    <a:blip r:embed="rId92"/>
                    <a:stretch>
                      <a:fillRect/>
                    </a:stretch>
                  </pic:blipFill>
                  <pic:spPr bwMode="auto">
                    <a:xfrm>
                      <a:off x="0" y="0"/>
                      <a:ext cx="5943600" cy="5618437"/>
                    </a:xfrm>
                    <a:prstGeom prst="rect">
                      <a:avLst/>
                    </a:prstGeom>
                    <a:noFill/>
                    <a:ln w="9525">
                      <a:noFill/>
                      <a:headEnd/>
                      <a:tailEnd/>
                    </a:ln>
                  </pic:spPr>
                </pic:pic>
              </a:graphicData>
            </a:graphic>
          </wp:inline>
        </w:drawing>
      </w:r>
    </w:p>
    <w:bookmarkEnd w:id="95"/>
    <w:p>
      <w:pPr>
        <w:pStyle w:val="AfterWithoutNote"/>
      </w:pPr>
      <w:r>
        <w:t xml:space="preserve"> </w:t>
      </w:r>
    </w:p>
    <w:bookmarkStart w:id="99" w:name="Xa9c4b5e1618786b5f440768b73dd7732a592b1f"/>
    <w:p>
      <w:pPr>
        <w:pStyle w:val="FigureTitle"/>
      </w:pPr>
      <w:r>
        <w:t xml:space="preserve">Figure 11</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45176"/>
            <wp:effectExtent b="0" l="0" r="0" t="0"/>
            <wp:docPr descr="" title="" id="97" name="Picture"/>
            <a:graphic>
              <a:graphicData uri="http://schemas.openxmlformats.org/drawingml/2006/picture">
                <pic:pic>
                  <pic:nvPicPr>
                    <pic:cNvPr descr="figures/simulation2_target_monitoring_diagnostic.png" id="98" name="Picture"/>
                    <pic:cNvPicPr>
                      <a:picLocks noChangeArrowheads="1" noChangeAspect="1"/>
                    </pic:cNvPicPr>
                  </pic:nvPicPr>
                  <pic:blipFill>
                    <a:blip r:embed="rId96"/>
                    <a:stretch>
                      <a:fillRect/>
                    </a:stretch>
                  </pic:blipFill>
                  <pic:spPr bwMode="auto">
                    <a:xfrm>
                      <a:off x="0" y="0"/>
                      <a:ext cx="5943600" cy="5645176"/>
                    </a:xfrm>
                    <a:prstGeom prst="rect">
                      <a:avLst/>
                    </a:prstGeom>
                    <a:noFill/>
                    <a:ln w="9525">
                      <a:noFill/>
                      <a:headEnd/>
                      <a:tailEnd/>
                    </a:ln>
                  </pic:spPr>
                </pic:pic>
              </a:graphicData>
            </a:graphic>
          </wp:inline>
        </w:drawing>
      </w:r>
    </w:p>
    <w:bookmarkEnd w:id="99"/>
    <w:p>
      <w:pPr>
        <w:pStyle w:val="AfterWithoutNote"/>
      </w:pPr>
      <w:r>
        <w:t xml:space="preserve"> </w:t>
      </w:r>
    </w:p>
    <w:bookmarkStart w:id="103" w:name="X6daa0b906c5e98f8ec58936bb9080f274712771"/>
    <w:p>
      <w:pPr>
        <w:pStyle w:val="FigureTitle"/>
      </w:pPr>
      <w:r>
        <w:t xml:space="preserve">Figure 12</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101" name="Picture"/>
            <a:graphic>
              <a:graphicData uri="http://schemas.openxmlformats.org/drawingml/2006/picture">
                <pic:pic>
                  <pic:nvPicPr>
                    <pic:cNvPr descr="figures/simulation2_film_retrieval_goal_context_overlap.png" id="102" name="Picture"/>
                    <pic:cNvPicPr>
                      <a:picLocks noChangeArrowheads="1" noChangeAspect="1"/>
                    </pic:cNvPicPr>
                  </pic:nvPicPr>
                  <pic:blipFill>
                    <a:blip r:embed="rId100"/>
                    <a:stretch>
                      <a:fillRect/>
                    </a:stretch>
                  </pic:blipFill>
                  <pic:spPr bwMode="auto">
                    <a:xfrm>
                      <a:off x="0" y="0"/>
                      <a:ext cx="5943600" cy="5660571"/>
                    </a:xfrm>
                    <a:prstGeom prst="rect">
                      <a:avLst/>
                    </a:prstGeom>
                    <a:noFill/>
                    <a:ln w="9525">
                      <a:noFill/>
                      <a:headEnd/>
                      <a:tailEnd/>
                    </a:ln>
                  </pic:spPr>
                </pic:pic>
              </a:graphicData>
            </a:graphic>
          </wp:inline>
        </w:drawing>
      </w:r>
    </w:p>
    <w:bookmarkEnd w:id="103"/>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4"/>
    <w:bookmarkStart w:id="109"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13</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8" w:name="fig-simulation3-film-cue-inclusion"/>
    <w:p>
      <w:pPr>
        <w:pStyle w:val="FigureTitle"/>
      </w:pPr>
      <w:r>
        <w:t xml:space="preserve">Figure 13</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6" name="Picture"/>
            <a:graphic>
              <a:graphicData uri="http://schemas.openxmlformats.org/drawingml/2006/picture">
                <pic:pic>
                  <pic:nvPicPr>
                    <pic:cNvPr descr="figures/simulation3_film_cue_inclusion.png" id="107" name="Picture"/>
                    <pic:cNvPicPr>
                      <a:picLocks noChangeArrowheads="1" noChangeAspect="1"/>
                    </pic:cNvPicPr>
                  </pic:nvPicPr>
                  <pic:blipFill>
                    <a:blip r:embed="rId105"/>
                    <a:stretch>
                      <a:fillRect/>
                    </a:stretch>
                  </pic:blipFill>
                  <pic:spPr bwMode="auto">
                    <a:xfrm>
                      <a:off x="0" y="0"/>
                      <a:ext cx="5943600" cy="4164783"/>
                    </a:xfrm>
                    <a:prstGeom prst="rect">
                      <a:avLst/>
                    </a:prstGeom>
                    <a:noFill/>
                    <a:ln w="9525">
                      <a:noFill/>
                      <a:headEnd/>
                      <a:tailEnd/>
                    </a:ln>
                  </pic:spPr>
                </pic:pic>
              </a:graphicData>
            </a:graphic>
          </wp:inline>
        </w:drawing>
      </w:r>
    </w:p>
    <w:bookmarkEnd w:id="108"/>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09"/>
    <w:bookmarkStart w:id="114"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14</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13" w:name="fig-simulation4-test-format-schematic"/>
    <w:p>
      <w:pPr>
        <w:pStyle w:val="FigureTitle"/>
      </w:pPr>
      <w:r>
        <w:t xml:space="preserve">Figure 14</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2773680"/>
            <wp:effectExtent b="0" l="0" r="0" t="0"/>
            <wp:docPr descr="" title="" id="111" name="Picture"/>
            <a:graphic>
              <a:graphicData uri="http://schemas.openxmlformats.org/drawingml/2006/picture">
                <pic:pic>
                  <pic:nvPicPr>
                    <pic:cNvPr descr="figures/simulation4_test_format_schematic.png" id="112" name="Picture"/>
                    <pic:cNvPicPr>
                      <a:picLocks noChangeArrowheads="1" noChangeAspect="1"/>
                    </pic:cNvPicPr>
                  </pic:nvPicPr>
                  <pic:blipFill>
                    <a:blip r:embed="rId110"/>
                    <a:stretch>
                      <a:fillRect/>
                    </a:stretch>
                  </pic:blipFill>
                  <pic:spPr bwMode="auto">
                    <a:xfrm>
                      <a:off x="0" y="0"/>
                      <a:ext cx="5943600" cy="2773680"/>
                    </a:xfrm>
                    <a:prstGeom prst="rect">
                      <a:avLst/>
                    </a:prstGeom>
                    <a:noFill/>
                    <a:ln w="9525">
                      <a:noFill/>
                      <a:headEnd/>
                      <a:tailEnd/>
                    </a:ln>
                  </pic:spPr>
                </pic:pic>
              </a:graphicData>
            </a:graphic>
          </wp:inline>
        </w:drawing>
      </w:r>
    </w:p>
    <w:bookmarkEnd w:id="113"/>
    <w:bookmarkEnd w:id="114"/>
    <w:bookmarkStart w:id="115"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5"/>
    <w:bookmarkEnd w:id="116"/>
    <w:bookmarkStart w:id="117" w:name="general-discussion"/>
    <w:p>
      <w:pPr>
        <w:pStyle w:val="Heading1"/>
      </w:pPr>
      <w:r>
        <w:t xml:space="preserve">General Discussion</w:t>
      </w:r>
    </w:p>
    <w:bookmarkEnd w:id="117"/>
    <w:bookmarkStart w:id="206" w:name="references"/>
    <w:p>
      <w:pPr>
        <w:pStyle w:val="Heading1"/>
      </w:pPr>
      <w:r>
        <w:t xml:space="preserve">References</w:t>
      </w:r>
    </w:p>
    <w:bookmarkStart w:id="205" w:name="refs"/>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122">
        <w:r>
          <w:rPr>
            <w:rStyle w:val="Hyperlink"/>
          </w:rPr>
          <w:t xml:space="preserve">https://doi.org/10.1098/rsif.2023.0108</w:t>
        </w:r>
      </w:hyperlink>
    </w:p>
    <w:bookmarkEnd w:id="123"/>
    <w:bookmarkStart w:id="125"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124">
        <w:r>
          <w:rPr>
            <w:rStyle w:val="Hyperlink"/>
          </w:rPr>
          <w:t xml:space="preserve">https://doi.org/10.3758/s13420-024-00645-0</w:t>
        </w:r>
      </w:hyperlink>
    </w:p>
    <w:bookmarkEnd w:id="125"/>
    <w:bookmarkStart w:id="12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6">
        <w:r>
          <w:rPr>
            <w:rStyle w:val="Hyperlink"/>
          </w:rPr>
          <w:t xml:space="preserve">https://doi.org/10.1037/a0033722</w:t>
        </w:r>
      </w:hyperlink>
    </w:p>
    <w:bookmarkEnd w:id="127"/>
    <w:bookmarkStart w:id="12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8">
        <w:r>
          <w:rPr>
            <w:rStyle w:val="Hyperlink"/>
          </w:rPr>
          <w:t xml:space="preserve">https://doi.org/10.1037/0033-295X.103.4.670</w:t>
        </w:r>
      </w:hyperlink>
    </w:p>
    <w:bookmarkEnd w:id="129"/>
    <w:bookmarkStart w:id="13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0">
        <w:r>
          <w:rPr>
            <w:rStyle w:val="Hyperlink"/>
          </w:rPr>
          <w:t xml:space="preserve">https://doi.org/10.1037/a0018113</w:t>
        </w:r>
      </w:hyperlink>
    </w:p>
    <w:bookmarkEnd w:id="131"/>
    <w:bookmarkStart w:id="13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2">
        <w:r>
          <w:rPr>
            <w:rStyle w:val="Hyperlink"/>
          </w:rPr>
          <w:t xml:space="preserve">https://doi.org/10.1037/rev0000334</w:t>
        </w:r>
      </w:hyperlink>
    </w:p>
    <w:bookmarkEnd w:id="133"/>
    <w:bookmarkStart w:id="13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4">
        <w:r>
          <w:rPr>
            <w:rStyle w:val="Hyperlink"/>
          </w:rPr>
          <w:t xml:space="preserve">https://doi.org/10.1016/j.jbtep.2011.10.008</w:t>
        </w:r>
      </w:hyperlink>
    </w:p>
    <w:bookmarkEnd w:id="135"/>
    <w:bookmarkStart w:id="13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6"/>
    <w:bookmarkStart w:id="13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7">
        <w:r>
          <w:rPr>
            <w:rStyle w:val="Hyperlink"/>
          </w:rPr>
          <w:t xml:space="preserve">https://doi.org/10.1016/S0005-7967(99)00123-0</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1">
        <w:r>
          <w:rPr>
            <w:rStyle w:val="Hyperlink"/>
          </w:rPr>
          <w:t xml:space="preserve">https://doi.org/10.1016/j.actpsy.2007.11.002</w:t>
        </w:r>
      </w:hyperlink>
    </w:p>
    <w:bookmarkEnd w:id="142"/>
    <w:bookmarkStart w:id="144"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3">
        <w:r>
          <w:rPr>
            <w:rStyle w:val="Hyperlink"/>
          </w:rPr>
          <w:t xml:space="preserve">https://doi.org/10.1037/0096-3445.133.1.3</w:t>
        </w:r>
      </w:hyperlink>
    </w:p>
    <w:bookmarkEnd w:id="144"/>
    <w:bookmarkStart w:id="146"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5">
        <w:r>
          <w:rPr>
            <w:rStyle w:val="Hyperlink"/>
          </w:rPr>
          <w:t xml:space="preserve">https://doi.org/10.1371/journal.pone.0004153</w:t>
        </w:r>
      </w:hyperlink>
    </w:p>
    <w:bookmarkEnd w:id="146"/>
    <w:bookmarkStart w:id="148"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7">
        <w:r>
          <w:rPr>
            <w:rStyle w:val="Hyperlink"/>
          </w:rPr>
          <w:t xml:space="preserve">https://doi.org/10.1371/journal.pone.0013706</w:t>
        </w:r>
      </w:hyperlink>
    </w:p>
    <w:bookmarkEnd w:id="148"/>
    <w:bookmarkStart w:id="150"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9">
        <w:r>
          <w:rPr>
            <w:rStyle w:val="Hyperlink"/>
          </w:rPr>
          <w:t xml:space="preserve">https://doi.org/10.1016/j.brat.2017.03.018</w:t>
        </w:r>
      </w:hyperlink>
    </w:p>
    <w:bookmarkEnd w:id="150"/>
    <w:bookmarkStart w:id="15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1">
        <w:r>
          <w:rPr>
            <w:rStyle w:val="Hyperlink"/>
          </w:rPr>
          <w:t xml:space="preserve">https://doi.org/10.1006/jmps.2001.1388</w:t>
        </w:r>
      </w:hyperlink>
    </w:p>
    <w:bookmarkEnd w:id="152"/>
    <w:bookmarkStart w:id="15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3"/>
    <w:bookmarkStart w:id="155"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54">
        <w:r>
          <w:rPr>
            <w:rStyle w:val="Hyperlink"/>
          </w:rPr>
          <w:t xml:space="preserve">https://doi.org/10.1101/lm.1022308</w:t>
        </w:r>
      </w:hyperlink>
    </w:p>
    <w:bookmarkEnd w:id="155"/>
    <w:bookmarkStart w:id="15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6">
        <w:r>
          <w:rPr>
            <w:rStyle w:val="Hyperlink"/>
          </w:rPr>
          <w:t xml:space="preserve">https://doi.org/10.1038/mp.2017.23</w:t>
        </w:r>
      </w:hyperlink>
    </w:p>
    <w:bookmarkEnd w:id="157"/>
    <w:bookmarkStart w:id="15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8">
        <w:r>
          <w:rPr>
            <w:rStyle w:val="Hyperlink"/>
          </w:rPr>
          <w:t xml:space="preserve">https://doi.org/10.1016/j.cpr.2018.08.005</w:t>
        </w:r>
      </w:hyperlink>
    </w:p>
    <w:bookmarkEnd w:id="159"/>
    <w:bookmarkStart w:id="16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0">
        <w:r>
          <w:rPr>
            <w:rStyle w:val="Hyperlink"/>
          </w:rPr>
          <w:t xml:space="preserve">https://doi.org/10.1177/0956797615583071</w:t>
        </w:r>
      </w:hyperlink>
    </w:p>
    <w:bookmarkEnd w:id="161"/>
    <w:bookmarkStart w:id="16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2">
        <w:r>
          <w:rPr>
            <w:rStyle w:val="Hyperlink"/>
          </w:rPr>
          <w:t xml:space="preserve">https://doi.org/10.1016/j.cpr.2016.04.010</w:t>
        </w:r>
      </w:hyperlink>
    </w:p>
    <w:bookmarkEnd w:id="163"/>
    <w:bookmarkStart w:id="16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4"/>
    <w:bookmarkStart w:id="16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5">
        <w:r>
          <w:rPr>
            <w:rStyle w:val="Hyperlink"/>
          </w:rPr>
          <w:t xml:space="preserve">https://doi.org/10.1146/annurev-psych-010418-103358</w:t>
        </w:r>
      </w:hyperlink>
    </w:p>
    <w:bookmarkEnd w:id="166"/>
    <w:bookmarkStart w:id="16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7">
        <w:r>
          <w:rPr>
            <w:rStyle w:val="Hyperlink"/>
          </w:rPr>
          <w:t xml:space="preserve">https://doi.org/10.1002/cpp.2489</w:t>
        </w:r>
      </w:hyperlink>
    </w:p>
    <w:bookmarkEnd w:id="168"/>
    <w:bookmarkStart w:id="17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9">
        <w:r>
          <w:rPr>
            <w:rStyle w:val="Hyperlink"/>
          </w:rPr>
          <w:t xml:space="preserve">https://doi.org/10.1016/j.jbtep.2019.01.006</w:t>
        </w:r>
      </w:hyperlink>
    </w:p>
    <w:bookmarkEnd w:id="170"/>
    <w:bookmarkStart w:id="17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1">
        <w:r>
          <w:rPr>
            <w:rStyle w:val="Hyperlink"/>
          </w:rPr>
          <w:t xml:space="preserve">https://doi.org/10.1038/nn.2271</w:t>
        </w:r>
      </w:hyperlink>
    </w:p>
    <w:bookmarkEnd w:id="172"/>
    <w:bookmarkStart w:id="174"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3">
        <w:r>
          <w:rPr>
            <w:rStyle w:val="Hyperlink"/>
          </w:rPr>
          <w:t xml:space="preserve">https://doi.org/10.1523/JNEUROSCI.3378-14.2015</w:t>
        </w:r>
      </w:hyperlink>
    </w:p>
    <w:bookmarkEnd w:id="174"/>
    <w:bookmarkStart w:id="176"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5">
        <w:r>
          <w:rPr>
            <w:rStyle w:val="Hyperlink"/>
          </w:rPr>
          <w:t xml:space="preserve">https://doi.org/10.1002/acp.1611</w:t>
        </w:r>
      </w:hyperlink>
    </w:p>
    <w:bookmarkEnd w:id="176"/>
    <w:bookmarkStart w:id="178"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7">
        <w:r>
          <w:rPr>
            <w:rStyle w:val="Hyperlink"/>
          </w:rPr>
          <w:t xml:space="preserve">https://doi.org/10.1037/xge0000598</w:t>
        </w:r>
      </w:hyperlink>
    </w:p>
    <w:bookmarkEnd w:id="178"/>
    <w:bookmarkStart w:id="180"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9">
        <w:r>
          <w:rPr>
            <w:rStyle w:val="Hyperlink"/>
          </w:rPr>
          <w:t xml:space="preserve">https://doi.org/10.1177/2167702621998315</w:t>
        </w:r>
      </w:hyperlink>
    </w:p>
    <w:bookmarkEnd w:id="180"/>
    <w:bookmarkStart w:id="18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1">
        <w:r>
          <w:rPr>
            <w:rStyle w:val="Hyperlink"/>
          </w:rPr>
          <w:t xml:space="preserve">https://doi.org/10.1037/a0039036</w:t>
        </w:r>
      </w:hyperlink>
    </w:p>
    <w:bookmarkEnd w:id="182"/>
    <w:bookmarkStart w:id="18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3">
        <w:r>
          <w:rPr>
            <w:rStyle w:val="Hyperlink"/>
          </w:rPr>
          <w:t xml:space="preserve">https://doi.org/10.1016/j.jml.2015.10.002</w:t>
        </w:r>
      </w:hyperlink>
    </w:p>
    <w:bookmarkEnd w:id="184"/>
    <w:bookmarkStart w:id="18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5">
        <w:r>
          <w:rPr>
            <w:rStyle w:val="Hyperlink"/>
          </w:rPr>
          <w:t xml:space="preserve">https://doi.org/10.1037/a0014420</w:t>
        </w:r>
      </w:hyperlink>
    </w:p>
    <w:bookmarkEnd w:id="186"/>
    <w:bookmarkStart w:id="18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7">
        <w:r>
          <w:rPr>
            <w:rStyle w:val="Hyperlink"/>
          </w:rPr>
          <w:t xml:space="preserve">https://doi.org/10.1016/j.neuropsychologia.2009.02.013</w:t>
        </w:r>
      </w:hyperlink>
    </w:p>
    <w:bookmarkEnd w:id="188"/>
    <w:bookmarkStart w:id="19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89">
        <w:r>
          <w:rPr>
            <w:rStyle w:val="Hyperlink"/>
          </w:rPr>
          <w:t xml:space="preserve">https://doi.org/10.1111/j.1467-9280.2005.01634.x</w:t>
        </w:r>
      </w:hyperlink>
    </w:p>
    <w:bookmarkEnd w:id="190"/>
    <w:bookmarkStart w:id="19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1">
        <w:r>
          <w:rPr>
            <w:rStyle w:val="Hyperlink"/>
          </w:rPr>
          <w:t xml:space="preserve">https://doi.org/10.3758/s13423-011-0086-9</w:t>
        </w:r>
      </w:hyperlink>
    </w:p>
    <w:bookmarkEnd w:id="192"/>
    <w:bookmarkStart w:id="19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3">
        <w:r>
          <w:rPr>
            <w:rStyle w:val="Hyperlink"/>
          </w:rPr>
          <w:t xml:space="preserve">https://doi.org/10.1037/a0013396</w:t>
        </w:r>
      </w:hyperlink>
    </w:p>
    <w:bookmarkEnd w:id="194"/>
    <w:bookmarkStart w:id="19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5">
        <w:r>
          <w:rPr>
            <w:rStyle w:val="Hyperlink"/>
          </w:rPr>
          <w:t xml:space="preserve">https://doi.org/10.1037/rev0000132</w:t>
        </w:r>
      </w:hyperlink>
    </w:p>
    <w:bookmarkEnd w:id="196"/>
    <w:bookmarkStart w:id="198"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97">
        <w:r>
          <w:rPr>
            <w:rStyle w:val="Hyperlink"/>
          </w:rPr>
          <w:t xml:space="preserve">https://doi.org/10.1038/s41562-024-01956-y</w:t>
        </w:r>
      </w:hyperlink>
    </w:p>
    <w:bookmarkEnd w:id="198"/>
    <w:bookmarkStart w:id="200"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99">
        <w:r>
          <w:rPr>
            <w:rStyle w:val="Hyperlink"/>
          </w:rPr>
          <w:t xml:space="preserve">https://doi.org/10.1525/collabra.130791</w:t>
        </w:r>
      </w:hyperlink>
    </w:p>
    <w:bookmarkEnd w:id="200"/>
    <w:bookmarkStart w:id="20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1">
        <w:r>
          <w:rPr>
            <w:rStyle w:val="Hyperlink"/>
          </w:rPr>
          <w:t xml:space="preserve">https://doi.org/10.1037/0278-7393.32.4.792</w:t>
        </w:r>
      </w:hyperlink>
    </w:p>
    <w:bookmarkEnd w:id="202"/>
    <w:bookmarkStart w:id="204"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3">
        <w:r>
          <w:rPr>
            <w:rStyle w:val="Hyperlink"/>
          </w:rPr>
          <w:t xml:space="preserve">https://doi.org/10.1037/rev0000505</w:t>
        </w:r>
      </w:hyperlink>
    </w:p>
    <w:bookmarkEnd w:id="204"/>
    <w:bookmarkEnd w:id="205"/>
    <w:bookmarkEnd w:id="20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100" Target="media/rId100.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2026-06-24T05:03:58Z</dcterms:created>
  <dcterms:modified xsi:type="dcterms:W3CDTF">2026-06-24T05:03:58Z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