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9.png" ContentType="image/png"/>
  <Override PartName="/word/media/rId43.png" ContentType="image/png"/>
  <Override PartName="/word/media/rId89.png" ContentType="image/png"/>
  <Override PartName="/word/media/rId85.png" ContentType="image/png"/>
  <Override PartName="/word/media/rId80.png" ContentType="image/png"/>
  <Override PartName="/word/media/rId94.png" ContentType="image/png"/>
  <Override PartName="/word/media/rId102.png" ContentType="image/png"/>
  <Override PartName="/word/media/rId98.png" ContentType="image/png"/>
  <Override PartName="/word/media/rId106.png" ContentType="image/png"/>
  <Override PartName="/word/media/rId110.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38" w:name="Xc30ecb24643046c4752102619295de1bc2871c8"/>
    <w:p>
      <w:pPr>
        <w:pStyle w:val="Heading1"/>
      </w:pPr>
      <w:r>
        <w:t xml:space="preserve">A Retrieved-Context Account of Selective Interference</w:t>
      </w:r>
    </w:p>
    <w:p>
      <w:pPr>
        <w:pStyle w:val="FirstParagraph"/>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34"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34"/>
    <w:bookmarkStart w:id="35"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The account uses bidirectional item-context associations to connect reminders, encoding, and later recall.</w:t>
      </w:r>
      <w:r>
        <w:t xml:space="preserve"> </w:t>
      </w:r>
      <w:r>
        <w:t xml:space="preserve">In retrieved-context models, the current context cues candidate items, and retrieved or presented items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This item-to-context operation gives reminders a specific computational role: a reminder can reinstate context associated with an earlier episode before new material is encoded.</w:t>
      </w:r>
      <w:r>
        <w:t xml:space="preserve"> </w:t>
      </w:r>
      <w:r>
        <w:t xml:space="preserve">As part of an account of the selective-interference effect, the film reminder shifts the current context toward film-associated states before the task begins.</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CMR explains this pattern by treating recall as candidate sampling from the current context.</w:t>
      </w:r>
      <w:r>
        <w:t xml:space="preserve"> </w:t>
      </w:r>
      <w:r>
        <w:t xml:space="preserve">As context drifts, support for non-target items declines; 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A reminder can also change how later material is encoded.</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We implement the reminder as reinstatement of film-associated context before task encoding.</w:t>
      </w:r>
      <w:r>
        <w:t xml:space="preserve"> </w:t>
      </w:r>
      <w:r>
        <w:t xml:space="preserve">Task events encoded in that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35"/>
    <w:bookmarkStart w:id="36" w:name="supplied-item-recognition"/>
    <w:p>
      <w:pPr>
        <w:pStyle w:val="Heading2"/>
      </w:pPr>
      <w:r>
        <w:t xml:space="preserve">Supplied-Item Recognition</w:t>
      </w:r>
    </w:p>
    <w:bookmarkEnd w:id="36"/>
    <w:bookmarkStart w:id="37"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applies the same operation before deliberate film recall.</w:t>
      </w:r>
      <w:r>
        <w:t xml:space="preserve"> </w:t>
      </w:r>
      <w:r>
        <w:t xml:space="preserve">Compared with unguided retrieval, this starting state can bias early search toward film candidates rather than task competitors.</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b/>
            <w:bCs/>
          </w:rPr>
          <w:t xml:space="preserve">unsworth2010understanding?</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zaromb2006temporal">
        <w:r>
          <w:rPr>
            <w:rStyle w:val="Hyperlink"/>
          </w:rPr>
          <w:t xml:space="preserve">Zaromb et al., 2006</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simulations of the trauma film paradigm explore consequences of the additional possibility that successful monitoring can reduce carryover from sampled non-film candidates.</w:t>
      </w:r>
      <w:r>
        <w:t xml:space="preserve"> </w:t>
      </w:r>
      <w:r>
        <w:t xml:space="preserve">A sampled non-film candidate still counts as a retrieval attempt, but its context update is dampened when it is treated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polyn2011semantic">
        <w:r>
          <w:rPr>
            <w:rStyle w:val="Hyperlink"/>
            <w:b/>
            <w:bCs/>
          </w:rPr>
          <w:t xml:space="preserve">polyn2011semantic?</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In this kind of task, category-selective activity measured using intracranial recordings tracks retrieval effort, remains active between reported recalls, and weakens before extra-category intrusions</w:t>
      </w:r>
      <w:r>
        <w:t xml:space="preserve"> </w:t>
      </w:r>
      <w:r>
        <w:t xml:space="preserve">(</w:t>
      </w:r>
      <w:hyperlink w:anchor="ref-norman2017neuronal">
        <w:r>
          <w:rPr>
            <w:rStyle w:val="Hyperlink"/>
            <w:b/>
            <w:bCs/>
          </w:rPr>
          <w:t xml:space="preserve">norman2017neuronal?</w:t>
        </w:r>
      </w:hyperlink>
      <w:r>
        <w:t xml:space="preserve">)</w:t>
      </w:r>
      <w:r>
        <w:t xml:space="preserve">.</w:t>
      </w:r>
      <w:r>
        <w:t xml:space="preserve"> </w:t>
      </w:r>
      <w:r>
        <w:t xml:space="preserve">Existing CMR models let source, task, and semantic information contribute to candidate support via a source context cue</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A category-targeted search mechanism has been implemented in an earlier associative memory model, and recent review work identifies this as a natural but still underdeveloped extension of CMR</w:t>
      </w:r>
      <w:r>
        <w:t xml:space="preserve"> </w:t>
      </w:r>
      <w:r>
        <w:t xml:space="preserve">(</w:t>
      </w:r>
      <w:hyperlink w:anchor="ref-raaijmakers1980sam">
        <w:r>
          <w:rPr>
            <w:rStyle w:val="Hyperlink"/>
            <w:b/>
            <w:bCs/>
          </w:rPr>
          <w:t xml:space="preserve">raaijmakers1980sam?</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Film candidates receive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Start-of-film reinstatement and retrieval monitoring both improve film recall in the tested simulations, but neither adds a cue that selectively supports film items over task items encoded in film-overlapping context.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p>
    <w:bookmarkEnd w:id="37"/>
    <w:bookmarkEnd w:id="38"/>
    <w:bookmarkStart w:id="51" w:name="X0a7995f328d1a6e1f55551d9930be678dedfc09"/>
    <w:p>
      <w:pPr>
        <w:pStyle w:val="Heading1"/>
      </w:pPr>
      <w:r>
        <w:t xml:space="preserve">A Retrieved-Context Account of Selective Interference</w:t>
      </w:r>
    </w:p>
    <w:p>
      <w:pPr>
        <w:pStyle w:val="FirstParagraph"/>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turn the trauma-film paradigm into a problem of competitor learning and retrieval control.</w:t>
      </w:r>
      <w:r>
        <w:t xml:space="preserve"> </w:t>
      </w: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p>
      <w:r>
        <w:br w:type="page"/>
      </w:r>
    </w:p>
    <w:bookmarkStart w:id="42"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40" name="Picture"/>
            <a:graphic>
              <a:graphicData uri="http://schemas.openxmlformats.org/drawingml/2006/picture">
                <pic:pic>
                  <pic:nvPicPr>
                    <pic:cNvPr descr="work/retrieved_context_account/retrieved_context_encoding_associations_composite.png" id="41" name="Picture"/>
                    <pic:cNvPicPr>
                      <a:picLocks noChangeArrowheads="1" noChangeAspect="1"/>
                    </pic:cNvPicPr>
                  </pic:nvPicPr>
                  <pic:blipFill>
                    <a:blip r:embed="rId39"/>
                    <a:stretch>
                      <a:fillRect/>
                    </a:stretch>
                  </pic:blipFill>
                  <pic:spPr bwMode="auto">
                    <a:xfrm>
                      <a:off x="0" y="0"/>
                      <a:ext cx="5943600" cy="4781436"/>
                    </a:xfrm>
                    <a:prstGeom prst="rect">
                      <a:avLst/>
                    </a:prstGeom>
                    <a:noFill/>
                    <a:ln w="9525">
                      <a:noFill/>
                      <a:headEnd/>
                      <a:tailEnd/>
                    </a:ln>
                  </pic:spPr>
                </pic:pic>
              </a:graphicData>
            </a:graphic>
          </wp:inline>
        </w:drawing>
      </w:r>
    </w:p>
    <w:bookmarkEnd w:id="42"/>
    <w:p>
      <w:r>
        <w:br w:type="page"/>
      </w:r>
    </w:p>
    <w:bookmarkStart w:id="46"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44" name="Picture"/>
            <a:graphic>
              <a:graphicData uri="http://schemas.openxmlformats.org/drawingml/2006/picture">
                <pic:pic>
                  <pic:nvPicPr>
                    <pic:cNvPr descr="work/retrieved_context_account/retrieved_context_retrieval_operations_composite.png" id="45" name="Picture"/>
                    <pic:cNvPicPr>
                      <a:picLocks noChangeArrowheads="1" noChangeAspect="1"/>
                    </pic:cNvPicPr>
                  </pic:nvPicPr>
                  <pic:blipFill>
                    <a:blip r:embed="rId43"/>
                    <a:stretch>
                      <a:fillRect/>
                    </a:stretch>
                  </pic:blipFill>
                  <pic:spPr bwMode="auto">
                    <a:xfrm>
                      <a:off x="0" y="0"/>
                      <a:ext cx="5943600" cy="4505122"/>
                    </a:xfrm>
                    <a:prstGeom prst="rect">
                      <a:avLst/>
                    </a:prstGeom>
                    <a:noFill/>
                    <a:ln w="9525">
                      <a:noFill/>
                      <a:headEnd/>
                      <a:tailEnd/>
                    </a:ln>
                  </pic:spPr>
                </pic:pic>
              </a:graphicData>
            </a:graphic>
          </wp:inline>
        </w:drawing>
      </w:r>
    </w:p>
    <w:bookmarkEnd w:id="46"/>
    <w:p>
      <w:r>
        <w:br w:type="page"/>
      </w:r>
    </w:p>
    <w:bookmarkStart w:id="47" w:name="item-context-associations"/>
    <w:p>
      <w:pPr>
        <w:pStyle w:val="Heading2"/>
      </w:pPr>
      <w:r>
        <w:t xml:space="preserve">Item-Context Associations</w:t>
      </w:r>
    </w:p>
    <w:p>
      <w:pPr>
        <w:pStyle w:val="FirstParagraph"/>
      </w:pPr>
      <w:r>
        <w:t xml:space="preserve">The account depends on how encoded events become linked to context.</w:t>
      </w:r>
      <w:r>
        <w:t xml:space="preserve"> </w:t>
      </w:r>
      <w:r>
        <w:t xml:space="preserve">Each film, task, or filler item is bound to the context active when it is encountered.</w:t>
      </w:r>
      <w:r>
        <w:t xml:space="preserve"> </w:t>
      </w:r>
      <w:r>
        <w:t xml:space="preserve">Context-to-item associations let the current context support candidate items during retrieval.</w:t>
      </w:r>
      <w:r>
        <w:t xml:space="preserve"> </w:t>
      </w:r>
      <w:r>
        <w:t xml:space="preserve">If film and task items have been encoded in overlapping context states, the same retrieval state can support both sets of candidates.</w:t>
      </w:r>
    </w:p>
    <w:p>
      <w:pPr>
        <w:pStyle w:val="BodyText"/>
      </w:pPr>
      <w:r>
        <w:t xml:space="preserve">Item-to-context associations work in the other direction.</w:t>
      </w:r>
      <w:r>
        <w:t xml:space="preserve"> </w:t>
      </w:r>
      <w:r>
        <w:t xml:space="preserve">A recalled item can move later search toward its encoding context.</w:t>
      </w:r>
      <w:r>
        <w:t xml:space="preserve"> </w:t>
      </w:r>
      <w:r>
        <w:t xml:space="preserve">A reminder cue can reinstate film-associated context before task encoding.</w:t>
      </w:r>
      <w:r>
        <w:t xml:space="preserve"> </w:t>
      </w:r>
      <w:r>
        <w:t xml:space="preserve">A film item presented at test can reinstate associated context before item selection is required.</w:t>
      </w:r>
      <w:r>
        <w:t xml:space="preserve"> </w:t>
      </w:r>
      <w:r>
        <w:t xml:space="preserve">This bidirectional loop is the standard retrieved-context account of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p>
    <w:p>
      <w:pPr>
        <w:pStyle w:val="BodyText"/>
      </w:pPr>
      <w:r>
        <w:t xml:space="preserve">The source-context implementation is deliberately simplified.</w:t>
      </w:r>
      <w:r>
        <w:t xml:space="preserve"> </w:t>
      </w:r>
      <w:r>
        <w:t xml:space="preserve">Film items share one film-source feature, whereas task and filler items are assigned a neutral/default source feature.</w:t>
      </w:r>
      <w:r>
        <w:t xml:space="preserve"> </w:t>
      </w:r>
      <w:r>
        <w:t xml:space="preserve">Source context still changes over the sequence, but this layer tracks the currently active source category rather than giving each event its own item-specific temporal code.</w:t>
      </w:r>
      <w:r>
        <w:t xml:space="preserve"> </w:t>
      </w:r>
      <w:r>
        <w:t xml:space="preserve">Neutral task and filler items can weakly bind active source context, but they do not carry the film-source feature themselves.</w:t>
      </w:r>
      <w:r>
        <w:t xml:space="preserve"> </w:t>
      </w:r>
      <w:r>
        <w:t xml:space="preserve">This gives the model film-directed source support while preserving task items as neutral competitors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p>
    <w:bookmarkEnd w:id="47"/>
    <w:bookmarkStart w:id="48" w:name="reminder-linked-task-encoding"/>
    <w:p>
      <w:pPr>
        <w:pStyle w:val="Heading2"/>
      </w:pPr>
      <w:r>
        <w:t xml:space="preserve">Reminder-Linked Task Encoding</w:t>
      </w:r>
    </w:p>
    <w:p>
      <w:pPr>
        <w:pStyle w:val="FirstParagraph"/>
      </w:pPr>
      <w:r>
        <w:t xml:space="preserve">Reminder-linked task encoding creates the competitor structure.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In the model,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Episodic-updating studies make the same general point: returning to an original learning context can reactivate a prior episode and influence whether later material becomes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Task items encoded while that context remains active become linked to context states that also support film items.</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r>
        <w:t xml:space="preserve"> </w:t>
      </w:r>
      <w:r>
        <w:t xml:space="preserve">Task encoding strength determines how strongly task items compete once film and task items enter the same retrieval competition.</w:t>
      </w:r>
    </w:p>
    <w:bookmarkEnd w:id="48"/>
    <w:bookmarkStart w:id="49" w:name="retrieval-conditions-and-test-cues"/>
    <w:p>
      <w:pPr>
        <w:pStyle w:val="Heading2"/>
      </w:pPr>
      <w:r>
        <w:t xml:space="preserve">Retrieval Conditions and Test Cues</w:t>
      </w:r>
    </w:p>
    <w:p>
      <w:pPr>
        <w:pStyle w:val="FirstParagraph"/>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In ordinary recall, a retrieved item shifts context toward the state in which that item was encoded, making nearby studied items more likely to be retrieved next.</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bookmarkEnd w:id="49"/>
    <w:bookmarkStart w:id="50" w:name="deliberate-retrieval-control"/>
    <w:p>
      <w:pPr>
        <w:pStyle w:val="Heading2"/>
      </w:pPr>
      <w:r>
        <w:t xml:space="preserve">Deliberate Retrieval Control</w:t>
      </w:r>
    </w:p>
    <w:p>
      <w:pPr>
        <w:pStyle w:val="FirstParagraph"/>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before the task and filler items, that start state supports early film items most strongly.</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50"/>
    <w:bookmarkEnd w:id="51"/>
    <w:bookmarkStart w:id="76"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5"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52"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52"/>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53"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53"/>
    </w:p>
    <w:p>
      <w:pPr>
        <w:pStyle w:val="FirstParagraph"/>
      </w:pPr>
      <w:bookmarkStart w:id="54"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54"/>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5"/>
    <w:bookmarkStart w:id="67"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6"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6"/>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7"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7"/>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8"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8"/>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9"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9"/>
    </w:p>
    <w:p>
      <w:pPr>
        <w:pStyle w:val="FirstParagraph"/>
      </w:pPr>
      <w:r>
        <w:t xml:space="preserve">A primacy function weights context-to-feature learning:</w:t>
      </w:r>
    </w:p>
    <w:p>
      <w:pPr>
        <w:pStyle w:val="BodyText"/>
      </w:pPr>
      <w:bookmarkStart w:id="60"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60"/>
    </w:p>
    <w:p>
      <w:pPr>
        <w:pStyle w:val="FirstParagraph"/>
      </w:pPr>
      <w:r>
        <w:t xml:space="preserve">Context-to-feature associations update as:</w:t>
      </w:r>
    </w:p>
    <w:p>
      <w:pPr>
        <w:pStyle w:val="BodyText"/>
      </w:pPr>
      <w:bookmarkStart w:id="61"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61"/>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62"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62"/>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63"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63"/>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64"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64"/>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5"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5"/>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6"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6"/>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7"/>
    <w:bookmarkStart w:id="71"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8"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8"/>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9"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9"/>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70"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70"/>
    </w:p>
    <w:p>
      <w:pPr>
        <w:pStyle w:val="FirstParagraph"/>
      </w:pPr>
      <w:r>
        <w:t xml:space="preserve">Candidate film items presented by the test therefore use the same feature-to-context operation as sampled and reminded items.</w:t>
      </w:r>
    </w:p>
    <w:bookmarkEnd w:id="71"/>
    <w:bookmarkStart w:id="75"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72"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72"/>
    </w:p>
    <w:p>
      <w:pPr>
        <w:pStyle w:val="FirstParagraph"/>
      </w:pPr>
      <w:r>
        <w:t xml:space="preserve">Source-context-to-feature support begins at zero:</w:t>
      </w:r>
    </w:p>
    <w:p>
      <w:pPr>
        <w:pStyle w:val="BodyText"/>
      </w:pPr>
      <w:bookmarkStart w:id="73"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73"/>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74"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74"/>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5"/>
    <w:bookmarkEnd w:id="76"/>
    <w:bookmarkStart w:id="120"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7"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7"/>
    <w:bookmarkStart w:id="79"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8"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8"/>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9"/>
    <w:bookmarkStart w:id="93"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83"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81" name="Picture"/>
            <a:graphic>
              <a:graphicData uri="http://schemas.openxmlformats.org/drawingml/2006/picture">
                <pic:pic>
                  <pic:nvPicPr>
                    <pic:cNvPr descr="work/simulation1_unguided_cued/simulation1_unguided_cued_sequence_summary.png" id="82" name="Picture"/>
                    <pic:cNvPicPr>
                      <a:picLocks noChangeArrowheads="1" noChangeAspect="1"/>
                    </pic:cNvPicPr>
                  </pic:nvPicPr>
                  <pic:blipFill>
                    <a:blip r:embed="rId80"/>
                    <a:stretch>
                      <a:fillRect/>
                    </a:stretch>
                  </pic:blipFill>
                  <pic:spPr bwMode="auto">
                    <a:xfrm>
                      <a:off x="0" y="0"/>
                      <a:ext cx="5943600" cy="5248831"/>
                    </a:xfrm>
                    <a:prstGeom prst="rect">
                      <a:avLst/>
                    </a:prstGeom>
                    <a:noFill/>
                    <a:ln w="9525">
                      <a:noFill/>
                      <a:headEnd/>
                      <a:tailEnd/>
                    </a:ln>
                  </pic:spPr>
                </pic:pic>
              </a:graphicData>
            </a:graphic>
          </wp:inline>
        </w:drawing>
      </w:r>
    </w:p>
    <w:bookmarkEnd w:id="83"/>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84"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84"/>
    <w:p>
      <w:pPr>
        <w:pStyle w:val="AfterWithoutNote"/>
      </w:pPr>
      <w:r>
        <w:t xml:space="preserve"> </w:t>
      </w:r>
    </w:p>
    <w:bookmarkStart w:id="8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6" name="Picture"/>
            <a:graphic>
              <a:graphicData uri="http://schemas.openxmlformats.org/drawingml/2006/picture">
                <pic:pic>
                  <pic:nvPicPr>
                    <pic:cNvPr descr="work/simulation1_unguided_cued/simulation1_unguided_cued_recall_distributions.png" id="87" name="Picture"/>
                    <pic:cNvPicPr>
                      <a:picLocks noChangeArrowheads="1" noChangeAspect="1"/>
                    </pic:cNvPicPr>
                  </pic:nvPicPr>
                  <pic:blipFill>
                    <a:blip r:embed="rId85"/>
                    <a:stretch>
                      <a:fillRect/>
                    </a:stretch>
                  </pic:blipFill>
                  <pic:spPr bwMode="auto">
                    <a:xfrm>
                      <a:off x="0" y="0"/>
                      <a:ext cx="5943600" cy="5583695"/>
                    </a:xfrm>
                    <a:prstGeom prst="rect">
                      <a:avLst/>
                    </a:prstGeom>
                    <a:noFill/>
                    <a:ln w="9525">
                      <a:noFill/>
                      <a:headEnd/>
                      <a:tailEnd/>
                    </a:ln>
                  </pic:spPr>
                </pic:pic>
              </a:graphicData>
            </a:graphic>
          </wp:inline>
        </w:drawing>
      </w:r>
    </w:p>
    <w:bookmarkEnd w:id="88"/>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9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90" name="Picture"/>
            <a:graphic>
              <a:graphicData uri="http://schemas.openxmlformats.org/drawingml/2006/picture">
                <pic:pic>
                  <pic:nvPicPr>
                    <pic:cNvPr descr="work/simulation1_unguided_cued/simulation1_unguided_cued_context_overlap.png" id="91" name="Picture"/>
                    <pic:cNvPicPr>
                      <a:picLocks noChangeArrowheads="1" noChangeAspect="1"/>
                    </pic:cNvPicPr>
                  </pic:nvPicPr>
                  <pic:blipFill>
                    <a:blip r:embed="rId89"/>
                    <a:stretch>
                      <a:fillRect/>
                    </a:stretch>
                  </pic:blipFill>
                  <pic:spPr bwMode="auto">
                    <a:xfrm>
                      <a:off x="0" y="0"/>
                      <a:ext cx="5943600" cy="5653668"/>
                    </a:xfrm>
                    <a:prstGeom prst="rect">
                      <a:avLst/>
                    </a:prstGeom>
                    <a:noFill/>
                    <a:ln w="9525">
                      <a:noFill/>
                      <a:headEnd/>
                      <a:tailEnd/>
                    </a:ln>
                  </pic:spPr>
                </pic:pic>
              </a:graphicData>
            </a:graphic>
          </wp:inline>
        </w:drawing>
      </w:r>
    </w:p>
    <w:bookmarkEnd w:id="92"/>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93"/>
    <w:bookmarkStart w:id="114"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5" name="Picture"/>
            <a:graphic>
              <a:graphicData uri="http://schemas.openxmlformats.org/drawingml/2006/picture">
                <pic:pic>
                  <pic:nvPicPr>
                    <pic:cNvPr descr="work/simulation2_control_cued_behavioral/simulation2_control_cued_behavioral.png" id="96" name="Picture"/>
                    <pic:cNvPicPr>
                      <a:picLocks noChangeArrowheads="1" noChangeAspect="1"/>
                    </pic:cNvPicPr>
                  </pic:nvPicPr>
                  <pic:blipFill>
                    <a:blip r:embed="rId94"/>
                    <a:stretch>
                      <a:fillRect/>
                    </a:stretch>
                  </pic:blipFill>
                  <pic:spPr bwMode="auto">
                    <a:xfrm>
                      <a:off x="0" y="0"/>
                      <a:ext cx="5943600" cy="3596194"/>
                    </a:xfrm>
                    <a:prstGeom prst="rect">
                      <a:avLst/>
                    </a:prstGeom>
                    <a:noFill/>
                    <a:ln w="9525">
                      <a:noFill/>
                      <a:headEnd/>
                      <a:tailEnd/>
                    </a:ln>
                  </pic:spPr>
                </pic:pic>
              </a:graphicData>
            </a:graphic>
          </wp:inline>
        </w:drawing>
      </w:r>
    </w:p>
    <w:bookmarkEnd w:id="97"/>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10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9" name="Picture"/>
            <a:graphic>
              <a:graphicData uri="http://schemas.openxmlformats.org/drawingml/2006/picture">
                <pic:pic>
                  <pic:nvPicPr>
                    <pic:cNvPr descr="work/simulation2_retrieval_control_decomposition/simulation2_retrieval_control_decomposition.png" id="100" name="Picture"/>
                    <pic:cNvPicPr>
                      <a:picLocks noChangeArrowheads="1" noChangeAspect="1"/>
                    </pic:cNvPicPr>
                  </pic:nvPicPr>
                  <pic:blipFill>
                    <a:blip r:embed="rId98"/>
                    <a:stretch>
                      <a:fillRect/>
                    </a:stretch>
                  </pic:blipFill>
                  <pic:spPr bwMode="auto">
                    <a:xfrm>
                      <a:off x="0" y="0"/>
                      <a:ext cx="5943600" cy="2657138"/>
                    </a:xfrm>
                    <a:prstGeom prst="rect">
                      <a:avLst/>
                    </a:prstGeom>
                    <a:noFill/>
                    <a:ln w="9525">
                      <a:noFill/>
                      <a:headEnd/>
                      <a:tailEnd/>
                    </a:ln>
                  </pic:spPr>
                </pic:pic>
              </a:graphicData>
            </a:graphic>
          </wp:inline>
        </w:drawing>
      </w:r>
    </w:p>
    <w:bookmarkEnd w:id="101"/>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5"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103" name="Picture"/>
            <a:graphic>
              <a:graphicData uri="http://schemas.openxmlformats.org/drawingml/2006/picture">
                <pic:pic>
                  <pic:nvPicPr>
                    <pic:cNvPr descr="work/simulation2_film_retrieval_goal_context_overlap/simulation2_film_retrieval_goal_context_overlap.png" id="104" name="Picture"/>
                    <pic:cNvPicPr>
                      <a:picLocks noChangeArrowheads="1" noChangeAspect="1"/>
                    </pic:cNvPicPr>
                  </pic:nvPicPr>
                  <pic:blipFill>
                    <a:blip r:embed="rId102"/>
                    <a:stretch>
                      <a:fillRect/>
                    </a:stretch>
                  </pic:blipFill>
                  <pic:spPr bwMode="auto">
                    <a:xfrm>
                      <a:off x="0" y="0"/>
                      <a:ext cx="5943600" cy="5653668"/>
                    </a:xfrm>
                    <a:prstGeom prst="rect">
                      <a:avLst/>
                    </a:prstGeom>
                    <a:noFill/>
                    <a:ln w="9525">
                      <a:noFill/>
                      <a:headEnd/>
                      <a:tailEnd/>
                    </a:ln>
                  </pic:spPr>
                </pic:pic>
              </a:graphicData>
            </a:graphic>
          </wp:inline>
        </w:drawing>
      </w:r>
    </w:p>
    <w:bookmarkEnd w:id="105"/>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7" name="Picture"/>
            <a:graphic>
              <a:graphicData uri="http://schemas.openxmlformats.org/drawingml/2006/picture">
                <pic:pic>
                  <pic:nvPicPr>
                    <pic:cNvPr descr="work/simulation2_start_context_reinstatement/simulation2_start_context_reinstatement.png" id="108" name="Picture"/>
                    <pic:cNvPicPr>
                      <a:picLocks noChangeArrowheads="1" noChangeAspect="1"/>
                    </pic:cNvPicPr>
                  </pic:nvPicPr>
                  <pic:blipFill>
                    <a:blip r:embed="rId106"/>
                    <a:stretch>
                      <a:fillRect/>
                    </a:stretch>
                  </pic:blipFill>
                  <pic:spPr bwMode="auto">
                    <a:xfrm>
                      <a:off x="0" y="0"/>
                      <a:ext cx="5943600" cy="5612321"/>
                    </a:xfrm>
                    <a:prstGeom prst="rect">
                      <a:avLst/>
                    </a:prstGeom>
                    <a:noFill/>
                    <a:ln w="9525">
                      <a:noFill/>
                      <a:headEnd/>
                      <a:tailEnd/>
                    </a:ln>
                  </pic:spPr>
                </pic:pic>
              </a:graphicData>
            </a:graphic>
          </wp:inline>
        </w:drawing>
      </w:r>
    </w:p>
    <w:bookmarkEnd w:id="109"/>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1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11" name="Picture"/>
            <a:graphic>
              <a:graphicData uri="http://schemas.openxmlformats.org/drawingml/2006/picture">
                <pic:pic>
                  <pic:nvPicPr>
                    <pic:cNvPr descr="work/simulation2_target_monitoring_diagnostic/simulation2_target_monitoring_diagnostic.png" id="112" name="Picture"/>
                    <pic:cNvPicPr>
                      <a:picLocks noChangeArrowheads="1" noChangeAspect="1"/>
                    </pic:cNvPicPr>
                  </pic:nvPicPr>
                  <pic:blipFill>
                    <a:blip r:embed="rId110"/>
                    <a:stretch>
                      <a:fillRect/>
                    </a:stretch>
                  </pic:blipFill>
                  <pic:spPr bwMode="auto">
                    <a:xfrm>
                      <a:off x="0" y="0"/>
                      <a:ext cx="5943600" cy="5638967"/>
                    </a:xfrm>
                    <a:prstGeom prst="rect">
                      <a:avLst/>
                    </a:prstGeom>
                    <a:noFill/>
                    <a:ln w="9525">
                      <a:noFill/>
                      <a:headEnd/>
                      <a:tailEnd/>
                    </a:ln>
                  </pic:spPr>
                </pic:pic>
              </a:graphicData>
            </a:graphic>
          </wp:inline>
        </w:drawing>
      </w:r>
    </w:p>
    <w:bookmarkEnd w:id="113"/>
    <w:bookmarkEnd w:id="114"/>
    <w:bookmarkStart w:id="119"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6" name="Picture"/>
            <a:graphic>
              <a:graphicData uri="http://schemas.openxmlformats.org/drawingml/2006/picture">
                <pic:pic>
                  <pic:nvPicPr>
                    <pic:cNvPr descr="work/simulation4_recognition_full_figure/item_context_recognition.png" id="117" name="Picture"/>
                    <pic:cNvPicPr>
                      <a:picLocks noChangeArrowheads="1" noChangeAspect="1"/>
                    </pic:cNvPicPr>
                  </pic:nvPicPr>
                  <pic:blipFill>
                    <a:blip r:embed="rId115"/>
                    <a:stretch>
                      <a:fillRect/>
                    </a:stretch>
                  </pic:blipFill>
                  <pic:spPr bwMode="auto">
                    <a:xfrm>
                      <a:off x="0" y="0"/>
                      <a:ext cx="5943600" cy="4316185"/>
                    </a:xfrm>
                    <a:prstGeom prst="rect">
                      <a:avLst/>
                    </a:prstGeom>
                    <a:noFill/>
                    <a:ln w="9525">
                      <a:noFill/>
                      <a:headEnd/>
                      <a:tailEnd/>
                    </a:ln>
                  </pic:spPr>
                </pic:pic>
              </a:graphicData>
            </a:graphic>
          </wp:inline>
        </w:drawing>
      </w:r>
    </w:p>
    <w:bookmarkEnd w:id="11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9"/>
    <w:bookmarkEnd w:id="120"/>
    <w:bookmarkStart w:id="121" w:name="general-discussion"/>
    <w:p>
      <w:pPr>
        <w:pStyle w:val="Heading1"/>
      </w:pPr>
      <w:r>
        <w:t xml:space="preserve">General Discussion</w:t>
      </w:r>
    </w:p>
    <w:bookmarkEnd w:id="121"/>
    <w:bookmarkStart w:id="240" w:name="references"/>
    <w:p>
      <w:pPr>
        <w:pStyle w:val="Heading1"/>
      </w:pPr>
      <w:r>
        <w:t xml:space="preserve">References</w:t>
      </w:r>
    </w:p>
    <w:bookmarkStart w:id="239" w:name="refs"/>
    <w:bookmarkStart w:id="123"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22">
        <w:r>
          <w:rPr>
            <w:rStyle w:val="Hyperlink"/>
          </w:rPr>
          <w:t xml:space="preserve">https://doi.org/10.1016/j.jbtep.2023.101920</w:t>
        </w:r>
      </w:hyperlink>
    </w:p>
    <w:bookmarkEnd w:id="123"/>
    <w:bookmarkStart w:id="12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24">
        <w:r>
          <w:rPr>
            <w:rStyle w:val="Hyperlink"/>
          </w:rPr>
          <w:t xml:space="preserve">https://doi.org/10.1016/j.jpsychires.2023.01.028</w:t>
        </w:r>
      </w:hyperlink>
    </w:p>
    <w:bookmarkEnd w:id="125"/>
    <w:bookmarkStart w:id="127"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6">
        <w:r>
          <w:rPr>
            <w:rStyle w:val="Hyperlink"/>
          </w:rPr>
          <w:t xml:space="preserve">https://doi.org/10.1037/0096-3445.129.1.126</w:t>
        </w:r>
      </w:hyperlink>
    </w:p>
    <w:bookmarkEnd w:id="127"/>
    <w:bookmarkStart w:id="129"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8">
        <w:r>
          <w:rPr>
            <w:rStyle w:val="Hyperlink"/>
          </w:rPr>
          <w:t xml:space="preserve">https://doi.org/10.1016/s2215-0366(25)00397-9</w:t>
        </w:r>
      </w:hyperlink>
    </w:p>
    <w:bookmarkEnd w:id="129"/>
    <w:bookmarkStart w:id="13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30">
        <w:r>
          <w:rPr>
            <w:rStyle w:val="Hyperlink"/>
          </w:rPr>
          <w:t xml:space="preserve">https://doi.org/10.1037/a0033722</w:t>
        </w:r>
      </w:hyperlink>
    </w:p>
    <w:bookmarkEnd w:id="131"/>
    <w:bookmarkStart w:id="13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32">
        <w:r>
          <w:rPr>
            <w:rStyle w:val="Hyperlink"/>
          </w:rPr>
          <w:t xml:space="preserve">https://doi.org/10.1037/0033-295X.103.4.670</w:t>
        </w:r>
      </w:hyperlink>
    </w:p>
    <w:bookmarkEnd w:id="133"/>
    <w:bookmarkStart w:id="13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4">
        <w:r>
          <w:rPr>
            <w:rStyle w:val="Hyperlink"/>
          </w:rPr>
          <w:t xml:space="preserve">https://doi.org/10.1037/a0018113</w:t>
        </w:r>
      </w:hyperlink>
    </w:p>
    <w:bookmarkEnd w:id="135"/>
    <w:bookmarkStart w:id="137"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6">
        <w:r>
          <w:rPr>
            <w:rStyle w:val="Hyperlink"/>
          </w:rPr>
          <w:t xml:space="preserve">https://doi.org/10.1006/jmps.1999.1282</w:t>
        </w:r>
      </w:hyperlink>
    </w:p>
    <w:bookmarkEnd w:id="137"/>
    <w:bookmarkStart w:id="13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8">
        <w:r>
          <w:rPr>
            <w:rStyle w:val="Hyperlink"/>
          </w:rPr>
          <w:t xml:space="preserve">https://doi.org/10.1037/rev0000334</w:t>
        </w:r>
      </w:hyperlink>
    </w:p>
    <w:bookmarkEnd w:id="139"/>
    <w:bookmarkStart w:id="14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40">
        <w:r>
          <w:rPr>
            <w:rStyle w:val="Hyperlink"/>
          </w:rPr>
          <w:t xml:space="preserve">https://doi.org/10.1016/j.jbtep.2011.10.008</w:t>
        </w:r>
      </w:hyperlink>
    </w:p>
    <w:bookmarkEnd w:id="141"/>
    <w:bookmarkStart w:id="14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42"/>
    <w:bookmarkStart w:id="14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43">
        <w:r>
          <w:rPr>
            <w:rStyle w:val="Hyperlink"/>
          </w:rPr>
          <w:t xml:space="preserve">https://doi.org/10.1016/S0005-7967(99)00123-0</w:t>
        </w:r>
      </w:hyperlink>
    </w:p>
    <w:bookmarkEnd w:id="144"/>
    <w:bookmarkStart w:id="14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5">
        <w:r>
          <w:rPr>
            <w:rStyle w:val="Hyperlink"/>
          </w:rPr>
          <w:t xml:space="preserve">https://doi.org/10.1037/a0033715</w:t>
        </w:r>
      </w:hyperlink>
    </w:p>
    <w:bookmarkEnd w:id="146"/>
    <w:bookmarkStart w:id="14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7">
        <w:r>
          <w:rPr>
            <w:rStyle w:val="Hyperlink"/>
          </w:rPr>
          <w:t xml:space="preserve">https://doi.org/10.1037/rev0000015</w:t>
        </w:r>
      </w:hyperlink>
    </w:p>
    <w:bookmarkEnd w:id="148"/>
    <w:bookmarkStart w:id="15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9">
        <w:r>
          <w:rPr>
            <w:rStyle w:val="Hyperlink"/>
          </w:rPr>
          <w:t xml:space="preserve">https://doi.org/10.3758/s13421-023-01453-z</w:t>
        </w:r>
      </w:hyperlink>
    </w:p>
    <w:bookmarkEnd w:id="150"/>
    <w:bookmarkStart w:id="15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51">
        <w:r>
          <w:rPr>
            <w:rStyle w:val="Hyperlink"/>
          </w:rPr>
          <w:t xml:space="preserve">https://doi.org/10.1016/j.jbtep.2023.101858</w:t>
        </w:r>
      </w:hyperlink>
    </w:p>
    <w:bookmarkEnd w:id="152"/>
    <w:bookmarkStart w:id="15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53">
        <w:r>
          <w:rPr>
            <w:rStyle w:val="Hyperlink"/>
          </w:rPr>
          <w:t xml:space="preserve">https://doi.org/10.31234/osf.io/sm3fw</w:t>
        </w:r>
      </w:hyperlink>
    </w:p>
    <w:bookmarkEnd w:id="154"/>
    <w:bookmarkStart w:id="15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5">
        <w:r>
          <w:rPr>
            <w:rStyle w:val="Hyperlink"/>
          </w:rPr>
          <w:t xml:space="preserve">https://doi.org/10.1016/j.actpsy.2007.11.002</w:t>
        </w:r>
      </w:hyperlink>
    </w:p>
    <w:bookmarkEnd w:id="156"/>
    <w:bookmarkStart w:id="15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7">
        <w:r>
          <w:rPr>
            <w:rStyle w:val="Hyperlink"/>
          </w:rPr>
          <w:t xml:space="preserve">https://doi.org/10.1037/0096-3445.133.1.3</w:t>
        </w:r>
      </w:hyperlink>
    </w:p>
    <w:bookmarkEnd w:id="158"/>
    <w:bookmarkStart w:id="16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9">
        <w:r>
          <w:rPr>
            <w:rStyle w:val="Hyperlink"/>
          </w:rPr>
          <w:t xml:space="preserve">https://doi.org/10.1371/journal.pone.0004153</w:t>
        </w:r>
      </w:hyperlink>
    </w:p>
    <w:bookmarkEnd w:id="160"/>
    <w:bookmarkStart w:id="16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61">
        <w:r>
          <w:rPr>
            <w:rStyle w:val="Hyperlink"/>
          </w:rPr>
          <w:t xml:space="preserve">https://doi.org/10.1371/journal.pone.0013706</w:t>
        </w:r>
      </w:hyperlink>
    </w:p>
    <w:bookmarkEnd w:id="162"/>
    <w:bookmarkStart w:id="16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63">
        <w:r>
          <w:rPr>
            <w:rStyle w:val="Hyperlink"/>
          </w:rPr>
          <w:t xml:space="preserve">https://doi.org/10.1016/j.brat.2017.03.018</w:t>
        </w:r>
      </w:hyperlink>
    </w:p>
    <w:bookmarkEnd w:id="164"/>
    <w:bookmarkStart w:id="16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5">
        <w:r>
          <w:rPr>
            <w:rStyle w:val="Hyperlink"/>
          </w:rPr>
          <w:t xml:space="preserve">https://doi.org/10.1037/0278-7393.25.4.923</w:t>
        </w:r>
      </w:hyperlink>
    </w:p>
    <w:bookmarkEnd w:id="166"/>
    <w:bookmarkStart w:id="16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7">
        <w:r>
          <w:rPr>
            <w:rStyle w:val="Hyperlink"/>
          </w:rPr>
          <w:t xml:space="preserve">https://doi.org/10.1006/jmps.2001.1388</w:t>
        </w:r>
      </w:hyperlink>
    </w:p>
    <w:bookmarkEnd w:id="168"/>
    <w:bookmarkStart w:id="16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9"/>
    <w:bookmarkStart w:id="17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70">
        <w:r>
          <w:rPr>
            <w:rStyle w:val="Hyperlink"/>
          </w:rPr>
          <w:t xml:space="preserve">https://doi.org/10.1101/lm.1022308</w:t>
        </w:r>
      </w:hyperlink>
    </w:p>
    <w:bookmarkEnd w:id="171"/>
    <w:bookmarkStart w:id="17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72">
        <w:r>
          <w:rPr>
            <w:rStyle w:val="Hyperlink"/>
          </w:rPr>
          <w:t xml:space="preserve">https://doi.org/10.1038/mp.2017.23</w:t>
        </w:r>
      </w:hyperlink>
    </w:p>
    <w:bookmarkEnd w:id="173"/>
    <w:bookmarkStart w:id="17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74">
        <w:r>
          <w:rPr>
            <w:rStyle w:val="Hyperlink"/>
          </w:rPr>
          <w:t xml:space="preserve">https://doi.org/10.1038/s41398-023-02578-0</w:t>
        </w:r>
      </w:hyperlink>
    </w:p>
    <w:bookmarkEnd w:id="175"/>
    <w:bookmarkStart w:id="17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6">
        <w:r>
          <w:rPr>
            <w:rStyle w:val="Hyperlink"/>
          </w:rPr>
          <w:t xml:space="preserve">https://doi.org/10.1016/j.cpr.2018.08.005</w:t>
        </w:r>
      </w:hyperlink>
    </w:p>
    <w:bookmarkEnd w:id="177"/>
    <w:bookmarkStart w:id="17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8">
        <w:r>
          <w:rPr>
            <w:rStyle w:val="Hyperlink"/>
          </w:rPr>
          <w:t xml:space="preserve">https://doi.org/10.1177/0956797615583071</w:t>
        </w:r>
      </w:hyperlink>
    </w:p>
    <w:bookmarkEnd w:id="179"/>
    <w:bookmarkStart w:id="18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80">
        <w:r>
          <w:rPr>
            <w:rStyle w:val="Hyperlink"/>
          </w:rPr>
          <w:t xml:space="preserve">https://doi.org/10.1016/j.cpr.2016.04.010</w:t>
        </w:r>
      </w:hyperlink>
    </w:p>
    <w:bookmarkEnd w:id="181"/>
    <w:bookmarkStart w:id="182"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82"/>
    <w:bookmarkStart w:id="184"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83">
        <w:r>
          <w:rPr>
            <w:rStyle w:val="Hyperlink"/>
          </w:rPr>
          <w:t xml:space="preserve">https://doi.org/10.1146/annurev-psych-010418-103358</w:t>
        </w:r>
      </w:hyperlink>
    </w:p>
    <w:bookmarkEnd w:id="184"/>
    <w:bookmarkStart w:id="186"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5">
        <w:r>
          <w:rPr>
            <w:rStyle w:val="Hyperlink"/>
          </w:rPr>
          <w:t xml:space="preserve">https://doi.org/10.1002/cpp.2489</w:t>
        </w:r>
      </w:hyperlink>
    </w:p>
    <w:bookmarkEnd w:id="186"/>
    <w:bookmarkStart w:id="188"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7">
        <w:r>
          <w:rPr>
            <w:rStyle w:val="Hyperlink"/>
          </w:rPr>
          <w:t xml:space="preserve">https://doi.org/10.1186/s12916-024-03569-8</w:t>
        </w:r>
      </w:hyperlink>
    </w:p>
    <w:bookmarkEnd w:id="188"/>
    <w:bookmarkStart w:id="190"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9">
        <w:r>
          <w:rPr>
            <w:rStyle w:val="Hyperlink"/>
          </w:rPr>
          <w:t xml:space="preserve">https://doi.org/10.1016/j.jbtep.2019.01.006</w:t>
        </w:r>
      </w:hyperlink>
    </w:p>
    <w:bookmarkEnd w:id="190"/>
    <w:bookmarkStart w:id="192"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91">
        <w:r>
          <w:rPr>
            <w:rStyle w:val="Hyperlink"/>
          </w:rPr>
          <w:t xml:space="preserve">https://doi.org/10.1038/nn.2271</w:t>
        </w:r>
      </w:hyperlink>
    </w:p>
    <w:bookmarkEnd w:id="192"/>
    <w:bookmarkStart w:id="194"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93">
        <w:r>
          <w:rPr>
            <w:rStyle w:val="Hyperlink"/>
          </w:rPr>
          <w:t xml:space="preserve">https://doi.org/10.1523/JNEUROSCI.3378-14.2015</w:t>
        </w:r>
      </w:hyperlink>
    </w:p>
    <w:bookmarkEnd w:id="194"/>
    <w:bookmarkStart w:id="196"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5">
        <w:r>
          <w:rPr>
            <w:rStyle w:val="Hyperlink"/>
          </w:rPr>
          <w:t xml:space="preserve">https://doi.org/10.1002/acp.1611</w:t>
        </w:r>
      </w:hyperlink>
    </w:p>
    <w:bookmarkEnd w:id="196"/>
    <w:bookmarkStart w:id="198"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7">
        <w:r>
          <w:rPr>
            <w:rStyle w:val="Hyperlink"/>
          </w:rPr>
          <w:t xml:space="preserve">https://doi.org/10.1037/xge0000598</w:t>
        </w:r>
      </w:hyperlink>
    </w:p>
    <w:bookmarkEnd w:id="198"/>
    <w:bookmarkStart w:id="200"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9">
        <w:r>
          <w:rPr>
            <w:rStyle w:val="Hyperlink"/>
          </w:rPr>
          <w:t xml:space="preserve">https://doi.org/10.1177/2167702621998315</w:t>
        </w:r>
      </w:hyperlink>
    </w:p>
    <w:bookmarkEnd w:id="200"/>
    <w:bookmarkStart w:id="202"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201">
        <w:r>
          <w:rPr>
            <w:rStyle w:val="Hyperlink"/>
          </w:rPr>
          <w:t xml:space="preserve">https://doi.org/10.1037/xge0001354</w:t>
        </w:r>
      </w:hyperlink>
    </w:p>
    <w:bookmarkEnd w:id="202"/>
    <w:bookmarkStart w:id="204"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203">
        <w:r>
          <w:rPr>
            <w:rStyle w:val="Hyperlink"/>
          </w:rPr>
          <w:t xml:space="preserve">https://doi.org/10.1037/a0039036</w:t>
        </w:r>
      </w:hyperlink>
    </w:p>
    <w:bookmarkEnd w:id="204"/>
    <w:bookmarkStart w:id="206"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5">
        <w:r>
          <w:rPr>
            <w:rStyle w:val="Hyperlink"/>
          </w:rPr>
          <w:t xml:space="preserve">https://osf.io/preprints/psyarxiv/m3pnz_v1/</w:t>
        </w:r>
      </w:hyperlink>
    </w:p>
    <w:bookmarkEnd w:id="206"/>
    <w:bookmarkStart w:id="208"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7">
        <w:r>
          <w:rPr>
            <w:rStyle w:val="Hyperlink"/>
          </w:rPr>
          <w:t xml:space="preserve">https://doi.org/10.1016/j.jml.2015.10.002</w:t>
        </w:r>
      </w:hyperlink>
    </w:p>
    <w:bookmarkEnd w:id="208"/>
    <w:bookmarkStart w:id="210"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9">
        <w:r>
          <w:rPr>
            <w:rStyle w:val="Hyperlink"/>
          </w:rPr>
          <w:t xml:space="preserve">https://doi.org/10.1016/j.neuropsychologia.2011.08.025</w:t>
        </w:r>
      </w:hyperlink>
    </w:p>
    <w:bookmarkEnd w:id="210"/>
    <w:bookmarkStart w:id="212"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1">
        <w:r>
          <w:rPr>
            <w:rStyle w:val="Hyperlink"/>
          </w:rPr>
          <w:t xml:space="preserve">https://doi.org/10.1037/a0014420</w:t>
        </w:r>
      </w:hyperlink>
    </w:p>
    <w:bookmarkEnd w:id="212"/>
    <w:bookmarkStart w:id="214"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3">
        <w:r>
          <w:rPr>
            <w:rStyle w:val="Hyperlink"/>
          </w:rPr>
          <w:t xml:space="preserve">https://doi.org/10.1016/j.neuropsychologia.2009.02.013</w:t>
        </w:r>
      </w:hyperlink>
    </w:p>
    <w:bookmarkEnd w:id="214"/>
    <w:bookmarkStart w:id="216"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5">
        <w:r>
          <w:rPr>
            <w:rStyle w:val="Hyperlink"/>
          </w:rPr>
          <w:t xml:space="preserve">https://doi.org/10.1038/s41380-023-02062-7</w:t>
        </w:r>
      </w:hyperlink>
    </w:p>
    <w:bookmarkEnd w:id="216"/>
    <w:bookmarkStart w:id="218"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7">
        <w:r>
          <w:rPr>
            <w:rStyle w:val="Hyperlink"/>
          </w:rPr>
          <w:t xml:space="preserve">https://doi.org/10.1111/j.1467-9280.2005.01634.x</w:t>
        </w:r>
      </w:hyperlink>
    </w:p>
    <w:bookmarkEnd w:id="218"/>
    <w:bookmarkStart w:id="220"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19">
        <w:r>
          <w:rPr>
            <w:rStyle w:val="Hyperlink"/>
          </w:rPr>
          <w:t xml:space="preserve">https://doi.org/10.3758/s13423-011-0086-9</w:t>
        </w:r>
      </w:hyperlink>
    </w:p>
    <w:bookmarkEnd w:id="220"/>
    <w:bookmarkStart w:id="222"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1">
        <w:r>
          <w:rPr>
            <w:rStyle w:val="Hyperlink"/>
          </w:rPr>
          <w:t xml:space="preserve">https://doi.org/10.1037/a0013396</w:t>
        </w:r>
      </w:hyperlink>
    </w:p>
    <w:bookmarkEnd w:id="222"/>
    <w:bookmarkStart w:id="224"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3">
        <w:r>
          <w:rPr>
            <w:rStyle w:val="Hyperlink"/>
          </w:rPr>
          <w:t xml:space="preserve">https://doi.org/10.1177/0963721413498893</w:t>
        </w:r>
      </w:hyperlink>
    </w:p>
    <w:bookmarkEnd w:id="224"/>
    <w:bookmarkStart w:id="226"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5">
        <w:r>
          <w:rPr>
            <w:rStyle w:val="Hyperlink"/>
          </w:rPr>
          <w:t xml:space="preserve">https://doi.org/10.1037/rev0000132</w:t>
        </w:r>
      </w:hyperlink>
    </w:p>
    <w:bookmarkEnd w:id="226"/>
    <w:bookmarkStart w:id="228"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7">
        <w:r>
          <w:rPr>
            <w:rStyle w:val="Hyperlink"/>
          </w:rPr>
          <w:t xml:space="preserve">https://doi.org/10.1016/j.jml.2007.01.002</w:t>
        </w:r>
      </w:hyperlink>
    </w:p>
    <w:bookmarkEnd w:id="228"/>
    <w:bookmarkStart w:id="230"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29">
        <w:r>
          <w:rPr>
            <w:rStyle w:val="Hyperlink"/>
          </w:rPr>
          <w:t xml:space="preserve">https://doi.org/10.3758/bf03195864</w:t>
        </w:r>
      </w:hyperlink>
    </w:p>
    <w:bookmarkEnd w:id="230"/>
    <w:bookmarkStart w:id="232"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1">
        <w:r>
          <w:rPr>
            <w:rStyle w:val="Hyperlink"/>
          </w:rPr>
          <w:t xml:space="preserve">https://doi.org/10.1038/s41562-024-01956-y</w:t>
        </w:r>
      </w:hyperlink>
    </w:p>
    <w:bookmarkEnd w:id="232"/>
    <w:bookmarkStart w:id="234"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3">
        <w:r>
          <w:rPr>
            <w:rStyle w:val="Hyperlink"/>
          </w:rPr>
          <w:t xml:space="preserve">https://doi.org/10.1525/collabra.130791</w:t>
        </w:r>
      </w:hyperlink>
    </w:p>
    <w:bookmarkEnd w:id="234"/>
    <w:bookmarkStart w:id="236"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5">
        <w:r>
          <w:rPr>
            <w:rStyle w:val="Hyperlink"/>
          </w:rPr>
          <w:t xml:space="preserve">https://doi.org/10.1037/0278-7393.32.4.792</w:t>
        </w:r>
      </w:hyperlink>
    </w:p>
    <w:bookmarkEnd w:id="236"/>
    <w:bookmarkStart w:id="238"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37">
        <w:r>
          <w:rPr>
            <w:rStyle w:val="Hyperlink"/>
          </w:rPr>
          <w:t xml:space="preserve">https://doi.org/10.1037/rev0000505</w:t>
        </w:r>
      </w:hyperlink>
    </w:p>
    <w:bookmarkEnd w:id="238"/>
    <w:bookmarkEnd w:id="239"/>
    <w:bookmarkEnd w:id="24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94" Target="media/rId94.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hyperlink" Id="rId195" Target="https://doi.org/10.1002/acp.1611" TargetMode="External" /><Relationship Type="http://schemas.openxmlformats.org/officeDocument/2006/relationships/hyperlink" Id="rId185" Target="https://doi.org/10.1002/cpp.2489" TargetMode="External" /><Relationship Type="http://schemas.openxmlformats.org/officeDocument/2006/relationships/hyperlink" Id="rId136"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3" Target="https://doi.org/10.1016/S0005-7967(99)00123-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40" Target="https://doi.org/10.1016/j.jbtep.2011.10.008" TargetMode="External" /><Relationship Type="http://schemas.openxmlformats.org/officeDocument/2006/relationships/hyperlink" Id="rId189"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22" Target="https://doi.org/10.1016/j.jbtep.2023.101920" TargetMode="External" /><Relationship Type="http://schemas.openxmlformats.org/officeDocument/2006/relationships/hyperlink" Id="rId227" Target="https://doi.org/10.1016/j.jml.2007.01.002" TargetMode="External" /><Relationship Type="http://schemas.openxmlformats.org/officeDocument/2006/relationships/hyperlink" Id="rId207" Target="https://doi.org/10.1016/j.jml.2015.10.002" TargetMode="External" /><Relationship Type="http://schemas.openxmlformats.org/officeDocument/2006/relationships/hyperlink" Id="rId124" Target="https://doi.org/10.1016/j.jpsychires.2023.01.028" TargetMode="External" /><Relationship Type="http://schemas.openxmlformats.org/officeDocument/2006/relationships/hyperlink" Id="rId213" Target="https://doi.org/10.1016/j.neuropsychologia.2009.02.013" TargetMode="External" /><Relationship Type="http://schemas.openxmlformats.org/officeDocument/2006/relationships/hyperlink" Id="rId209" Target="https://doi.org/10.1016/j.neuropsychologia.2011.08.025" TargetMode="External" /><Relationship Type="http://schemas.openxmlformats.org/officeDocument/2006/relationships/hyperlink" Id="rId128" Target="https://doi.org/10.1016/s2215-0366(25)00397-9" TargetMode="External" /><Relationship Type="http://schemas.openxmlformats.org/officeDocument/2006/relationships/hyperlink" Id="rId132" Target="https://doi.org/10.1037/0033-295X.103.4.670" TargetMode="External" /><Relationship Type="http://schemas.openxmlformats.org/officeDocument/2006/relationships/hyperlink" Id="rId126"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35" Target="https://doi.org/10.1037/0278-7393.32.4.792" TargetMode="External" /><Relationship Type="http://schemas.openxmlformats.org/officeDocument/2006/relationships/hyperlink" Id="rId221" Target="https://doi.org/10.1037/a0013396" TargetMode="External" /><Relationship Type="http://schemas.openxmlformats.org/officeDocument/2006/relationships/hyperlink" Id="rId211" Target="https://doi.org/10.1037/a0014420" TargetMode="External" /><Relationship Type="http://schemas.openxmlformats.org/officeDocument/2006/relationships/hyperlink" Id="rId134" Target="https://doi.org/10.1037/a0018113" TargetMode="External" /><Relationship Type="http://schemas.openxmlformats.org/officeDocument/2006/relationships/hyperlink" Id="rId145" Target="https://doi.org/10.1037/a0033715" TargetMode="External" /><Relationship Type="http://schemas.openxmlformats.org/officeDocument/2006/relationships/hyperlink" Id="rId130" Target="https://doi.org/10.1037/a0033722" TargetMode="External" /><Relationship Type="http://schemas.openxmlformats.org/officeDocument/2006/relationships/hyperlink" Id="rId203"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25" Target="https://doi.org/10.1037/rev0000132" TargetMode="External" /><Relationship Type="http://schemas.openxmlformats.org/officeDocument/2006/relationships/hyperlink" Id="rId138" Target="https://doi.org/10.1037/rev0000334" TargetMode="External" /><Relationship Type="http://schemas.openxmlformats.org/officeDocument/2006/relationships/hyperlink" Id="rId237" Target="https://doi.org/10.1037/rev0000505" TargetMode="External" /><Relationship Type="http://schemas.openxmlformats.org/officeDocument/2006/relationships/hyperlink" Id="rId197" Target="https://doi.org/10.1037/xge0000598" TargetMode="External" /><Relationship Type="http://schemas.openxmlformats.org/officeDocument/2006/relationships/hyperlink" Id="rId201"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1" Target="https://doi.org/10.1038/nn.2271" TargetMode="External" /><Relationship Type="http://schemas.openxmlformats.org/officeDocument/2006/relationships/hyperlink" Id="rId215"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31" Target="https://doi.org/10.1038/s41562-024-01956-y" TargetMode="External" /><Relationship Type="http://schemas.openxmlformats.org/officeDocument/2006/relationships/hyperlink" Id="rId170" Target="https://doi.org/10.1101/lm.1022308" TargetMode="External" /><Relationship Type="http://schemas.openxmlformats.org/officeDocument/2006/relationships/hyperlink" Id="rId217" Target="https://doi.org/10.1111/j.1467-9280.2005.01634.x" TargetMode="External" /><Relationship Type="http://schemas.openxmlformats.org/officeDocument/2006/relationships/hyperlink" Id="rId183"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23" Target="https://doi.org/10.1177/0963721413498893" TargetMode="External" /><Relationship Type="http://schemas.openxmlformats.org/officeDocument/2006/relationships/hyperlink" Id="rId199" Target="https://doi.org/10.1177/2167702621998315" TargetMode="External" /><Relationship Type="http://schemas.openxmlformats.org/officeDocument/2006/relationships/hyperlink" Id="rId187"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3" Target="https://doi.org/10.1523/JNEUROSCI.3378-14.2015" TargetMode="External" /><Relationship Type="http://schemas.openxmlformats.org/officeDocument/2006/relationships/hyperlink" Id="rId233"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229" Target="https://doi.org/10.3758/bf03195864" TargetMode="External" /><Relationship Type="http://schemas.openxmlformats.org/officeDocument/2006/relationships/hyperlink" Id="rId149" Target="https://doi.org/10.3758/s13421-023-01453-z" TargetMode="External" /><Relationship Type="http://schemas.openxmlformats.org/officeDocument/2006/relationships/hyperlink" Id="rId219" Target="https://doi.org/10.3758/s13423-011-0086-9" TargetMode="External" /><Relationship Type="http://schemas.openxmlformats.org/officeDocument/2006/relationships/hyperlink" Id="rId205"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5" Target="https://doi.org/10.1002/acp.1611" TargetMode="External" /><Relationship Type="http://schemas.openxmlformats.org/officeDocument/2006/relationships/hyperlink" Id="rId185" Target="https://doi.org/10.1002/cpp.2489" TargetMode="External" /><Relationship Type="http://schemas.openxmlformats.org/officeDocument/2006/relationships/hyperlink" Id="rId136"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3" Target="https://doi.org/10.1016/S0005-7967(99)00123-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40" Target="https://doi.org/10.1016/j.jbtep.2011.10.008" TargetMode="External" /><Relationship Type="http://schemas.openxmlformats.org/officeDocument/2006/relationships/hyperlink" Id="rId189"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22" Target="https://doi.org/10.1016/j.jbtep.2023.101920" TargetMode="External" /><Relationship Type="http://schemas.openxmlformats.org/officeDocument/2006/relationships/hyperlink" Id="rId227" Target="https://doi.org/10.1016/j.jml.2007.01.002" TargetMode="External" /><Relationship Type="http://schemas.openxmlformats.org/officeDocument/2006/relationships/hyperlink" Id="rId207" Target="https://doi.org/10.1016/j.jml.2015.10.002" TargetMode="External" /><Relationship Type="http://schemas.openxmlformats.org/officeDocument/2006/relationships/hyperlink" Id="rId124" Target="https://doi.org/10.1016/j.jpsychires.2023.01.028" TargetMode="External" /><Relationship Type="http://schemas.openxmlformats.org/officeDocument/2006/relationships/hyperlink" Id="rId213" Target="https://doi.org/10.1016/j.neuropsychologia.2009.02.013" TargetMode="External" /><Relationship Type="http://schemas.openxmlformats.org/officeDocument/2006/relationships/hyperlink" Id="rId209" Target="https://doi.org/10.1016/j.neuropsychologia.2011.08.025" TargetMode="External" /><Relationship Type="http://schemas.openxmlformats.org/officeDocument/2006/relationships/hyperlink" Id="rId128" Target="https://doi.org/10.1016/s2215-0366(25)00397-9" TargetMode="External" /><Relationship Type="http://schemas.openxmlformats.org/officeDocument/2006/relationships/hyperlink" Id="rId132" Target="https://doi.org/10.1037/0033-295X.103.4.670" TargetMode="External" /><Relationship Type="http://schemas.openxmlformats.org/officeDocument/2006/relationships/hyperlink" Id="rId126"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35" Target="https://doi.org/10.1037/0278-7393.32.4.792" TargetMode="External" /><Relationship Type="http://schemas.openxmlformats.org/officeDocument/2006/relationships/hyperlink" Id="rId221" Target="https://doi.org/10.1037/a0013396" TargetMode="External" /><Relationship Type="http://schemas.openxmlformats.org/officeDocument/2006/relationships/hyperlink" Id="rId211" Target="https://doi.org/10.1037/a0014420" TargetMode="External" /><Relationship Type="http://schemas.openxmlformats.org/officeDocument/2006/relationships/hyperlink" Id="rId134" Target="https://doi.org/10.1037/a0018113" TargetMode="External" /><Relationship Type="http://schemas.openxmlformats.org/officeDocument/2006/relationships/hyperlink" Id="rId145" Target="https://doi.org/10.1037/a0033715" TargetMode="External" /><Relationship Type="http://schemas.openxmlformats.org/officeDocument/2006/relationships/hyperlink" Id="rId130" Target="https://doi.org/10.1037/a0033722" TargetMode="External" /><Relationship Type="http://schemas.openxmlformats.org/officeDocument/2006/relationships/hyperlink" Id="rId203"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25" Target="https://doi.org/10.1037/rev0000132" TargetMode="External" /><Relationship Type="http://schemas.openxmlformats.org/officeDocument/2006/relationships/hyperlink" Id="rId138" Target="https://doi.org/10.1037/rev0000334" TargetMode="External" /><Relationship Type="http://schemas.openxmlformats.org/officeDocument/2006/relationships/hyperlink" Id="rId237" Target="https://doi.org/10.1037/rev0000505" TargetMode="External" /><Relationship Type="http://schemas.openxmlformats.org/officeDocument/2006/relationships/hyperlink" Id="rId197" Target="https://doi.org/10.1037/xge0000598" TargetMode="External" /><Relationship Type="http://schemas.openxmlformats.org/officeDocument/2006/relationships/hyperlink" Id="rId201"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1" Target="https://doi.org/10.1038/nn.2271" TargetMode="External" /><Relationship Type="http://schemas.openxmlformats.org/officeDocument/2006/relationships/hyperlink" Id="rId215"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31" Target="https://doi.org/10.1038/s41562-024-01956-y" TargetMode="External" /><Relationship Type="http://schemas.openxmlformats.org/officeDocument/2006/relationships/hyperlink" Id="rId170" Target="https://doi.org/10.1101/lm.1022308" TargetMode="External" /><Relationship Type="http://schemas.openxmlformats.org/officeDocument/2006/relationships/hyperlink" Id="rId217" Target="https://doi.org/10.1111/j.1467-9280.2005.01634.x" TargetMode="External" /><Relationship Type="http://schemas.openxmlformats.org/officeDocument/2006/relationships/hyperlink" Id="rId183"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23" Target="https://doi.org/10.1177/0963721413498893" TargetMode="External" /><Relationship Type="http://schemas.openxmlformats.org/officeDocument/2006/relationships/hyperlink" Id="rId199" Target="https://doi.org/10.1177/2167702621998315" TargetMode="External" /><Relationship Type="http://schemas.openxmlformats.org/officeDocument/2006/relationships/hyperlink" Id="rId187"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3" Target="https://doi.org/10.1523/JNEUROSCI.3378-14.2015" TargetMode="External" /><Relationship Type="http://schemas.openxmlformats.org/officeDocument/2006/relationships/hyperlink" Id="rId233"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229" Target="https://doi.org/10.3758/bf03195864" TargetMode="External" /><Relationship Type="http://schemas.openxmlformats.org/officeDocument/2006/relationships/hyperlink" Id="rId149" Target="https://doi.org/10.3758/s13421-023-01453-z" TargetMode="External" /><Relationship Type="http://schemas.openxmlformats.org/officeDocument/2006/relationships/hyperlink" Id="rId219" Target="https://doi.org/10.3758/s13423-011-0086-9" TargetMode="External" /><Relationship Type="http://schemas.openxmlformats.org/officeDocument/2006/relationships/hyperlink" Id="rId205"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2026-07-01T15:36:26Z</dcterms:created>
  <dcterms:modified xsi:type="dcterms:W3CDTF">2026-07-01T15:36:26Z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