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film-associated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is often only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pair the interference task with a film reminder.</w:t>
      </w:r>
      <w:r>
        <w:t xml:space="preserve"> </w:t>
      </w:r>
      <w:r>
        <w:t xml:space="preserve">Participants return after roughly 24 hours to 3 days, view reminder cues for the film, and then complete Tetris.</w:t>
      </w:r>
      <w:r>
        <w:t xml:space="preserve"> </w:t>
      </w:r>
      <w:r>
        <w:t xml:space="preserve">This reminder-plus-Tetris sequence can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summarizes the modeled contrast: a reminder-linked interference task should reduce intrusion-like film access more than voluntary film recall.</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the selective pattern is attributed to disrupting the representation most likely to support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film-associated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film-associated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 cues are presented.</w:t>
      </w:r>
      <w:r>
        <w:t xml:space="preserve"> </w:t>
      </w:r>
      <w:r>
        <w:t xml:space="preserve">These cues can prompt retrieval of film memories,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film-associated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film-associated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film-associated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film-associated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film-associated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film-associated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film-associated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0"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2c2b19ca61f0d8679fb357e3aa386e7efdd5f9f"/>
    <w:p>
      <w:pPr>
        <w:pStyle w:val="Heading2"/>
      </w:pPr>
      <w:r>
        <w:t xml:space="preserve">Simulation 1: Task Encoding and Contextual Overlap</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create one generic film context.</w:t>
      </w:r>
      <w:r>
        <w:t xml:space="preserve"> </w:t>
      </w:r>
      <w:r>
        <w:t xml:space="preserve">They move context through film-associated states before task encoding, increasing overlap between task-encoding contexts and particular positions along the film trajectory.</w:t>
      </w:r>
      <w:r>
        <w:t xml:space="preserve"> </w:t>
      </w:r>
      <w:r>
        <w:t xml:space="preserve">Task encoding strength then determines how strongly task items are learned in those overlapping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the conditions under which deliberate film recall is protected from reminder-linked task competition.</w:t>
      </w:r>
      <w:r>
        <w:t xml:space="preserve"> </w:t>
      </w:r>
      <w:r>
        <w:t xml:space="preserve">The simulation keeps the same reminder-by-task-encoding design and periodic film cues, but varies retrieval mode and decomposes the control operations available during deliberate recall.</w:t>
      </w:r>
      <w:r>
        <w:t xml:space="preserve"> </w:t>
      </w:r>
      <w:r>
        <w:t xml:space="preserve">Deliberate recall combines three control operations: start-of-film context reinstatement before sampling, a maintained film-retrieval goal during sampling, and post-retrieval context monitoring after sampled non-film items.</w:t>
      </w:r>
      <w:r>
        <w:t xml:space="preserve"> </w:t>
      </w:r>
      <w:r>
        <w:t xml:space="preserve">The main readout is the film-recall loss produced by strong task encoding after a film reminder, not only total film recall.</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post-retrieval context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In deliberate film recall, the same reminder-linked manipulation produces a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Endpoint loss remains large when the film-retrieval goal is absent.</w:t>
      </w:r>
      <w:r>
        <w:t xml:space="preserve"> </w:t>
      </w:r>
      <w:r>
        <w:t xml:space="preserve">Start-of-film reinstatement and post-retrieval context monitoring can raise film recall, but they do not make recall insensitive to the high-interference endpoint.</w:t>
      </w:r>
      <w:r>
        <w:t xml:space="preserve"> </w:t>
      </w:r>
      <w:r>
        <w:t xml:space="preserve">When the film-retrieval goal is present, endpoint losses remain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53668"/>
                    </a:xfrm>
                    <a:prstGeom prst="rect">
                      <a:avLst/>
                    </a:prstGeom>
                    <a:noFill/>
                    <a:ln w="9525">
                      <a:noFill/>
                      <a:headEnd/>
                      <a:tailEnd/>
                    </a:ln>
                  </pic:spPr>
                </pic:pic>
              </a:graphicData>
            </a:graphic>
          </wp:inline>
        </w:drawing>
      </w:r>
    </w:p>
    <w:bookmarkEnd w:id="95"/>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The figure compares film recall in a low-interference setting, with no reminder and weak task encoding, against film recall in the high-interference setting, where a film reminder precedes strong task encoding.</w:t>
      </w:r>
      <w:r>
        <w:t xml:space="preserve"> </w:t>
      </w:r>
      <w:r>
        <w:t xml:space="preserve">When the film-retrieval goal is absent, film recall remains much lower in the high-interference setting.</w:t>
      </w:r>
      <w:r>
        <w:t xml:space="preserve"> </w:t>
      </w:r>
      <w:r>
        <w:t xml:space="preserve">Start-of-film reinstatement and post-retrieval context monitoring can raise film recall, but they do not eliminate the loss produced by reminder-linked strong task encoding.</w:t>
      </w:r>
      <w:r>
        <w:t xml:space="preserve"> </w:t>
      </w:r>
      <w:r>
        <w:t xml:space="preserve">When the film-retrieval goal is present, the loss remains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2321"/>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film-overlapping context.</w:t>
      </w:r>
      <w:r>
        <w:t xml:space="preserve"> </w:t>
      </w:r>
      <w:r>
        <w:t xml:space="preserve">Start-of-film context reinstatement can increase film recall, but its protection depends on which part of the film trajectory is reinstated.</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a film output.</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is not the broadest route to protection from reminder-linked task competition.</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38967"/>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asks what happens when the test presents the candidate film item rather than requiring that item to be sampled from context.</w:t>
      </w:r>
      <w:r>
        <w:t xml:space="preserve"> </w:t>
      </w:r>
      <w:r>
        <w:t xml:space="preserve">The same reminder-by-task-encoding design is used, but the test format changes how film material enters the response.</w:t>
      </w:r>
      <w:r>
        <w:t xml:space="preserve"> </w:t>
      </w:r>
      <w:r>
        <w:t xml:space="preserve">Context-guided recall requires a film item to be sampled from the candidates supported by current context.</w:t>
      </w:r>
      <w:r>
        <w:t xml:space="preserve"> </w:t>
      </w:r>
      <w:r>
        <w:t xml:space="preserve">Recognition begins with a supplied candidate item and asks whether the context retrieved by that item supports its occurrence in the film.</w:t>
      </w:r>
    </w:p>
    <w:p>
      <w:pPr>
        <w:pStyle w:val="BodyText"/>
      </w:pPr>
      <w:r>
        <w:t xml:space="preserve">The simulation presents studied film items and unstudied film-like foils as recognition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The reminder-plus-strong-task condition that strongly reduces context-guided film recall does not produce a corresponding reduction in recognition accuracy.</w:t>
      </w:r>
      <w:r>
        <w:t xml:space="preserve"> </w:t>
      </w:r>
      <w:r>
        <w:t xml:space="preserve">Corrected recognition remains essentially unchanged across the reminder-by-task-encoding design, ranging from .397 to .399.</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the supplied-item test format rather than a general sparing of voluntary recall.</w:t>
      </w:r>
    </w:p>
    <w:bookmarkEnd w:id="109"/>
    <w:bookmarkEnd w:id="110"/>
    <w:bookmarkStart w:id="111" w:name="general-discussion"/>
    <w:p>
      <w:pPr>
        <w:pStyle w:val="Heading1"/>
      </w:pPr>
      <w:r>
        <w:t xml:space="preserve">General Discussion</w:t>
      </w:r>
    </w:p>
    <w:bookmarkEnd w:id="111"/>
    <w:bookmarkStart w:id="243" w:name="references"/>
    <w:p>
      <w:pPr>
        <w:pStyle w:val="Heading1"/>
      </w:pPr>
      <w:r>
        <w:t xml:space="preserve">References</w:t>
      </w:r>
    </w:p>
    <w:bookmarkStart w:id="242" w:name="refs"/>
    <w:bookmarkStart w:id="11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2">
        <w:r>
          <w:rPr>
            <w:rStyle w:val="Hyperlink"/>
          </w:rPr>
          <w:t xml:space="preserve">https://doi.org/10.1016/j.jbtep.2023.101920</w:t>
        </w:r>
      </w:hyperlink>
    </w:p>
    <w:bookmarkEnd w:id="113"/>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8">
        <w:r>
          <w:rPr>
            <w:rStyle w:val="Hyperlink"/>
          </w:rPr>
          <w:t xml:space="preserve">https://doi.org/10.1016/s2215-0366(25)00397-9</w:t>
        </w:r>
      </w:hyperlink>
    </w:p>
    <w:bookmarkEnd w:id="119"/>
    <w:bookmarkStart w:id="12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0">
        <w:r>
          <w:rPr>
            <w:rStyle w:val="Hyperlink"/>
          </w:rPr>
          <w:t xml:space="preserve">https://doi.org/10.1037/a0033722</w:t>
        </w:r>
      </w:hyperlink>
    </w:p>
    <w:bookmarkEnd w:id="121"/>
    <w:bookmarkStart w:id="12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2">
        <w:r>
          <w:rPr>
            <w:rStyle w:val="Hyperlink"/>
          </w:rPr>
          <w:t xml:space="preserve">https://doi.org/10.1037/0033-295X.103.4.670</w:t>
        </w:r>
      </w:hyperlink>
    </w:p>
    <w:bookmarkEnd w:id="123"/>
    <w:bookmarkStart w:id="12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4">
        <w:r>
          <w:rPr>
            <w:rStyle w:val="Hyperlink"/>
          </w:rPr>
          <w:t xml:space="preserve">https://doi.org/10.1037/a0018113</w:t>
        </w:r>
      </w:hyperlink>
    </w:p>
    <w:bookmarkEnd w:id="125"/>
    <w:bookmarkStart w:id="12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6">
        <w:r>
          <w:rPr>
            <w:rStyle w:val="Hyperlink"/>
          </w:rPr>
          <w:t xml:space="preserve">https://doi.org/10.1006/jmps.1999.1282</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5">
        <w:r>
          <w:rPr>
            <w:rStyle w:val="Hyperlink"/>
          </w:rPr>
          <w:t xml:space="preserve">https://doi.org/10.1037/a0033715</w:t>
        </w:r>
      </w:hyperlink>
    </w:p>
    <w:bookmarkEnd w:id="136"/>
    <w:bookmarkStart w:id="13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7">
        <w:r>
          <w:rPr>
            <w:rStyle w:val="Hyperlink"/>
          </w:rPr>
          <w:t xml:space="preserve">https://doi.org/10.1037/rev0000015</w:t>
        </w:r>
      </w:hyperlink>
    </w:p>
    <w:bookmarkEnd w:id="138"/>
    <w:bookmarkStart w:id="14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39">
        <w:r>
          <w:rPr>
            <w:rStyle w:val="Hyperlink"/>
          </w:rPr>
          <w:t xml:space="preserve">https://doi.org/10.3758/s13421-023-01453-z</w:t>
        </w:r>
      </w:hyperlink>
    </w:p>
    <w:bookmarkEnd w:id="140"/>
    <w:bookmarkStart w:id="14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1">
        <w:r>
          <w:rPr>
            <w:rStyle w:val="Hyperlink"/>
          </w:rPr>
          <w:t xml:space="preserve">https://doi.org/10.1016/j.jbtep.2023.101858</w:t>
        </w:r>
      </w:hyperlink>
    </w:p>
    <w:bookmarkEnd w:id="142"/>
    <w:bookmarkStart w:id="14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3">
        <w:r>
          <w:rPr>
            <w:rStyle w:val="Hyperlink"/>
          </w:rPr>
          <w:t xml:space="preserve">https://doi.org/10.31234/osf.io/sm3fw</w:t>
        </w:r>
      </w:hyperlink>
    </w:p>
    <w:bookmarkEnd w:id="144"/>
    <w:bookmarkStart w:id="14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5">
        <w:r>
          <w:rPr>
            <w:rStyle w:val="Hyperlink"/>
          </w:rPr>
          <w:t xml:space="preserve">https://doi.org/10.1016/j.actpsy.2007.11.002</w:t>
        </w:r>
      </w:hyperlink>
    </w:p>
    <w:bookmarkEnd w:id="146"/>
    <w:bookmarkStart w:id="14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7">
        <w:r>
          <w:rPr>
            <w:rStyle w:val="Hyperlink"/>
          </w:rPr>
          <w:t xml:space="preserve">https://doi.org/10.1037/0096-3445.133.1.3</w:t>
        </w:r>
      </w:hyperlink>
    </w:p>
    <w:bookmarkEnd w:id="148"/>
    <w:bookmarkStart w:id="15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9">
        <w:r>
          <w:rPr>
            <w:rStyle w:val="Hyperlink"/>
          </w:rPr>
          <w:t xml:space="preserve">https://doi.org/10.1371/journal.pone.0004153</w:t>
        </w:r>
      </w:hyperlink>
    </w:p>
    <w:bookmarkEnd w:id="150"/>
    <w:bookmarkStart w:id="15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1">
        <w:r>
          <w:rPr>
            <w:rStyle w:val="Hyperlink"/>
          </w:rPr>
          <w:t xml:space="preserve">https://doi.org/10.1371/journal.pone.0013706</w:t>
        </w:r>
      </w:hyperlink>
    </w:p>
    <w:bookmarkEnd w:id="152"/>
    <w:bookmarkStart w:id="15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3">
        <w:r>
          <w:rPr>
            <w:rStyle w:val="Hyperlink"/>
          </w:rPr>
          <w:t xml:space="preserve">https://doi.org/10.1016/j.brat.2017.03.018</w:t>
        </w:r>
      </w:hyperlink>
    </w:p>
    <w:bookmarkEnd w:id="154"/>
    <w:bookmarkStart w:id="15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5">
        <w:r>
          <w:rPr>
            <w:rStyle w:val="Hyperlink"/>
          </w:rPr>
          <w:t xml:space="preserve">https://doi.org/10.1037/0278-7393.25.4.923</w:t>
        </w:r>
      </w:hyperlink>
    </w:p>
    <w:bookmarkEnd w:id="156"/>
    <w:bookmarkStart w:id="15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7">
        <w:r>
          <w:rPr>
            <w:rStyle w:val="Hyperlink"/>
          </w:rPr>
          <w:t xml:space="preserve">https://doi.org/10.1006/jmps.2001.1388</w:t>
        </w:r>
      </w:hyperlink>
    </w:p>
    <w:bookmarkEnd w:id="158"/>
    <w:bookmarkStart w:id="15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9"/>
    <w:bookmarkStart w:id="16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0">
        <w:r>
          <w:rPr>
            <w:rStyle w:val="Hyperlink"/>
          </w:rPr>
          <w:t xml:space="preserve">https://doi.org/10.1101/lm.1022308</w:t>
        </w:r>
      </w:hyperlink>
    </w:p>
    <w:bookmarkEnd w:id="161"/>
    <w:bookmarkStart w:id="1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2">
        <w:r>
          <w:rPr>
            <w:rStyle w:val="Hyperlink"/>
          </w:rPr>
          <w:t xml:space="preserve">https://doi.org/10.1038/mp.2017.23</w:t>
        </w:r>
      </w:hyperlink>
    </w:p>
    <w:bookmarkEnd w:id="163"/>
    <w:bookmarkStart w:id="16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4">
        <w:r>
          <w:rPr>
            <w:rStyle w:val="Hyperlink"/>
          </w:rPr>
          <w:t xml:space="preserve">https://doi.org/10.1038/s41398-023-02578-0</w:t>
        </w:r>
      </w:hyperlink>
    </w:p>
    <w:bookmarkEnd w:id="165"/>
    <w:bookmarkStart w:id="16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6">
        <w:r>
          <w:rPr>
            <w:rStyle w:val="Hyperlink"/>
          </w:rPr>
          <w:t xml:space="preserve">https://doi.org/10.1016/j.cpr.2018.08.005</w:t>
        </w:r>
      </w:hyperlink>
    </w:p>
    <w:bookmarkEnd w:id="167"/>
    <w:bookmarkStart w:id="16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8">
        <w:r>
          <w:rPr>
            <w:rStyle w:val="Hyperlink"/>
          </w:rPr>
          <w:t xml:space="preserve">https://doi.org/10.1177/0956797615583071</w:t>
        </w:r>
      </w:hyperlink>
    </w:p>
    <w:bookmarkEnd w:id="169"/>
    <w:bookmarkStart w:id="17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0">
        <w:r>
          <w:rPr>
            <w:rStyle w:val="Hyperlink"/>
          </w:rPr>
          <w:t xml:space="preserve">https://doi.org/10.1016/j.cpr.2016.04.010</w:t>
        </w:r>
      </w:hyperlink>
    </w:p>
    <w:bookmarkEnd w:id="171"/>
    <w:bookmarkStart w:id="17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2">
        <w:r>
          <w:rPr>
            <w:rStyle w:val="Hyperlink"/>
          </w:rPr>
          <w:t xml:space="preserve">https://memory.psych.upenn.edu/files/pubs/JinEtal24.pdf</w:t>
        </w:r>
      </w:hyperlink>
    </w:p>
    <w:bookmarkEnd w:id="173"/>
    <w:bookmarkStart w:id="17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4"/>
    <w:bookmarkStart w:id="17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5">
        <w:r>
          <w:rPr>
            <w:rStyle w:val="Hyperlink"/>
          </w:rPr>
          <w:t xml:space="preserve">https://doi.org/10.1146/annurev-psych-010418-103358</w:t>
        </w:r>
      </w:hyperlink>
    </w:p>
    <w:bookmarkEnd w:id="176"/>
    <w:bookmarkStart w:id="17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7">
        <w:r>
          <w:rPr>
            <w:rStyle w:val="Hyperlink"/>
          </w:rPr>
          <w:t xml:space="preserve">https://doi.org/10.1002/cpp.2489</w:t>
        </w:r>
      </w:hyperlink>
    </w:p>
    <w:bookmarkEnd w:id="178"/>
    <w:bookmarkStart w:id="18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9">
        <w:r>
          <w:rPr>
            <w:rStyle w:val="Hyperlink"/>
          </w:rPr>
          <w:t xml:space="preserve">https://doi.org/10.1186/s12916-024-03569-8</w:t>
        </w:r>
      </w:hyperlink>
    </w:p>
    <w:bookmarkEnd w:id="180"/>
    <w:bookmarkStart w:id="18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1">
        <w:r>
          <w:rPr>
            <w:rStyle w:val="Hyperlink"/>
          </w:rPr>
          <w:t xml:space="preserve">https://doi.org/10.1016/j.jbtep.2019.01.006</w:t>
        </w:r>
      </w:hyperlink>
    </w:p>
    <w:bookmarkEnd w:id="182"/>
    <w:bookmarkStart w:id="18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3">
        <w:r>
          <w:rPr>
            <w:rStyle w:val="Hyperlink"/>
          </w:rPr>
          <w:t xml:space="preserve">https://doi.org/10.1038/nn.2271</w:t>
        </w:r>
      </w:hyperlink>
    </w:p>
    <w:bookmarkEnd w:id="184"/>
    <w:bookmarkStart w:id="18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5">
        <w:r>
          <w:rPr>
            <w:rStyle w:val="Hyperlink"/>
          </w:rPr>
          <w:t xml:space="preserve">https://doi.org/10.1523/JNEUROSCI.3378-14.2015</w:t>
        </w:r>
      </w:hyperlink>
    </w:p>
    <w:bookmarkEnd w:id="186"/>
    <w:bookmarkStart w:id="18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7">
        <w:r>
          <w:rPr>
            <w:rStyle w:val="Hyperlink"/>
          </w:rPr>
          <w:t xml:space="preserve">https://doi.org/10.1002/acp.1611</w:t>
        </w:r>
      </w:hyperlink>
    </w:p>
    <w:bookmarkEnd w:id="188"/>
    <w:bookmarkStart w:id="19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9">
        <w:r>
          <w:rPr>
            <w:rStyle w:val="Hyperlink"/>
          </w:rPr>
          <w:t xml:space="preserve">https://doi.org/10.1037/xge0000598</w:t>
        </w:r>
      </w:hyperlink>
    </w:p>
    <w:bookmarkEnd w:id="190"/>
    <w:bookmarkStart w:id="19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1">
        <w:r>
          <w:rPr>
            <w:rStyle w:val="Hyperlink"/>
          </w:rPr>
          <w:t xml:space="preserve">https://doi.org/10.1177/2167702621998315</w:t>
        </w:r>
      </w:hyperlink>
    </w:p>
    <w:bookmarkEnd w:id="192"/>
    <w:bookmarkStart w:id="19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3">
        <w:r>
          <w:rPr>
            <w:rStyle w:val="Hyperlink"/>
          </w:rPr>
          <w:t xml:space="preserve">https://doi.org/10.1037/xge0001354</w:t>
        </w:r>
      </w:hyperlink>
    </w:p>
    <w:bookmarkEnd w:id="194"/>
    <w:bookmarkStart w:id="1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5">
        <w:r>
          <w:rPr>
            <w:rStyle w:val="Hyperlink"/>
          </w:rPr>
          <w:t xml:space="preserve">https://doi.org/10.1037/a0039036</w:t>
        </w:r>
      </w:hyperlink>
    </w:p>
    <w:bookmarkEnd w:id="196"/>
    <w:bookmarkStart w:id="19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7">
        <w:r>
          <w:rPr>
            <w:rStyle w:val="Hyperlink"/>
          </w:rPr>
          <w:t xml:space="preserve">https://doi.org/10.3758/s13423-025-02744-z</w:t>
        </w:r>
      </w:hyperlink>
    </w:p>
    <w:bookmarkEnd w:id="198"/>
    <w:bookmarkStart w:id="19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4">
        <w:r>
          <w:rPr>
            <w:rStyle w:val="Hyperlink"/>
          </w:rPr>
          <w:t xml:space="preserve">https://doi.org/10.1038/s41467-017-01184-1</w:t>
        </w:r>
      </w:hyperlink>
    </w:p>
    <w:bookmarkEnd w:id="205"/>
    <w:bookmarkStart w:id="207"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6">
        <w:r>
          <w:rPr>
            <w:rStyle w:val="Hyperlink"/>
          </w:rPr>
          <w:t xml:space="preserve">https://doi.org/10.1037/a0022475</w:t>
        </w:r>
      </w:hyperlink>
    </w:p>
    <w:bookmarkEnd w:id="207"/>
    <w:bookmarkStart w:id="209"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8">
        <w:r>
          <w:rPr>
            <w:rStyle w:val="Hyperlink"/>
          </w:rPr>
          <w:t xml:space="preserve">https://doi.org/10.1016/j.neuropsychologia.2011.08.025</w:t>
        </w:r>
      </w:hyperlink>
    </w:p>
    <w:bookmarkEnd w:id="209"/>
    <w:bookmarkStart w:id="21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0">
        <w:r>
          <w:rPr>
            <w:rStyle w:val="Hyperlink"/>
          </w:rPr>
          <w:t xml:space="preserve">https://doi.org/10.1037/a0014420</w:t>
        </w:r>
      </w:hyperlink>
    </w:p>
    <w:bookmarkEnd w:id="211"/>
    <w:bookmarkStart w:id="21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2">
        <w:r>
          <w:rPr>
            <w:rStyle w:val="Hyperlink"/>
          </w:rPr>
          <w:t xml:space="preserve">https://doi.org/10.1016/j.neuropsychologia.2009.02.013</w:t>
        </w:r>
      </w:hyperlink>
    </w:p>
    <w:bookmarkEnd w:id="213"/>
    <w:bookmarkStart w:id="215"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4">
        <w:r>
          <w:rPr>
            <w:rStyle w:val="Hyperlink"/>
          </w:rPr>
          <w:t xml:space="preserve">https://doi.org/10.1016/S0079-7421(08)60162-0</w:t>
        </w:r>
      </w:hyperlink>
    </w:p>
    <w:bookmarkEnd w:id="215"/>
    <w:bookmarkStart w:id="21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6">
        <w:r>
          <w:rPr>
            <w:rStyle w:val="Hyperlink"/>
          </w:rPr>
          <w:t xml:space="preserve">https://doi.org/10.1038/s41380-023-02062-7</w:t>
        </w:r>
      </w:hyperlink>
    </w:p>
    <w:bookmarkEnd w:id="217"/>
    <w:bookmarkStart w:id="21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8">
        <w:r>
          <w:rPr>
            <w:rStyle w:val="Hyperlink"/>
          </w:rPr>
          <w:t xml:space="preserve">https://doi.org/10.1111/j.1467-9280.2005.01634.x</w:t>
        </w:r>
      </w:hyperlink>
    </w:p>
    <w:bookmarkEnd w:id="219"/>
    <w:bookmarkStart w:id="22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0">
        <w:r>
          <w:rPr>
            <w:rStyle w:val="Hyperlink"/>
          </w:rPr>
          <w:t xml:space="preserve">https://doi.org/10.3758/s13423-011-0086-9</w:t>
        </w:r>
      </w:hyperlink>
    </w:p>
    <w:bookmarkEnd w:id="221"/>
    <w:bookmarkStart w:id="2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2">
        <w:r>
          <w:rPr>
            <w:rStyle w:val="Hyperlink"/>
          </w:rPr>
          <w:t xml:space="preserve">https://doi.org/10.1037/a0013396</w:t>
        </w:r>
      </w:hyperlink>
    </w:p>
    <w:bookmarkEnd w:id="223"/>
    <w:bookmarkStart w:id="225"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4">
        <w:r>
          <w:rPr>
            <w:rStyle w:val="Hyperlink"/>
          </w:rPr>
          <w:t xml:space="preserve">https://doi.org/10.1177/0963721413498893</w:t>
        </w:r>
      </w:hyperlink>
    </w:p>
    <w:bookmarkEnd w:id="225"/>
    <w:bookmarkStart w:id="22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6">
        <w:r>
          <w:rPr>
            <w:rStyle w:val="Hyperlink"/>
          </w:rPr>
          <w:t xml:space="preserve">https://doi.org/10.1037/rev0000132</w:t>
        </w:r>
      </w:hyperlink>
    </w:p>
    <w:bookmarkEnd w:id="227"/>
    <w:bookmarkStart w:id="229"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8">
        <w:r>
          <w:rPr>
            <w:rStyle w:val="Hyperlink"/>
          </w:rPr>
          <w:t xml:space="preserve">https://doi.org/10.1016/j.jml.2007.01.002</w:t>
        </w:r>
      </w:hyperlink>
    </w:p>
    <w:bookmarkEnd w:id="229"/>
    <w:bookmarkStart w:id="231"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0">
        <w:r>
          <w:rPr>
            <w:rStyle w:val="Hyperlink"/>
          </w:rPr>
          <w:t xml:space="preserve">https://doi.org/10.3758/bf03195864</w:t>
        </w:r>
      </w:hyperlink>
    </w:p>
    <w:bookmarkEnd w:id="231"/>
    <w:bookmarkStart w:id="233"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2">
        <w:r>
          <w:rPr>
            <w:rStyle w:val="Hyperlink"/>
          </w:rPr>
          <w:t xml:space="preserve">https://doi.org/10.3758/MC.38.4.419</w:t>
        </w:r>
      </w:hyperlink>
    </w:p>
    <w:bookmarkEnd w:id="233"/>
    <w:bookmarkStart w:id="23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4">
        <w:r>
          <w:rPr>
            <w:rStyle w:val="Hyperlink"/>
          </w:rPr>
          <w:t xml:space="preserve">https://doi.org/10.1038/s41562-024-01956-y</w:t>
        </w:r>
      </w:hyperlink>
    </w:p>
    <w:bookmarkEnd w:id="235"/>
    <w:bookmarkStart w:id="23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6">
        <w:r>
          <w:rPr>
            <w:rStyle w:val="Hyperlink"/>
          </w:rPr>
          <w:t xml:space="preserve">https://doi.org/10.1525/collabra.130791</w:t>
        </w:r>
      </w:hyperlink>
    </w:p>
    <w:bookmarkEnd w:id="237"/>
    <w:bookmarkStart w:id="23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8">
        <w:r>
          <w:rPr>
            <w:rStyle w:val="Hyperlink"/>
          </w:rPr>
          <w:t xml:space="preserve">https://doi.org/10.1037/0278-7393.32.4.792</w:t>
        </w:r>
      </w:hyperlink>
    </w:p>
    <w:bookmarkEnd w:id="239"/>
    <w:bookmarkStart w:id="24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0">
        <w:r>
          <w:rPr>
            <w:rStyle w:val="Hyperlink"/>
          </w:rPr>
          <w:t xml:space="preserve">https://doi.org/10.1037/rev0000505</w:t>
        </w:r>
      </w:hyperlink>
    </w:p>
    <w:bookmarkEnd w:id="241"/>
    <w:bookmarkEnd w:id="242"/>
    <w:bookmarkEnd w:id="2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2026-07-08T08:53:09Z</dcterms:created>
  <dcterms:modified xsi:type="dcterms:W3CDTF">2026-07-08T08:53:09Z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