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Retrieved-context models assume that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This operation gives film reminders their role in the selective-interference account.</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CMR explains this pattern by treating recall as candidate sampling from the current context.</w:t>
      </w:r>
      <w:r>
        <w:t xml:space="preserve"> </w:t>
      </w:r>
      <w:r>
        <w:t xml:space="preserve">As context drifts, support for non-target items declines; 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reminder can also change how later material is encoded.</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We implement the reminder as reinstatement of film-associated context before task encoding.</w:t>
      </w:r>
      <w:r>
        <w:t xml:space="preserve"> </w:t>
      </w:r>
      <w:r>
        <w:t xml:space="preserve">Task events encoded in that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2026-07-01T17:08:50Z</dcterms:created>
  <dcterms:modified xsi:type="dcterms:W3CDTF">2026-07-01T17:08:50Z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