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0.png" ContentType="image/png"/>
  <Override PartName="/word/media/rId76.png" ContentType="image/png"/>
  <Override PartName="/word/media/rId71.png" ContentType="image/png"/>
  <Override PartName="/word/media/rId85.png" ContentType="image/png"/>
  <Override PartName="/word/media/rId93.png" ContentType="image/png"/>
  <Override PartName="/word/media/rId89.png" ContentType="image/png"/>
  <Override PartName="/word/media/rId97.png" ContentType="image/png"/>
  <Override PartName="/word/media/rId101.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r>
        <w:t xml:space="preserve"> </w:t>
      </w:r>
      <w:r>
        <w:t xml:space="preserve">Deliberate recall is modeled with several control settings, but they do not contribute equally.</w:t>
      </w:r>
      <w:r>
        <w:t xml:space="preserve"> </w:t>
      </w:r>
      <w:r>
        <w:t xml:space="preserve">Start-of-film reinstatement changes where search begins, and retrieval monitoring limits drift after off-target samples.</w:t>
      </w:r>
      <w:r>
        <w:t xml:space="preserve"> </w:t>
      </w:r>
      <w:r>
        <w:t xml:space="preserve">The broadest protection comes from a maintained film-retrieval goal that supports film candidates without equally supporting task competitors.</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2"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items retrieved from memory, presented as reminders, or presented during a test can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The simulations implement this control component with three settings: the context state from which search begins, whether a maintained film-retrieval goal supports film material during sampling, and how much off-target samples update later context.</w:t>
      </w:r>
      <w:r>
        <w:t xml:space="preserve"> </w:t>
      </w:r>
      <w:r>
        <w:t xml:space="preserve">These settings correspond to start-of-film context reinstatement, a maintained film-retrieval goal, and retrieval monitoring.</w:t>
      </w:r>
      <w:r>
        <w:t xml:space="preserve"> </w:t>
      </w:r>
      <w:hyperlink w:anchor="X510f1211e07a3ef8f4aa5eaadde4214adc1a9dc">
        <w:r>
          <w:rPr>
            <w:rStyle w:val="Hyperlink"/>
          </w:rPr>
          <w:t xml:space="preserve">Figure 3</w:t>
        </w:r>
      </w:hyperlink>
      <w:r>
        <w:t xml:space="preserve"> </w:t>
      </w:r>
      <w:r>
        <w:t xml:space="preserve">summarizes the encoding and associative structure used to explain the trauma-film paradigm.</w:t>
      </w:r>
      <w:r>
        <w:t xml:space="preserve"> </w:t>
      </w:r>
      <w:hyperlink w:anchor="X199e0fd137172f53af28b87c55ae7adfa6c74ee">
        <w:r>
          <w:rPr>
            <w:rStyle w:val="Hyperlink"/>
          </w:rPr>
          <w:t xml:space="preserve">Figure 4</w:t>
        </w:r>
      </w:hyperlink>
      <w:r>
        <w:t xml:space="preserve"> </w:t>
      </w:r>
      <w:r>
        <w:t xml:space="preserve">then shows how those associations shape retrieval onset and later context updating.</w:t>
      </w:r>
      <w:r>
        <w:t xml:space="preserve"> </w:t>
      </w:r>
      <w:r>
        <w:t xml:space="preserve">Film reminders are film cues presented before task encoding, so they can change the context in which task items are learned.</w:t>
      </w:r>
      <w:r>
        <w:t xml:space="preserve"> </w:t>
      </w:r>
      <w:r>
        <w:t xml:space="preserve">Some laboratory intrusion measures, especially vigilance-intrusion tasks, present film-related cues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recall simulations approximate that retrieval setting by including weak test-phase film cues held constant across the main recall conditions.</w:t>
      </w:r>
      <w:r>
        <w:t xml:space="preserve"> </w:t>
      </w:r>
      <w:r>
        <w:t xml:space="preserve">Recognition tests present a candidate film item for judgment.</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 context-to-feature associations cue candidate items from the current context, and feature-to-context associations reinstate context when an item is recalled or when a film reminder or test cue is presented.</w:t>
      </w:r>
      <w:r>
        <w:t xml:space="preserve"> </w:t>
      </w:r>
      <w:r>
        <w:t xml:space="preserve">This associative structure determines which items can compete during later retrieval.</w:t>
      </w:r>
      <w:r>
        <w:t xml:space="preserve"> </w:t>
      </w:r>
      <w:r>
        <w:rPr>
          <w:b/>
          <w:bCs/>
        </w:rPr>
        <w:t xml:space="preserve">(B)</w:t>
      </w:r>
      <w:r>
        <w:t xml:space="preserve"> </w:t>
      </w:r>
      <w:r>
        <w:t xml:space="preserve">The interference intervention alters this structure during encoding.</w:t>
      </w:r>
      <w:r>
        <w:t xml:space="preserve"> </w:t>
      </w:r>
      <w:r>
        <w:t xml:space="preserve">Without a pre-task reminder, task items are encoded in relatively distinct context states.</w:t>
      </w:r>
      <w:r>
        <w:t xml:space="preserve"> </w:t>
      </w:r>
      <w:r>
        <w:t xml:space="preserve">With a pre-task film reminder, task encoding occurs after film-associated context has been reinstated.</w:t>
      </w:r>
      <w:r>
        <w:t xml:space="preserve"> </w:t>
      </w:r>
      <w:r>
        <w:t xml:space="preserve">When task encoding is strong, task items become strongly linked to those film-overlapping context states.</w:t>
      </w:r>
      <w:r>
        <w:t xml:space="preserve"> </w:t>
      </w:r>
      <w:r>
        <w:t xml:space="preserve">Thus, the same context that can cue film items can also cue task competitors during later retrieval.</w:t>
      </w:r>
      <w:r>
        <w:t xml:space="preserve"> </w:t>
      </w:r>
      <w:r>
        <w:t xml:space="preserve">Blue marks film items or film-linked context, orange marks task items or task-linked context, green marks film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Unguided retrieval begins from ongoing context, which can support film and task candidates together.</w:t>
      </w:r>
      <w:r>
        <w:t xml:space="preserve"> </w:t>
      </w:r>
      <w:r>
        <w:t xml:space="preserve">Deliberate recall can begin with start-of-film context reinstatement, giving stronger support to film candidates while task candidates remain weakly supported.</w:t>
      </w:r>
      <w:r>
        <w:t xml:space="preserve"> </w:t>
      </w:r>
      <w:r>
        <w:rPr>
          <w:b/>
          <w:bCs/>
        </w:rPr>
        <w:t xml:space="preserve">(B)</w:t>
      </w:r>
      <w:r>
        <w:t xml:space="preserve"> </w:t>
      </w:r>
      <w:r>
        <w:t xml:space="preserve">A maintained film goal provides an additional deliberate-retrieval signal through context-to-feature memory.</w:t>
      </w:r>
      <w:r>
        <w:t xml:space="preserve"> </w:t>
      </w:r>
      <w:r>
        <w:t xml:space="preserve">Ongoing context can still cue both film items and task competitors, but the film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A recalled item updates the next context through feature-to-context memory, and that next context cues later candidates.</w:t>
      </w:r>
      <w:r>
        <w:t xml:space="preserve"> </w:t>
      </w:r>
      <w:r>
        <w:t xml:space="preserve">Without monitoring, recalling a task item can shift later context toward task candidates; with retrieval monitoring, that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Contextual similarity is established during encoding.</w:t>
      </w:r>
      <w:r>
        <w:t xml:space="preserve"> </w:t>
      </w:r>
      <w:r>
        <w:t xml:space="preserve">In CMR, an item is a discrete encoded unit.</w:t>
      </w:r>
      <w:r>
        <w:t xml:space="preserve"> </w:t>
      </w:r>
      <w:r>
        <w:t xml:space="preserve">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Source context provides a non-temporal context pathway in the model.</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a simplified film/source feature plays the same architectural role in this model.</w:t>
      </w:r>
      <w:r>
        <w:t xml:space="preserve"> </w:t>
      </w:r>
      <w:r>
        <w:t xml:space="preserve">Film items carry the marked film/source feature.</w:t>
      </w:r>
      <w:r>
        <w:t xml:space="preserve"> </w:t>
      </w:r>
      <w:r>
        <w:t xml:space="preserve">Neutral task and filler items lack that feature and can weakly bind active source context during encoding.</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The simulations use source context as part of the retrieval architecture and leave task-category specificity for later discussion.</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when there is no explicit goal to recall the film.</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film items presented by a test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As retrieval unfolds, a recalled film item pulls context toward film-associated states and can support retrieval of additional film items.</w:t>
      </w:r>
      <w:r>
        <w:t xml:space="preserve"> </w:t>
      </w:r>
      <w:r>
        <w:t xml:space="preserve">A sampled task competitor pulls context toward task-associated states and can prolong competition.</w:t>
      </w:r>
      <w:r>
        <w:t xml:space="preserve"> </w:t>
      </w:r>
      <w:r>
        <w:t xml:space="preserve">Weak film-related cues are included during recall to approximate vigilance-intrusion tasks, where film cues are presented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These cues update context through the same item-to-context operation as recalled items and are held constant across the main recall conditions.</w:t>
      </w:r>
      <w:r>
        <w:t xml:space="preserve"> </w:t>
      </w:r>
      <w:r>
        <w:t xml:space="preserve">The pre-task film reminder plays a different role, occurring before task encoding and changing what task items become associated with.</w:t>
      </w:r>
      <w:r>
        <w:t xml:space="preserve"> </w:t>
      </w:r>
      <w:r>
        <w:t xml:space="preserve">Recognition tests create a further distinction because the test presents a candidate film item for judgment.</w:t>
      </w:r>
      <w:r>
        <w:t xml:space="preserve"> </w:t>
      </w:r>
      <w:r>
        <w:t xml:space="preserve">Because that film item is already available, context reinstatement can begin before any context-to-item competition with task items.</w:t>
      </w:r>
      <w:r>
        <w:t xml:space="preserve"> </w:t>
      </w:r>
      <w:r>
        <w:t xml:space="preserve">The recognition simulation isolates this access step.</w:t>
      </w:r>
      <w:r>
        <w:t xml:space="preserve"> </w:t>
      </w:r>
      <w:r>
        <w:t xml:space="preserve">It does not model criterion, confidence, or complete foil processing</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deliberate-recall simulations focus on three controls: start-of-film context reinstatement, a maintained film-retrieval goal, and retrieval monitoring.</w:t>
      </w:r>
      <w:r>
        <w:t xml:space="preserve"> </w:t>
      </w:r>
      <w:r>
        <w:t xml:space="preserve">Start-of-film context reinstatement drifts retrieval context toward the start of the encoded sequence before recall.</w:t>
      </w:r>
      <w:r>
        <w:t xml:space="preserve"> </w:t>
      </w:r>
      <w:r>
        <w:t xml:space="preserve">Because the film is encoded before the task and filler items, that start state supports early film items most strongly.</w:t>
      </w:r>
      <w:r>
        <w:t xml:space="preserve"> </w:t>
      </w:r>
      <w:r>
        <w:t xml:space="preserve">The maintained film-retrieval goal provides film-directed support during candidate sampling.</w:t>
      </w:r>
      <w:r>
        <w:t xml:space="preserve"> </w:t>
      </w:r>
      <w:r>
        <w:t xml:space="preserve">Retrieval monitoring limits how much sampled off-target items update later context.</w:t>
      </w:r>
      <w:r>
        <w:t xml:space="preserve"> </w:t>
      </w:r>
      <w:r>
        <w:t xml:space="preserve">Start-of-film reinstatement and retrieval monitoring can increase film recall in some conditions, but the smallest endpoint differences occur when deliberate recall includes the maintained film-retrieval goal.</w:t>
      </w:r>
      <w:r>
        <w:t xml:space="preserve"> </w:t>
      </w:r>
      <w:r>
        <w:t xml:space="preserve">The maintained film-retrieval goal is treated as source/goal-like film-directed support: a maintained retrieval state that targets film material more strongly than task material.</w:t>
      </w:r>
      <w:r>
        <w:t xml:space="preserve"> </w:t>
      </w:r>
      <w:r>
        <w:t xml:space="preserve">The model specification implements this source/goal-like support in simplified form.</w:t>
      </w:r>
    </w:p>
    <w:p>
      <w:pPr>
        <w:pStyle w:val="BodyText"/>
      </w:pPr>
      <w:r>
        <w:t xml:space="preserve">The simulations instantiate this account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evolving context stream.</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while film-item associations are held fixed across the task manipulation.</w:t>
      </w:r>
      <w:r>
        <w:t xml:space="preserve"> </w:t>
      </w:r>
      <w:r>
        <w:t xml:space="preserve">The simulations use this architecture to evaluate three consequences: reminder-linked task encoding creates competitors, deliberate-recall controls reduce the impact of those competitors under specific settings, and recognition-like tests change the retrieval problem because the candidate item is presented.</w:t>
      </w:r>
    </w:p>
    <w:bookmarkEnd w:id="42"/>
    <w:bookmarkStart w:id="67"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46"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3"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3"/>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4"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4"/>
    </w:p>
    <w:p>
      <w:pPr>
        <w:pStyle w:val="FirstParagraph"/>
      </w:pPr>
      <w:bookmarkStart w:id="45"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5"/>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46"/>
    <w:bookmarkStart w:id="58"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47"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47"/>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48"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48"/>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49"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49"/>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0"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0"/>
    </w:p>
    <w:p>
      <w:pPr>
        <w:pStyle w:val="FirstParagraph"/>
      </w:pPr>
      <w:r>
        <w:t xml:space="preserve">A primacy function weights context-to-feature learning:</w:t>
      </w:r>
    </w:p>
    <w:p>
      <w:pPr>
        <w:pStyle w:val="BodyText"/>
      </w:pPr>
      <w:bookmarkStart w:id="51"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1"/>
    </w:p>
    <w:p>
      <w:pPr>
        <w:pStyle w:val="FirstParagraph"/>
      </w:pPr>
      <w:r>
        <w:t xml:space="preserve">Context-to-feature associations update as:</w:t>
      </w:r>
    </w:p>
    <w:p>
      <w:pPr>
        <w:pStyle w:val="BodyText"/>
      </w:pPr>
      <w:bookmarkStart w:id="52"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2"/>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3"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3"/>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Film items match the goal;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4"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4"/>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5"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5"/>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56"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56"/>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57"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57"/>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candidate film items presented by the test use the context update without adding a new recallable event.</w:t>
      </w:r>
    </w:p>
    <w:bookmarkEnd w:id="58"/>
    <w:bookmarkStart w:id="62"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59"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59"/>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0"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0"/>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1"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1"/>
    </w:p>
    <w:p>
      <w:pPr>
        <w:pStyle w:val="FirstParagraph"/>
      </w:pPr>
      <w:r>
        <w:t xml:space="preserve">Candidate film items presented by the test therefore use the same feature-to-context operation as sampled and reminded items.</w:t>
      </w:r>
    </w:p>
    <w:bookmarkEnd w:id="62"/>
    <w:bookmarkStart w:id="66" w:name="source-context"/>
    <w:p>
      <w:pPr>
        <w:pStyle w:val="Heading2"/>
      </w:pPr>
      <w:r>
        <w:t xml:space="preserve">Source Context</w:t>
      </w:r>
    </w:p>
    <w:p>
      <w:pPr>
        <w:pStyle w:val="FirstParagraph"/>
      </w:pPr>
      <w:r>
        <w:t xml:space="preserve">The source-context pathway adapts the emotional/source-context machinery of eCMR and CMR3 to the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simplified film-source dimension fills the same architectural role: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3"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3"/>
    </w:p>
    <w:p>
      <w:pPr>
        <w:pStyle w:val="FirstParagraph"/>
      </w:pPr>
      <w:r>
        <w:t xml:space="preserve">Source-context-to-feature support begins at zero:</w:t>
      </w:r>
    </w:p>
    <w:p>
      <w:pPr>
        <w:pStyle w:val="BodyText"/>
      </w:pPr>
      <w:bookmarkStart w:id="64"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4"/>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5"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5"/>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Retrieval begins with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66"/>
    <w:bookmarkEnd w:id="67"/>
    <w:bookmarkStart w:id="111"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68"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68"/>
    <w:bookmarkStart w:id="70"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69"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69"/>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0"/>
    <w:bookmarkStart w:id="84"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5"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5"/>
    <w:p>
      <w:pPr>
        <w:pStyle w:val="AfterWithoutNote"/>
      </w:pPr>
      <w:r>
        <w:t xml:space="preserve"> </w:t>
      </w:r>
    </w:p>
    <w:bookmarkStart w:id="79"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7" name="Picture"/>
            <a:graphic>
              <a:graphicData uri="http://schemas.openxmlformats.org/drawingml/2006/picture">
                <pic:pic>
                  <pic:nvPicPr>
                    <pic:cNvPr descr="work/simulation1_unguided_cued/simulation1_unguided_cued_recall_distributions.png" id="78" name="Picture"/>
                    <pic:cNvPicPr>
                      <a:picLocks noChangeArrowheads="1" noChangeAspect="1"/>
                    </pic:cNvPicPr>
                  </pic:nvPicPr>
                  <pic:blipFill>
                    <a:blip r:embed="rId76"/>
                    <a:stretch>
                      <a:fillRect/>
                    </a:stretch>
                  </pic:blipFill>
                  <pic:spPr bwMode="auto">
                    <a:xfrm>
                      <a:off x="0" y="0"/>
                      <a:ext cx="5943600" cy="5583695"/>
                    </a:xfrm>
                    <a:prstGeom prst="rect">
                      <a:avLst/>
                    </a:prstGeom>
                    <a:noFill/>
                    <a:ln w="9525">
                      <a:noFill/>
                      <a:headEnd/>
                      <a:tailEnd/>
                    </a:ln>
                  </pic:spPr>
                </pic:pic>
              </a:graphicData>
            </a:graphic>
          </wp:inline>
        </w:drawing>
      </w:r>
    </w:p>
    <w:bookmarkEnd w:id="79"/>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3"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1" name="Picture"/>
            <a:graphic>
              <a:graphicData uri="http://schemas.openxmlformats.org/drawingml/2006/picture">
                <pic:pic>
                  <pic:nvPicPr>
                    <pic:cNvPr descr="work/simulation1_unguided_cued/simulation1_unguided_cued_context_overlap.png" id="82" name="Picture"/>
                    <pic:cNvPicPr>
                      <a:picLocks noChangeArrowheads="1" noChangeAspect="1"/>
                    </pic:cNvPicPr>
                  </pic:nvPicPr>
                  <pic:blipFill>
                    <a:blip r:embed="rId80"/>
                    <a:stretch>
                      <a:fillRect/>
                    </a:stretch>
                  </pic:blipFill>
                  <pic:spPr bwMode="auto">
                    <a:xfrm>
                      <a:off x="0" y="0"/>
                      <a:ext cx="5943600" cy="5653668"/>
                    </a:xfrm>
                    <a:prstGeom prst="rect">
                      <a:avLst/>
                    </a:prstGeom>
                    <a:noFill/>
                    <a:ln w="9525">
                      <a:noFill/>
                      <a:headEnd/>
                      <a:tailEnd/>
                    </a:ln>
                  </pic:spPr>
                </pic:pic>
              </a:graphicData>
            </a:graphic>
          </wp:inline>
        </w:drawing>
      </w:r>
    </w:p>
    <w:bookmarkEnd w:id="83"/>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4"/>
    <w:bookmarkStart w:id="105"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8"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6" name="Picture"/>
            <a:graphic>
              <a:graphicData uri="http://schemas.openxmlformats.org/drawingml/2006/picture">
                <pic:pic>
                  <pic:nvPicPr>
                    <pic:cNvPr descr="work/simulation2_control_cued_behavioral/simulation2_control_cued_behavioral.png" id="87" name="Picture"/>
                    <pic:cNvPicPr>
                      <a:picLocks noChangeArrowheads="1" noChangeAspect="1"/>
                    </pic:cNvPicPr>
                  </pic:nvPicPr>
                  <pic:blipFill>
                    <a:blip r:embed="rId85"/>
                    <a:stretch>
                      <a:fillRect/>
                    </a:stretch>
                  </pic:blipFill>
                  <pic:spPr bwMode="auto">
                    <a:xfrm>
                      <a:off x="0" y="0"/>
                      <a:ext cx="5943600" cy="3596194"/>
                    </a:xfrm>
                    <a:prstGeom prst="rect">
                      <a:avLst/>
                    </a:prstGeom>
                    <a:noFill/>
                    <a:ln w="9525">
                      <a:noFill/>
                      <a:headEnd/>
                      <a:tailEnd/>
                    </a:ln>
                  </pic:spPr>
                </pic:pic>
              </a:graphicData>
            </a:graphic>
          </wp:inline>
        </w:drawing>
      </w:r>
    </w:p>
    <w:bookmarkEnd w:id="88"/>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2"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0" name="Picture"/>
            <a:graphic>
              <a:graphicData uri="http://schemas.openxmlformats.org/drawingml/2006/picture">
                <pic:pic>
                  <pic:nvPicPr>
                    <pic:cNvPr descr="work/simulation2_retrieval_control_decomposition/simulation2_retrieval_control_decomposition.png" id="91" name="Picture"/>
                    <pic:cNvPicPr>
                      <a:picLocks noChangeArrowheads="1" noChangeAspect="1"/>
                    </pic:cNvPicPr>
                  </pic:nvPicPr>
                  <pic:blipFill>
                    <a:blip r:embed="rId89"/>
                    <a:stretch>
                      <a:fillRect/>
                    </a:stretch>
                  </pic:blipFill>
                  <pic:spPr bwMode="auto">
                    <a:xfrm>
                      <a:off x="0" y="0"/>
                      <a:ext cx="5943600" cy="2657138"/>
                    </a:xfrm>
                    <a:prstGeom prst="rect">
                      <a:avLst/>
                    </a:prstGeom>
                    <a:noFill/>
                    <a:ln w="9525">
                      <a:noFill/>
                      <a:headEnd/>
                      <a:tailEnd/>
                    </a:ln>
                  </pic:spPr>
                </pic:pic>
              </a:graphicData>
            </a:graphic>
          </wp:inline>
        </w:drawing>
      </w:r>
    </w:p>
    <w:bookmarkEnd w:id="92"/>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96"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4" name="Picture"/>
            <a:graphic>
              <a:graphicData uri="http://schemas.openxmlformats.org/drawingml/2006/picture">
                <pic:pic>
                  <pic:nvPicPr>
                    <pic:cNvPr descr="work/simulation2_film_retrieval_goal_context_overlap/simulation2_film_retrieval_goal_context_overlap.png" id="95" name="Picture"/>
                    <pic:cNvPicPr>
                      <a:picLocks noChangeArrowheads="1" noChangeAspect="1"/>
                    </pic:cNvPicPr>
                  </pic:nvPicPr>
                  <pic:blipFill>
                    <a:blip r:embed="rId93"/>
                    <a:stretch>
                      <a:fillRect/>
                    </a:stretch>
                  </pic:blipFill>
                  <pic:spPr bwMode="auto">
                    <a:xfrm>
                      <a:off x="0" y="0"/>
                      <a:ext cx="5943600" cy="565366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0"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8" name="Picture"/>
            <a:graphic>
              <a:graphicData uri="http://schemas.openxmlformats.org/drawingml/2006/picture">
                <pic:pic>
                  <pic:nvPicPr>
                    <pic:cNvPr descr="work/simulation2_start_context_reinstatement/simulation2_start_context_reinstatement.png" id="99" name="Picture"/>
                    <pic:cNvPicPr>
                      <a:picLocks noChangeArrowheads="1" noChangeAspect="1"/>
                    </pic:cNvPicPr>
                  </pic:nvPicPr>
                  <pic:blipFill>
                    <a:blip r:embed="rId97"/>
                    <a:stretch>
                      <a:fillRect/>
                    </a:stretch>
                  </pic:blipFill>
                  <pic:spPr bwMode="auto">
                    <a:xfrm>
                      <a:off x="0" y="0"/>
                      <a:ext cx="5943600" cy="5612321"/>
                    </a:xfrm>
                    <a:prstGeom prst="rect">
                      <a:avLst/>
                    </a:prstGeom>
                    <a:noFill/>
                    <a:ln w="9525">
                      <a:noFill/>
                      <a:headEnd/>
                      <a:tailEnd/>
                    </a:ln>
                  </pic:spPr>
                </pic:pic>
              </a:graphicData>
            </a:graphic>
          </wp:inline>
        </w:drawing>
      </w:r>
    </w:p>
    <w:bookmarkEnd w:id="100"/>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4"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2" name="Picture"/>
            <a:graphic>
              <a:graphicData uri="http://schemas.openxmlformats.org/drawingml/2006/picture">
                <pic:pic>
                  <pic:nvPicPr>
                    <pic:cNvPr descr="work/simulation2_target_monitoring_diagnostic/simulation2_target_monitoring_diagnostic.png" id="103" name="Picture"/>
                    <pic:cNvPicPr>
                      <a:picLocks noChangeArrowheads="1" noChangeAspect="1"/>
                    </pic:cNvPicPr>
                  </pic:nvPicPr>
                  <pic:blipFill>
                    <a:blip r:embed="rId101"/>
                    <a:stretch>
                      <a:fillRect/>
                    </a:stretch>
                  </pic:blipFill>
                  <pic:spPr bwMode="auto">
                    <a:xfrm>
                      <a:off x="0" y="0"/>
                      <a:ext cx="5943600" cy="5638967"/>
                    </a:xfrm>
                    <a:prstGeom prst="rect">
                      <a:avLst/>
                    </a:prstGeom>
                    <a:noFill/>
                    <a:ln w="9525">
                      <a:noFill/>
                      <a:headEnd/>
                      <a:tailEnd/>
                    </a:ln>
                  </pic:spPr>
                </pic:pic>
              </a:graphicData>
            </a:graphic>
          </wp:inline>
        </w:drawing>
      </w:r>
    </w:p>
    <w:bookmarkEnd w:id="104"/>
    <w:bookmarkEnd w:id="105"/>
    <w:bookmarkStart w:id="110"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09"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7" name="Picture"/>
            <a:graphic>
              <a:graphicData uri="http://schemas.openxmlformats.org/drawingml/2006/picture">
                <pic:pic>
                  <pic:nvPicPr>
                    <pic:cNvPr descr="work/simulation4_recognition_full_figure/item_context_recognition.png" id="108" name="Picture"/>
                    <pic:cNvPicPr>
                      <a:picLocks noChangeArrowheads="1" noChangeAspect="1"/>
                    </pic:cNvPicPr>
                  </pic:nvPicPr>
                  <pic:blipFill>
                    <a:blip r:embed="rId106"/>
                    <a:stretch>
                      <a:fillRect/>
                    </a:stretch>
                  </pic:blipFill>
                  <pic:spPr bwMode="auto">
                    <a:xfrm>
                      <a:off x="0" y="0"/>
                      <a:ext cx="5943600" cy="4316185"/>
                    </a:xfrm>
                    <a:prstGeom prst="rect">
                      <a:avLst/>
                    </a:prstGeom>
                    <a:noFill/>
                    <a:ln w="9525">
                      <a:noFill/>
                      <a:headEnd/>
                      <a:tailEnd/>
                    </a:ln>
                  </pic:spPr>
                </pic:pic>
              </a:graphicData>
            </a:graphic>
          </wp:inline>
        </w:drawing>
      </w:r>
    </w:p>
    <w:bookmarkEnd w:id="109"/>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0"/>
    <w:bookmarkEnd w:id="111"/>
    <w:bookmarkStart w:id="112" w:name="general-discussion"/>
    <w:p>
      <w:pPr>
        <w:pStyle w:val="Heading1"/>
      </w:pPr>
      <w:r>
        <w:t xml:space="preserve">General Discussion</w:t>
      </w:r>
    </w:p>
    <w:bookmarkEnd w:id="112"/>
    <w:bookmarkStart w:id="213" w:name="references"/>
    <w:p>
      <w:pPr>
        <w:pStyle w:val="Heading1"/>
      </w:pPr>
      <w:r>
        <w:t xml:space="preserve">References</w:t>
      </w:r>
    </w:p>
    <w:bookmarkStart w:id="212" w:name="refs"/>
    <w:bookmarkStart w:id="114"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3">
        <w:r>
          <w:rPr>
            <w:rStyle w:val="Hyperlink"/>
          </w:rPr>
          <w:t xml:space="preserve">https://doi.org/10.1016/j.jbtep.2023.101920</w:t>
        </w:r>
      </w:hyperlink>
    </w:p>
    <w:bookmarkEnd w:id="114"/>
    <w:bookmarkStart w:id="11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5">
        <w:r>
          <w:rPr>
            <w:rStyle w:val="Hyperlink"/>
          </w:rPr>
          <w:t xml:space="preserve">https://doi.org/10.1016/j.jpsychires.2023.01.028</w:t>
        </w:r>
      </w:hyperlink>
    </w:p>
    <w:bookmarkEnd w:id="116"/>
    <w:bookmarkStart w:id="118"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7">
        <w:r>
          <w:rPr>
            <w:rStyle w:val="Hyperlink"/>
          </w:rPr>
          <w:t xml:space="preserve">https://doi.org/10.1037/0096-3445.129.1.126</w:t>
        </w:r>
      </w:hyperlink>
    </w:p>
    <w:bookmarkEnd w:id="118"/>
    <w:bookmarkStart w:id="120"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9">
        <w:r>
          <w:rPr>
            <w:rStyle w:val="Hyperlink"/>
          </w:rPr>
          <w:t xml:space="preserve">https://doi.org/10.1016/s2215-0366(25)00397-9</w:t>
        </w:r>
      </w:hyperlink>
    </w:p>
    <w:bookmarkEnd w:id="120"/>
    <w:bookmarkStart w:id="122"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1">
        <w:r>
          <w:rPr>
            <w:rStyle w:val="Hyperlink"/>
          </w:rPr>
          <w:t xml:space="preserve">https://doi.org/10.1037/a0033722</w:t>
        </w:r>
      </w:hyperlink>
    </w:p>
    <w:bookmarkEnd w:id="122"/>
    <w:bookmarkStart w:id="124"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3">
        <w:r>
          <w:rPr>
            <w:rStyle w:val="Hyperlink"/>
          </w:rPr>
          <w:t xml:space="preserve">https://doi.org/10.1037/0033-295X.103.4.670</w:t>
        </w:r>
      </w:hyperlink>
    </w:p>
    <w:bookmarkEnd w:id="124"/>
    <w:bookmarkStart w:id="126"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5">
        <w:r>
          <w:rPr>
            <w:rStyle w:val="Hyperlink"/>
          </w:rPr>
          <w:t xml:space="preserve">https://doi.org/10.1037/a0018113</w:t>
        </w:r>
      </w:hyperlink>
    </w:p>
    <w:bookmarkEnd w:id="126"/>
    <w:bookmarkStart w:id="128"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27">
        <w:r>
          <w:rPr>
            <w:rStyle w:val="Hyperlink"/>
          </w:rPr>
          <w:t xml:space="preserve">https://doi.org/10.1006/jmps.1999.1282</w:t>
        </w:r>
      </w:hyperlink>
    </w:p>
    <w:bookmarkEnd w:id="128"/>
    <w:bookmarkStart w:id="130"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9">
        <w:r>
          <w:rPr>
            <w:rStyle w:val="Hyperlink"/>
          </w:rPr>
          <w:t xml:space="preserve">https://doi.org/10.1037/rev0000334</w:t>
        </w:r>
      </w:hyperlink>
    </w:p>
    <w:bookmarkEnd w:id="130"/>
    <w:bookmarkStart w:id="132"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1">
        <w:r>
          <w:rPr>
            <w:rStyle w:val="Hyperlink"/>
          </w:rPr>
          <w:t xml:space="preserve">https://doi.org/10.1016/j.jbtep.2011.10.008</w:t>
        </w:r>
      </w:hyperlink>
    </w:p>
    <w:bookmarkEnd w:id="132"/>
    <w:bookmarkStart w:id="133"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3"/>
    <w:bookmarkStart w:id="135"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4">
        <w:r>
          <w:rPr>
            <w:rStyle w:val="Hyperlink"/>
          </w:rPr>
          <w:t xml:space="preserve">https://doi.org/10.1016/S0005-7967(99)00123-0</w:t>
        </w:r>
      </w:hyperlink>
    </w:p>
    <w:bookmarkEnd w:id="135"/>
    <w:bookmarkStart w:id="137"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6">
        <w:r>
          <w:rPr>
            <w:rStyle w:val="Hyperlink"/>
          </w:rPr>
          <w:t xml:space="preserve">https://doi.org/10.1037/rev0000015</w:t>
        </w:r>
      </w:hyperlink>
    </w:p>
    <w:bookmarkEnd w:id="137"/>
    <w:bookmarkStart w:id="139"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38">
        <w:r>
          <w:rPr>
            <w:rStyle w:val="Hyperlink"/>
          </w:rPr>
          <w:t xml:space="preserve">https://doi.org/10.1016/j.jbtep.2023.101858</w:t>
        </w:r>
      </w:hyperlink>
    </w:p>
    <w:bookmarkEnd w:id="139"/>
    <w:bookmarkStart w:id="141"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40">
        <w:r>
          <w:rPr>
            <w:rStyle w:val="Hyperlink"/>
          </w:rPr>
          <w:t xml:space="preserve">https://doi.org/10.1016/j.actpsy.2007.11.002</w:t>
        </w:r>
      </w:hyperlink>
    </w:p>
    <w:bookmarkEnd w:id="141"/>
    <w:bookmarkStart w:id="143"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2">
        <w:r>
          <w:rPr>
            <w:rStyle w:val="Hyperlink"/>
          </w:rPr>
          <w:t xml:space="preserve">https://doi.org/10.1037/0096-3445.133.1.3</w:t>
        </w:r>
      </w:hyperlink>
    </w:p>
    <w:bookmarkEnd w:id="143"/>
    <w:bookmarkStart w:id="145"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4">
        <w:r>
          <w:rPr>
            <w:rStyle w:val="Hyperlink"/>
          </w:rPr>
          <w:t xml:space="preserve">https://doi.org/10.1371/journal.pone.0004153</w:t>
        </w:r>
      </w:hyperlink>
    </w:p>
    <w:bookmarkEnd w:id="145"/>
    <w:bookmarkStart w:id="147"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46">
        <w:r>
          <w:rPr>
            <w:rStyle w:val="Hyperlink"/>
          </w:rPr>
          <w:t xml:space="preserve">https://doi.org/10.1371/journal.pone.0013706</w:t>
        </w:r>
      </w:hyperlink>
    </w:p>
    <w:bookmarkEnd w:id="147"/>
    <w:bookmarkStart w:id="149"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48">
        <w:r>
          <w:rPr>
            <w:rStyle w:val="Hyperlink"/>
          </w:rPr>
          <w:t xml:space="preserve">https://doi.org/10.1016/j.brat.2017.03.018</w:t>
        </w:r>
      </w:hyperlink>
    </w:p>
    <w:bookmarkEnd w:id="149"/>
    <w:bookmarkStart w:id="151"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50">
        <w:r>
          <w:rPr>
            <w:rStyle w:val="Hyperlink"/>
          </w:rPr>
          <w:t xml:space="preserve">https://doi.org/10.1006/jmps.2001.1388</w:t>
        </w:r>
      </w:hyperlink>
    </w:p>
    <w:bookmarkEnd w:id="151"/>
    <w:bookmarkStart w:id="152"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2"/>
    <w:bookmarkStart w:id="154"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53">
        <w:r>
          <w:rPr>
            <w:rStyle w:val="Hyperlink"/>
          </w:rPr>
          <w:t xml:space="preserve">https://doi.org/10.1038/mp.2017.23</w:t>
        </w:r>
      </w:hyperlink>
    </w:p>
    <w:bookmarkEnd w:id="154"/>
    <w:bookmarkStart w:id="156"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55">
        <w:r>
          <w:rPr>
            <w:rStyle w:val="Hyperlink"/>
          </w:rPr>
          <w:t xml:space="preserve">https://doi.org/10.1038/s41398-023-02578-0</w:t>
        </w:r>
      </w:hyperlink>
    </w:p>
    <w:bookmarkEnd w:id="156"/>
    <w:bookmarkStart w:id="158"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57">
        <w:r>
          <w:rPr>
            <w:rStyle w:val="Hyperlink"/>
          </w:rPr>
          <w:t xml:space="preserve">https://doi.org/10.1016/j.cpr.2018.08.005</w:t>
        </w:r>
      </w:hyperlink>
    </w:p>
    <w:bookmarkEnd w:id="158"/>
    <w:bookmarkStart w:id="160"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59">
        <w:r>
          <w:rPr>
            <w:rStyle w:val="Hyperlink"/>
          </w:rPr>
          <w:t xml:space="preserve">https://doi.org/10.1177/0956797615583071</w:t>
        </w:r>
      </w:hyperlink>
    </w:p>
    <w:bookmarkEnd w:id="160"/>
    <w:bookmarkStart w:id="162"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61">
        <w:r>
          <w:rPr>
            <w:rStyle w:val="Hyperlink"/>
          </w:rPr>
          <w:t xml:space="preserve">https://doi.org/10.1016/j.cpr.2016.04.010</w:t>
        </w:r>
      </w:hyperlink>
    </w:p>
    <w:bookmarkEnd w:id="162"/>
    <w:bookmarkStart w:id="163"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63"/>
    <w:bookmarkStart w:id="165"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64">
        <w:r>
          <w:rPr>
            <w:rStyle w:val="Hyperlink"/>
          </w:rPr>
          <w:t xml:space="preserve">https://doi.org/10.1146/annurev-psych-010418-103358</w:t>
        </w:r>
      </w:hyperlink>
    </w:p>
    <w:bookmarkEnd w:id="165"/>
    <w:bookmarkStart w:id="167"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66">
        <w:r>
          <w:rPr>
            <w:rStyle w:val="Hyperlink"/>
          </w:rPr>
          <w:t xml:space="preserve">https://doi.org/10.1002/cpp.2489</w:t>
        </w:r>
      </w:hyperlink>
    </w:p>
    <w:bookmarkEnd w:id="167"/>
    <w:bookmarkStart w:id="169"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68">
        <w:r>
          <w:rPr>
            <w:rStyle w:val="Hyperlink"/>
          </w:rPr>
          <w:t xml:space="preserve">https://doi.org/10.1186/s12916-024-03569-8</w:t>
        </w:r>
      </w:hyperlink>
    </w:p>
    <w:bookmarkEnd w:id="169"/>
    <w:bookmarkStart w:id="171"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70">
        <w:r>
          <w:rPr>
            <w:rStyle w:val="Hyperlink"/>
          </w:rPr>
          <w:t xml:space="preserve">https://doi.org/10.1016/j.jbtep.2019.01.006</w:t>
        </w:r>
      </w:hyperlink>
    </w:p>
    <w:bookmarkEnd w:id="171"/>
    <w:bookmarkStart w:id="173"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72">
        <w:r>
          <w:rPr>
            <w:rStyle w:val="Hyperlink"/>
          </w:rPr>
          <w:t xml:space="preserve">https://doi.org/10.1038/nn.2271</w:t>
        </w:r>
      </w:hyperlink>
    </w:p>
    <w:bookmarkEnd w:id="173"/>
    <w:bookmarkStart w:id="175"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74">
        <w:r>
          <w:rPr>
            <w:rStyle w:val="Hyperlink"/>
          </w:rPr>
          <w:t xml:space="preserve">https://doi.org/10.1523/JNEUROSCI.3378-14.2015</w:t>
        </w:r>
      </w:hyperlink>
    </w:p>
    <w:bookmarkEnd w:id="175"/>
    <w:bookmarkStart w:id="177"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76">
        <w:r>
          <w:rPr>
            <w:rStyle w:val="Hyperlink"/>
          </w:rPr>
          <w:t xml:space="preserve">https://doi.org/10.1002/acp.1611</w:t>
        </w:r>
      </w:hyperlink>
    </w:p>
    <w:bookmarkEnd w:id="177"/>
    <w:bookmarkStart w:id="179"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78">
        <w:r>
          <w:rPr>
            <w:rStyle w:val="Hyperlink"/>
          </w:rPr>
          <w:t xml:space="preserve">https://doi.org/10.1037/xge0000598</w:t>
        </w:r>
      </w:hyperlink>
    </w:p>
    <w:bookmarkEnd w:id="179"/>
    <w:bookmarkStart w:id="181"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80">
        <w:r>
          <w:rPr>
            <w:rStyle w:val="Hyperlink"/>
          </w:rPr>
          <w:t xml:space="preserve">https://doi.org/10.1177/2167702621998315</w:t>
        </w:r>
      </w:hyperlink>
    </w:p>
    <w:bookmarkEnd w:id="181"/>
    <w:bookmarkStart w:id="183"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82">
        <w:r>
          <w:rPr>
            <w:rStyle w:val="Hyperlink"/>
          </w:rPr>
          <w:t xml:space="preserve">https://doi.org/10.1037/xge0001354</w:t>
        </w:r>
      </w:hyperlink>
    </w:p>
    <w:bookmarkEnd w:id="183"/>
    <w:bookmarkStart w:id="185"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84">
        <w:r>
          <w:rPr>
            <w:rStyle w:val="Hyperlink"/>
          </w:rPr>
          <w:t xml:space="preserve">https://doi.org/10.1037/a0039036</w:t>
        </w:r>
      </w:hyperlink>
    </w:p>
    <w:bookmarkEnd w:id="185"/>
    <w:bookmarkStart w:id="187"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186">
        <w:r>
          <w:rPr>
            <w:rStyle w:val="Hyperlink"/>
          </w:rPr>
          <w:t xml:space="preserve">https://osf.io/preprints/psyarxiv/m3pnz_v1/</w:t>
        </w:r>
      </w:hyperlink>
    </w:p>
    <w:bookmarkEnd w:id="187"/>
    <w:bookmarkStart w:id="189"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88">
        <w:r>
          <w:rPr>
            <w:rStyle w:val="Hyperlink"/>
          </w:rPr>
          <w:t xml:space="preserve">https://doi.org/10.1016/j.jml.2015.10.002</w:t>
        </w:r>
      </w:hyperlink>
    </w:p>
    <w:bookmarkEnd w:id="189"/>
    <w:bookmarkStart w:id="191"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90">
        <w:r>
          <w:rPr>
            <w:rStyle w:val="Hyperlink"/>
          </w:rPr>
          <w:t xml:space="preserve">https://doi.org/10.1037/a0014420</w:t>
        </w:r>
      </w:hyperlink>
    </w:p>
    <w:bookmarkEnd w:id="191"/>
    <w:bookmarkStart w:id="193"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92">
        <w:r>
          <w:rPr>
            <w:rStyle w:val="Hyperlink"/>
          </w:rPr>
          <w:t xml:space="preserve">https://doi.org/10.1016/j.neuropsychologia.2009.02.013</w:t>
        </w:r>
      </w:hyperlink>
    </w:p>
    <w:bookmarkEnd w:id="193"/>
    <w:bookmarkStart w:id="195"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194">
        <w:r>
          <w:rPr>
            <w:rStyle w:val="Hyperlink"/>
          </w:rPr>
          <w:t xml:space="preserve">https://doi.org/10.1038/s41380-023-02062-7</w:t>
        </w:r>
      </w:hyperlink>
    </w:p>
    <w:bookmarkEnd w:id="195"/>
    <w:bookmarkStart w:id="197"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196">
        <w:r>
          <w:rPr>
            <w:rStyle w:val="Hyperlink"/>
          </w:rPr>
          <w:t xml:space="preserve">https://doi.org/10.1111/j.1467-9280.2005.01634.x</w:t>
        </w:r>
      </w:hyperlink>
    </w:p>
    <w:bookmarkEnd w:id="197"/>
    <w:bookmarkStart w:id="199"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98">
        <w:r>
          <w:rPr>
            <w:rStyle w:val="Hyperlink"/>
          </w:rPr>
          <w:t xml:space="preserve">https://doi.org/10.3758/s13423-011-0086-9</w:t>
        </w:r>
      </w:hyperlink>
    </w:p>
    <w:bookmarkEnd w:id="199"/>
    <w:bookmarkStart w:id="201"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00">
        <w:r>
          <w:rPr>
            <w:rStyle w:val="Hyperlink"/>
          </w:rPr>
          <w:t xml:space="preserve">https://doi.org/10.1037/a0013396</w:t>
        </w:r>
      </w:hyperlink>
    </w:p>
    <w:bookmarkEnd w:id="201"/>
    <w:bookmarkStart w:id="203"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02">
        <w:r>
          <w:rPr>
            <w:rStyle w:val="Hyperlink"/>
          </w:rPr>
          <w:t xml:space="preserve">https://doi.org/10.1037/rev0000132</w:t>
        </w:r>
      </w:hyperlink>
    </w:p>
    <w:bookmarkEnd w:id="203"/>
    <w:bookmarkStart w:id="205"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04">
        <w:r>
          <w:rPr>
            <w:rStyle w:val="Hyperlink"/>
          </w:rPr>
          <w:t xml:space="preserve">https://doi.org/10.1038/s41562-024-01956-y</w:t>
        </w:r>
      </w:hyperlink>
    </w:p>
    <w:bookmarkEnd w:id="205"/>
    <w:bookmarkStart w:id="207"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06">
        <w:r>
          <w:rPr>
            <w:rStyle w:val="Hyperlink"/>
          </w:rPr>
          <w:t xml:space="preserve">https://doi.org/10.1525/collabra.130791</w:t>
        </w:r>
      </w:hyperlink>
    </w:p>
    <w:bookmarkEnd w:id="207"/>
    <w:bookmarkStart w:id="209"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08">
        <w:r>
          <w:rPr>
            <w:rStyle w:val="Hyperlink"/>
          </w:rPr>
          <w:t xml:space="preserve">https://doi.org/10.1037/0278-7393.32.4.792</w:t>
        </w:r>
      </w:hyperlink>
    </w:p>
    <w:bookmarkEnd w:id="209"/>
    <w:bookmarkStart w:id="211"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10">
        <w:r>
          <w:rPr>
            <w:rStyle w:val="Hyperlink"/>
          </w:rPr>
          <w:t xml:space="preserve">https://doi.org/10.1037/rev0000505</w:t>
        </w:r>
      </w:hyperlink>
    </w:p>
    <w:bookmarkEnd w:id="211"/>
    <w:bookmarkEnd w:id="212"/>
    <w:bookmarkEnd w:id="21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hyperlink" Id="rId176" Target="https://doi.org/10.1002/acp.1611" TargetMode="External" /><Relationship Type="http://schemas.openxmlformats.org/officeDocument/2006/relationships/hyperlink" Id="rId166" Target="https://doi.org/10.1002/cpp.2489" TargetMode="External" /><Relationship Type="http://schemas.openxmlformats.org/officeDocument/2006/relationships/hyperlink" Id="rId127" Target="https://doi.org/10.1006/jmps.1999.1282" TargetMode="External" /><Relationship Type="http://schemas.openxmlformats.org/officeDocument/2006/relationships/hyperlink" Id="rId150" Target="https://doi.org/10.1006/jmps.2001.1388" TargetMode="External" /><Relationship Type="http://schemas.openxmlformats.org/officeDocument/2006/relationships/hyperlink" Id="rId134" Target="https://doi.org/10.1016/S0005-7967(99)00123-0" TargetMode="External" /><Relationship Type="http://schemas.openxmlformats.org/officeDocument/2006/relationships/hyperlink" Id="rId140" Target="https://doi.org/10.1016/j.actpsy.2007.11.002" TargetMode="External" /><Relationship Type="http://schemas.openxmlformats.org/officeDocument/2006/relationships/hyperlink" Id="rId148" Target="https://doi.org/10.1016/j.brat.2017.03.018" TargetMode="External" /><Relationship Type="http://schemas.openxmlformats.org/officeDocument/2006/relationships/hyperlink" Id="rId161" Target="https://doi.org/10.1016/j.cpr.2016.04.010" TargetMode="External" /><Relationship Type="http://schemas.openxmlformats.org/officeDocument/2006/relationships/hyperlink" Id="rId157" Target="https://doi.org/10.1016/j.cpr.2018.08.005" TargetMode="External" /><Relationship Type="http://schemas.openxmlformats.org/officeDocument/2006/relationships/hyperlink" Id="rId131" Target="https://doi.org/10.1016/j.jbtep.2011.10.008" TargetMode="External" /><Relationship Type="http://schemas.openxmlformats.org/officeDocument/2006/relationships/hyperlink" Id="rId170" Target="https://doi.org/10.1016/j.jbtep.2019.01.006" TargetMode="External" /><Relationship Type="http://schemas.openxmlformats.org/officeDocument/2006/relationships/hyperlink" Id="rId138"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8"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92"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2" Target="https://doi.org/10.1037/0096-3445.133.1.3" TargetMode="External" /><Relationship Type="http://schemas.openxmlformats.org/officeDocument/2006/relationships/hyperlink" Id="rId208" Target="https://doi.org/10.1037/0278-7393.32.4.792" TargetMode="External" /><Relationship Type="http://schemas.openxmlformats.org/officeDocument/2006/relationships/hyperlink" Id="rId200" Target="https://doi.org/10.1037/a0013396" TargetMode="External" /><Relationship Type="http://schemas.openxmlformats.org/officeDocument/2006/relationships/hyperlink" Id="rId190"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4" Target="https://doi.org/10.1037/a0039036" TargetMode="External" /><Relationship Type="http://schemas.openxmlformats.org/officeDocument/2006/relationships/hyperlink" Id="rId136" Target="https://doi.org/10.1037/rev0000015" TargetMode="External" /><Relationship Type="http://schemas.openxmlformats.org/officeDocument/2006/relationships/hyperlink" Id="rId202" Target="https://doi.org/10.1037/rev0000132" TargetMode="External" /><Relationship Type="http://schemas.openxmlformats.org/officeDocument/2006/relationships/hyperlink" Id="rId129" Target="https://doi.org/10.1037/rev0000334" TargetMode="External" /><Relationship Type="http://schemas.openxmlformats.org/officeDocument/2006/relationships/hyperlink" Id="rId210" Target="https://doi.org/10.1037/rev0000505" TargetMode="External" /><Relationship Type="http://schemas.openxmlformats.org/officeDocument/2006/relationships/hyperlink" Id="rId178" Target="https://doi.org/10.1037/xge0000598" TargetMode="External" /><Relationship Type="http://schemas.openxmlformats.org/officeDocument/2006/relationships/hyperlink" Id="rId182" Target="https://doi.org/10.1037/xge0001354" TargetMode="External" /><Relationship Type="http://schemas.openxmlformats.org/officeDocument/2006/relationships/hyperlink" Id="rId153" Target="https://doi.org/10.1038/mp.2017.23" TargetMode="External" /><Relationship Type="http://schemas.openxmlformats.org/officeDocument/2006/relationships/hyperlink" Id="rId172" Target="https://doi.org/10.1038/nn.2271" TargetMode="External" /><Relationship Type="http://schemas.openxmlformats.org/officeDocument/2006/relationships/hyperlink" Id="rId194" Target="https://doi.org/10.1038/s41380-023-02062-7" TargetMode="External" /><Relationship Type="http://schemas.openxmlformats.org/officeDocument/2006/relationships/hyperlink" Id="rId155" Target="https://doi.org/10.1038/s41398-023-02578-0" TargetMode="External" /><Relationship Type="http://schemas.openxmlformats.org/officeDocument/2006/relationships/hyperlink" Id="rId204" Target="https://doi.org/10.1038/s41562-024-01956-y" TargetMode="External" /><Relationship Type="http://schemas.openxmlformats.org/officeDocument/2006/relationships/hyperlink" Id="rId196" Target="https://doi.org/10.1111/j.1467-9280.2005.01634.x" TargetMode="External" /><Relationship Type="http://schemas.openxmlformats.org/officeDocument/2006/relationships/hyperlink" Id="rId164" Target="https://doi.org/10.1146/annurev-psych-010418-103358" TargetMode="External" /><Relationship Type="http://schemas.openxmlformats.org/officeDocument/2006/relationships/hyperlink" Id="rId159" Target="https://doi.org/10.1177/0956797615583071" TargetMode="External" /><Relationship Type="http://schemas.openxmlformats.org/officeDocument/2006/relationships/hyperlink" Id="rId180" Target="https://doi.org/10.1177/2167702621998315" TargetMode="External" /><Relationship Type="http://schemas.openxmlformats.org/officeDocument/2006/relationships/hyperlink" Id="rId168" Target="https://doi.org/10.1186/s12916-024-03569-8" TargetMode="External" /><Relationship Type="http://schemas.openxmlformats.org/officeDocument/2006/relationships/hyperlink" Id="rId144" Target="https://doi.org/10.1371/journal.pone.0004153" TargetMode="External" /><Relationship Type="http://schemas.openxmlformats.org/officeDocument/2006/relationships/hyperlink" Id="rId146" Target="https://doi.org/10.1371/journal.pone.0013706" TargetMode="External" /><Relationship Type="http://schemas.openxmlformats.org/officeDocument/2006/relationships/hyperlink" Id="rId174" Target="https://doi.org/10.1523/JNEUROSCI.3378-14.2015" TargetMode="External" /><Relationship Type="http://schemas.openxmlformats.org/officeDocument/2006/relationships/hyperlink" Id="rId206" Target="https://doi.org/10.1525/collabra.130791" TargetMode="External" /><Relationship Type="http://schemas.openxmlformats.org/officeDocument/2006/relationships/hyperlink" Id="rId198" Target="https://doi.org/10.3758/s13423-011-0086-9" TargetMode="External" /><Relationship Type="http://schemas.openxmlformats.org/officeDocument/2006/relationships/hyperlink" Id="rId186"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76" Target="https://doi.org/10.1002/acp.1611" TargetMode="External" /><Relationship Type="http://schemas.openxmlformats.org/officeDocument/2006/relationships/hyperlink" Id="rId166" Target="https://doi.org/10.1002/cpp.2489" TargetMode="External" /><Relationship Type="http://schemas.openxmlformats.org/officeDocument/2006/relationships/hyperlink" Id="rId127" Target="https://doi.org/10.1006/jmps.1999.1282" TargetMode="External" /><Relationship Type="http://schemas.openxmlformats.org/officeDocument/2006/relationships/hyperlink" Id="rId150" Target="https://doi.org/10.1006/jmps.2001.1388" TargetMode="External" /><Relationship Type="http://schemas.openxmlformats.org/officeDocument/2006/relationships/hyperlink" Id="rId134" Target="https://doi.org/10.1016/S0005-7967(99)00123-0" TargetMode="External" /><Relationship Type="http://schemas.openxmlformats.org/officeDocument/2006/relationships/hyperlink" Id="rId140" Target="https://doi.org/10.1016/j.actpsy.2007.11.002" TargetMode="External" /><Relationship Type="http://schemas.openxmlformats.org/officeDocument/2006/relationships/hyperlink" Id="rId148" Target="https://doi.org/10.1016/j.brat.2017.03.018" TargetMode="External" /><Relationship Type="http://schemas.openxmlformats.org/officeDocument/2006/relationships/hyperlink" Id="rId161" Target="https://doi.org/10.1016/j.cpr.2016.04.010" TargetMode="External" /><Relationship Type="http://schemas.openxmlformats.org/officeDocument/2006/relationships/hyperlink" Id="rId157" Target="https://doi.org/10.1016/j.cpr.2018.08.005" TargetMode="External" /><Relationship Type="http://schemas.openxmlformats.org/officeDocument/2006/relationships/hyperlink" Id="rId131" Target="https://doi.org/10.1016/j.jbtep.2011.10.008" TargetMode="External" /><Relationship Type="http://schemas.openxmlformats.org/officeDocument/2006/relationships/hyperlink" Id="rId170" Target="https://doi.org/10.1016/j.jbtep.2019.01.006" TargetMode="External" /><Relationship Type="http://schemas.openxmlformats.org/officeDocument/2006/relationships/hyperlink" Id="rId138"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8"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92"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2" Target="https://doi.org/10.1037/0096-3445.133.1.3" TargetMode="External" /><Relationship Type="http://schemas.openxmlformats.org/officeDocument/2006/relationships/hyperlink" Id="rId208" Target="https://doi.org/10.1037/0278-7393.32.4.792" TargetMode="External" /><Relationship Type="http://schemas.openxmlformats.org/officeDocument/2006/relationships/hyperlink" Id="rId200" Target="https://doi.org/10.1037/a0013396" TargetMode="External" /><Relationship Type="http://schemas.openxmlformats.org/officeDocument/2006/relationships/hyperlink" Id="rId190"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4" Target="https://doi.org/10.1037/a0039036" TargetMode="External" /><Relationship Type="http://schemas.openxmlformats.org/officeDocument/2006/relationships/hyperlink" Id="rId136" Target="https://doi.org/10.1037/rev0000015" TargetMode="External" /><Relationship Type="http://schemas.openxmlformats.org/officeDocument/2006/relationships/hyperlink" Id="rId202" Target="https://doi.org/10.1037/rev0000132" TargetMode="External" /><Relationship Type="http://schemas.openxmlformats.org/officeDocument/2006/relationships/hyperlink" Id="rId129" Target="https://doi.org/10.1037/rev0000334" TargetMode="External" /><Relationship Type="http://schemas.openxmlformats.org/officeDocument/2006/relationships/hyperlink" Id="rId210" Target="https://doi.org/10.1037/rev0000505" TargetMode="External" /><Relationship Type="http://schemas.openxmlformats.org/officeDocument/2006/relationships/hyperlink" Id="rId178" Target="https://doi.org/10.1037/xge0000598" TargetMode="External" /><Relationship Type="http://schemas.openxmlformats.org/officeDocument/2006/relationships/hyperlink" Id="rId182" Target="https://doi.org/10.1037/xge0001354" TargetMode="External" /><Relationship Type="http://schemas.openxmlformats.org/officeDocument/2006/relationships/hyperlink" Id="rId153" Target="https://doi.org/10.1038/mp.2017.23" TargetMode="External" /><Relationship Type="http://schemas.openxmlformats.org/officeDocument/2006/relationships/hyperlink" Id="rId172" Target="https://doi.org/10.1038/nn.2271" TargetMode="External" /><Relationship Type="http://schemas.openxmlformats.org/officeDocument/2006/relationships/hyperlink" Id="rId194" Target="https://doi.org/10.1038/s41380-023-02062-7" TargetMode="External" /><Relationship Type="http://schemas.openxmlformats.org/officeDocument/2006/relationships/hyperlink" Id="rId155" Target="https://doi.org/10.1038/s41398-023-02578-0" TargetMode="External" /><Relationship Type="http://schemas.openxmlformats.org/officeDocument/2006/relationships/hyperlink" Id="rId204" Target="https://doi.org/10.1038/s41562-024-01956-y" TargetMode="External" /><Relationship Type="http://schemas.openxmlformats.org/officeDocument/2006/relationships/hyperlink" Id="rId196" Target="https://doi.org/10.1111/j.1467-9280.2005.01634.x" TargetMode="External" /><Relationship Type="http://schemas.openxmlformats.org/officeDocument/2006/relationships/hyperlink" Id="rId164" Target="https://doi.org/10.1146/annurev-psych-010418-103358" TargetMode="External" /><Relationship Type="http://schemas.openxmlformats.org/officeDocument/2006/relationships/hyperlink" Id="rId159" Target="https://doi.org/10.1177/0956797615583071" TargetMode="External" /><Relationship Type="http://schemas.openxmlformats.org/officeDocument/2006/relationships/hyperlink" Id="rId180" Target="https://doi.org/10.1177/2167702621998315" TargetMode="External" /><Relationship Type="http://schemas.openxmlformats.org/officeDocument/2006/relationships/hyperlink" Id="rId168" Target="https://doi.org/10.1186/s12916-024-03569-8" TargetMode="External" /><Relationship Type="http://schemas.openxmlformats.org/officeDocument/2006/relationships/hyperlink" Id="rId144" Target="https://doi.org/10.1371/journal.pone.0004153" TargetMode="External" /><Relationship Type="http://schemas.openxmlformats.org/officeDocument/2006/relationships/hyperlink" Id="rId146" Target="https://doi.org/10.1371/journal.pone.0013706" TargetMode="External" /><Relationship Type="http://schemas.openxmlformats.org/officeDocument/2006/relationships/hyperlink" Id="rId174" Target="https://doi.org/10.1523/JNEUROSCI.3378-14.2015" TargetMode="External" /><Relationship Type="http://schemas.openxmlformats.org/officeDocument/2006/relationships/hyperlink" Id="rId206" Target="https://doi.org/10.1525/collabra.130791" TargetMode="External" /><Relationship Type="http://schemas.openxmlformats.org/officeDocument/2006/relationships/hyperlink" Id="rId198" Target="https://doi.org/10.3758/s13423-011-0086-9" TargetMode="External" /><Relationship Type="http://schemas.openxmlformats.org/officeDocument/2006/relationships/hyperlink" Id="rId186"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2026-06-30T15:59:19Z</dcterms:created>
  <dcterms:modified xsi:type="dcterms:W3CDTF">2026-06-30T15:59:19Z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