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8.png" ContentType="image/png"/>
  <Override PartName="/word/media/rId67.png" ContentType="image/png"/>
  <Override PartName="/word/media/rId63.png" ContentType="image/png"/>
  <Override PartName="/word/media/rId72.png" ContentType="image/png"/>
  <Override PartName="/word/media/rId7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Intrusive and Voluntary Memory from a Single System: A Retrieved-Context Account of Selective Interference</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Intrusive and Voluntary Memory from a Single System: A Retrieved-Context Account of Selective Interference</w:t>
      </w:r>
    </w:p>
    <w:bookmarkEnd w:id="22"/>
    <w:bookmarkStart w:id="23" w:name="abstract"/>
    <w:p>
      <w:pPr>
        <w:pStyle w:val="Heading1"/>
      </w:pPr>
      <w:r>
        <w:t xml:space="preserve">Abstract</w:t>
      </w:r>
    </w:p>
    <w:p>
      <w:pPr>
        <w:pStyle w:val="FirstParagraph"/>
      </w:pPr>
      <w:r>
        <w:t xml:space="preserve">In the trauma-film paradigm, visuospatial tasks performed after film encoding or a later film reminder can reduce intrusive memories while leaving voluntary memory relatively intact.</w:t>
      </w:r>
      <w:r>
        <w:t xml:space="preserve"> </w:t>
      </w:r>
      <w:r>
        <w:t xml:space="preserve">This selective interference effect is often treated as evidence that intrusive and voluntary remembering depend on differently vulnerable memory representations.</w:t>
      </w:r>
      <w:r>
        <w:t xml:space="preserve"> </w:t>
      </w:r>
      <w:r>
        <w:t xml:space="preserve">Here we simulate an alternative retrieved-context account in an emotional Context Maintenance and Retrieval (eCMR) model, in which unguided retrieval and deliberate recall draw on the same film and task associations but differ in how strongly retrieval is constrained toward film items.</w:t>
      </w:r>
      <w:r>
        <w:t xml:space="preserve"> </w:t>
      </w:r>
      <w:r>
        <w:t xml:space="preserve">In the model, film context remains active after encoding and can later be reinstated by reminders, so an interfering task performed in either state associates task items with context states similar to film context.</w:t>
      </w:r>
      <w:r>
        <w:t xml:space="preserve"> </w:t>
      </w:r>
      <w:r>
        <w:t xml:space="preserve">At retrieval, overlapping context can cue both film items and task competitors, reducing the probability that film items win retrieval even though stored film-item associations remain unchanged.</w:t>
      </w:r>
      <w:r>
        <w:t xml:space="preserve"> </w:t>
      </w:r>
      <w:r>
        <w:t xml:space="preserve">Deliberate recall is less vulnerable when task goals provide a film-directed start cue and selection emphasizes film items over competitors; externally supplied film-related cues can also steer access toward film context across test formats.</w:t>
      </w:r>
      <w:r>
        <w:t xml:space="preserve"> </w:t>
      </w:r>
      <w:r>
        <w:t xml:space="preserve">Together, the simulations reproduce selective impairment of unguided retrieval relative to deliberate recall and specify when the intrusion-voluntary-memory dissociation should be more or less pronounced, helping to interpret heterogeneity across empirical paradigms.</w:t>
      </w:r>
      <w:r>
        <w:t xml:space="preserve"> </w:t>
      </w:r>
      <w:r>
        <w:t xml:space="preserve">Our results show that selective interference can arise from retrieval dynamics in a single retrieved-context system.</w:t>
      </w:r>
    </w:p>
    <w:bookmarkEnd w:id="23"/>
    <w:bookmarkStart w:id="24"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Highly consequential events should be retained well enough in memory that critical details remain accessible long into the future.</w:t>
      </w:r>
      <w:r>
        <w:t xml:space="preserve"> </w:t>
      </w:r>
      <w:r>
        <w:t xml:space="preserve">At the same time, adaptive retrieval is selective: what comes to mind should normally depend on current cues, goals, and safety.</w:t>
      </w:r>
      <w:r>
        <w:t xml:space="preserve"> </w:t>
      </w:r>
      <w:r>
        <w:t xml:space="preserve">Intrusive memories after trauma suggest that durable encoding can outpace regulatory control.</w:t>
      </w:r>
      <w:r>
        <w:t xml:space="preserve"> </w:t>
      </w:r>
      <w:r>
        <w:t xml:space="preserve">The event returns without being deliberately sought and without being well matched to the demands of the present</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Understanding why such memories arise, and how they differ from voluntary memory for the same event, is therefore a shared target for both clinical science and basic memory theory.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return involuntarily.</w:t>
      </w:r>
      <w:r>
        <w:t xml:space="preserve"> </w:t>
      </w:r>
      <w:r>
        <w:t xml:space="preserve">In such research, voluntary memory can be relatively preserved, and its relationship to intrusion frequency can be weak,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r>
        <w:t xml:space="preserve"> </w:t>
      </w:r>
      <w:r>
        <w:t xml:space="preserve">(</w:t>
      </w:r>
      <w:hyperlink w:anchor="ref-holmes2004trauma">
        <w:r>
          <w:rPr>
            <w:rStyle w:val="Hyperlink"/>
          </w:rPr>
          <w:t xml:space="preserve">Holmes et al., 2004</w:t>
        </w:r>
      </w:hyperlink>
      <w:r>
        <w:t xml:space="preserve">;</w:t>
      </w:r>
      <w:r>
        <w:t xml:space="preserve"> </w:t>
      </w:r>
      <w:hyperlink w:anchor="ref-iyadurai2019intrusive">
        <w:r>
          <w:rPr>
            <w:rStyle w:val="Hyperlink"/>
          </w:rPr>
          <w:t xml:space="preserve">Iyadurai et al., 2019</w:t>
        </w:r>
      </w:hyperlink>
      <w:r>
        <w:t xml:space="preserve">)</w:t>
      </w:r>
      <w:r>
        <w:t xml:space="preserve">.</w:t>
      </w:r>
    </w:p>
    <w:p>
      <w:pPr>
        <w:pStyle w:val="BodyText"/>
      </w:pPr>
      <w:r>
        <w:t xml:space="preserve">Visuospatial interference tasks make this dissociation experimentally sharper.</w:t>
      </w:r>
      <w:r>
        <w:t xml:space="preserve"> </w:t>
      </w:r>
      <w:r>
        <w:t xml:space="preserve">When brief tasks such as Tetris are performed after film encoding, subsequent intrusions can be reduced while voluntary memory for the same material shows little measurable impairment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Related post-reminder studies show that a reminder-plus-Tetris procedure can reduce later intrusions after a longer delay</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Similar procedures have also been extended to real-life traumatic events, including motor vehicle accidents, emergency caesarean section, and war-related trauma</w:t>
      </w:r>
      <w:r>
        <w:t xml:space="preserve"> </w:t>
      </w:r>
      <w:r>
        <w:t xml:space="preserve">(</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kanstrup2021single">
        <w:r>
          <w:rPr>
            <w:rStyle w:val="Hyperlink"/>
          </w:rPr>
          <w:t xml:space="preserve">Kanstrup et al., 2021</w:t>
        </w:r>
      </w:hyperlink>
      <w:r>
        <w:t xml:space="preserve">)</w:t>
      </w:r>
      <w:r>
        <w:t xml:space="preserve">.</w:t>
      </w:r>
      <w:r>
        <w:t xml:space="preserve"> </w:t>
      </w:r>
      <w:r>
        <w:t xml:space="preserve">At the same time, the evidence base is heterogeneous, and recent reviews and replications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 post-encoding or post-reminder manipulation alter one mode of retrieval more than another, even while both draw on the same recent experience?</w:t>
      </w:r>
    </w:p>
    <w:p>
      <w:pPr>
        <w:pStyle w:val="BodyText"/>
      </w:pPr>
      <w:r>
        <w:t xml:space="preserve">One prominent family of interpretations treats the selective interference effect as evidence that the memory underlying intrusions is more vulnerable to interference than the memory supporting deliberate recall</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make this claim architecturally: traumatic experience is proposed to produce distinct sensory and contextual memory traces, with the first supporting involuntary re-experiencing and the second supporting deliberate recall</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a visuospatial task is then understood to compete with consolidation of the sensory or intrusion-supporting trace, reducing later intrusions while leaving the contextual trace and voluntary memory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For post-reminder interventions, related interpretations often appeal to reconsolidation or post-reactivation restabilization: the reminder reactivates the relevant trace, and the interfering task disrupts its later availability</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selective interference is explained by treating the manipulation as acting more strongly on intrusion-supporting or reactivated memory than on the basis for deliberate recall.</w:t>
      </w:r>
    </w:p>
    <w:p>
      <w:pPr>
        <w:pStyle w:val="BodyText"/>
      </w:pPr>
      <w:r>
        <w:t xml:space="preserve">Here we argue that selective interference need not be interpreted as evidence for differently vulnerable memory representations.</w:t>
      </w:r>
      <w:r>
        <w:t xml:space="preserve"> </w:t>
      </w:r>
      <w:r>
        <w:t xml:space="preserve">It may instead reflect differences in retrieval processes operating over a shared set of episodic representations.</w:t>
      </w:r>
      <w:r>
        <w:t xml:space="preserve"> </w:t>
      </w:r>
      <w:r>
        <w:t xml:space="preserve">Mechanisms supporting selective, goal-directed retrieval in voluntary recall may be sufficient to sidestep or overcome interference that nonetheless reduces the likelihood of unintentional recall.</w:t>
      </w:r>
      <w:r>
        <w:t xml:space="preserve"> </w:t>
      </w:r>
      <w:r>
        <w:t xml:space="preserve">On this interpretation, the selective interference effect reflects a capacity to intentionally focus retrieval on goal-relevant event information while reducing the influence of competing memories.</w:t>
      </w:r>
    </w:p>
    <w:p>
      <w:pPr>
        <w:pStyle w:val="BodyText"/>
      </w:pPr>
      <w:r>
        <w:t xml:space="preserve">We formalize this proposal in an emotional variant of the Context Maintenance and Retrieval (CMR) framework</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 context cues candidate items, and retrieved or supplied items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Controlled retrieval can be represented in CMR by allowing recall to begin from a cued or reinstated context, by varying how sharply context-to-item support is converted into item selection, and by monitoring sampled candidates against a retrieval target</w:t>
      </w:r>
      <w:r>
        <w:t xml:space="preserve"> </w:t>
      </w:r>
      <w:r>
        <w:t xml:space="preserve">(</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Emotional CMR variants preserve these retrieved-context operations while adding an emotional-context pathway and emotion-dependent binding</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Together, these properties make CMR a principled setting for a single-system retrieved-context account of selective interference.</w:t>
      </w:r>
    </w:p>
    <w:p>
      <w:pPr>
        <w:pStyle w:val="BodyText"/>
      </w:pPr>
      <w:r>
        <w:t xml:space="preserve">To map this framework onto the trauma-film paradigm, the model presents film, task, and delay-period items in sequence while context evolves.</w:t>
      </w:r>
      <w:r>
        <w:t xml:space="preserve"> </w:t>
      </w:r>
      <w:r>
        <w:t xml:space="preserve">Film reminders can reinstate film-associated context before task encoding, so task items are encoded while context remains similar to states associated with film items.</w:t>
      </w:r>
      <w:r>
        <w:t xml:space="preserve"> </w:t>
      </w:r>
      <w:r>
        <w:t xml:space="preserve">At retrieval, the current context state cues memory search, so film and task items can both receive support when they have been associated with similar context states.</w:t>
      </w:r>
      <w:r>
        <w:t xml:space="preserve"> </w:t>
      </w:r>
      <w:r>
        <w:t xml:space="preserve">Unguided and deliberate retrieval can draw on the same learned associations while differing in the context cues and monitoring applied during search.</w:t>
      </w:r>
      <w:r>
        <w:t xml:space="preserve"> </w:t>
      </w:r>
      <w:r>
        <w:t xml:space="preserve">Whereas unguided retrieval remains broadly cue-driven by the current context, control processes during deliberate recall can keep search oriented toward film targets.</w:t>
      </w:r>
      <w:r>
        <w:t xml:space="preserve"> </w:t>
      </w:r>
      <w:r>
        <w:t xml:space="preserve">The selective interference effect therefore reflects differential control over a shared associative memory, rather than selective vulnerability of separate memory representations.</w:t>
      </w:r>
    </w:p>
    <w:p>
      <w:pPr>
        <w:pStyle w:val="BodyText"/>
      </w:pPr>
      <w:r>
        <w:t xml:space="preserve">The simulations decompose the account at the level where CMR makes concrete commitments: how recall is distributed across film, task, and delay-period items, and how that distribution changes when cues act on different parts of the item-context loop.</w:t>
      </w:r>
      <w:r>
        <w:t xml:space="preserve"> </w:t>
      </w:r>
      <w:r>
        <w:t xml:space="preserve">Simulations 1 and 2 establish the core mechanism: reminder-driven task encoding creates position-structured overlap with the film context trajectory, and deliberate recall is protected when start-state control selects a diagnostic early-film context before retrieval.</w:t>
      </w:r>
      <w:r>
        <w:t xml:space="preserve"> </w:t>
      </w:r>
      <w:r>
        <w:t xml:space="preserve">Simulations 3 and 4 then examine test-phase consequences of bidirectional item-context associations, testing whether supplied film information helps sidestep context-binding interference instantiated by task items.</w:t>
      </w:r>
      <w:r>
        <w:t xml:space="preserve"> </w:t>
      </w:r>
      <w:r>
        <w:t xml:space="preserve">Simulation 5 examines possible accounts compatible with retrieved-context theory of how visuospatial interference tasks differ from comparison tasks in their effects on later memory, distinguishing encoding strength, context-drift, and source-context overlap accounts.</w:t>
      </w:r>
      <w:r>
        <w:t xml:space="preserve"> </w:t>
      </w:r>
      <w:r>
        <w:t xml:space="preserve">The result is a mechanistic alternative to separately vulnerable memory representations and a set of specific hypotheses about when selective interference should appear and how it should vary across paradigms.</w:t>
      </w:r>
    </w:p>
    <w:bookmarkEnd w:id="24"/>
    <w:bookmarkStart w:id="29"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Context-to-item retrieval uses current context to cue candidate items.</w:t>
      </w:r>
      <w:r>
        <w:t xml:space="preserve"> </w:t>
      </w:r>
      <w:r>
        <w:t xml:space="preserve">Competition follows when film items and task competitors are associated with similar context states.</w:t>
      </w:r>
      <w:r>
        <w:t xml:space="preserve"> </w:t>
      </w:r>
      <w:r>
        <w:t xml:space="preserve">Item-to-context retrieval allows recalled items, reminder cues, and supplied film items to reinstate associated context.</w:t>
      </w:r>
      <w:r>
        <w:t xml:space="preserve"> </w:t>
      </w:r>
      <w:r>
        <w:t xml:space="preserve">Film-directed retrieval control changes the starting cue and selection rule used to favor film items over task competitors.</w:t>
      </w:r>
      <w:r>
        <w:t xml:space="preserve"> </w:t>
      </w:r>
      <w:hyperlink w:anchor="fig-retrieved-context-account">
        <w:r>
          <w:rPr>
            <w:rStyle w:val="Hyperlink"/>
          </w:rPr>
          <w:t xml:space="preserve">Figure 1</w:t>
        </w:r>
      </w:hyperlink>
      <w:r>
        <w:t xml:space="preserve"> </w:t>
      </w:r>
      <w:r>
        <w:t xml:space="preserve">shows how these mechanisms map onto the trauma-film paradigm.</w:t>
      </w:r>
    </w:p>
    <w:p>
      <w:r>
        <w:br w:type="page"/>
      </w:r>
    </w:p>
    <w:bookmarkStart w:id="28" w:name="fig-retrieved-context-account"/>
    <w:p>
      <w:pPr>
        <w:pStyle w:val="FigureTitle"/>
      </w:pPr>
      <w:r>
        <w:t xml:space="preserve">Figure 1</w:t>
      </w:r>
    </w:p>
    <w:p>
      <w:pPr>
        <w:pStyle w:val="Caption"/>
      </w:pPr>
      <w:r>
        <w:rPr>
          <w:b/>
          <w:bCs/>
        </w:rPr>
        <w:t xml:space="preserve">A retrieved-context account of selective interference.</w:t>
      </w:r>
      <w:r>
        <w:t xml:space="preserve"> </w:t>
      </w:r>
      <w:r>
        <w:t xml:space="preserve">Task items interfere when they are bound to film-associated context strongly enough to be cued with film items, and deliberate recall gains protection when film-directed control favors film items within the same association set.</w:t>
      </w:r>
      <w:r>
        <w:t xml:space="preserve"> </w:t>
      </w:r>
      <w:r>
        <w:rPr>
          <w:b/>
          <w:bCs/>
        </w:rPr>
        <w:t xml:space="preserve">(A)</w:t>
      </w:r>
      <w:r>
        <w:t xml:space="preserve"> </w:t>
      </w:r>
      <w:r>
        <w:t xml:space="preserve">The simulated paradigm includes film encoding, a structured break, a film reminder, interference or comparison task, a delay period, and retrieval tests.</w:t>
      </w:r>
      <w:r>
        <w:t xml:space="preserve"> </w:t>
      </w:r>
      <w:r>
        <w:rPr>
          <w:b/>
          <w:bCs/>
        </w:rPr>
        <w:t xml:space="preserve">(B)</w:t>
      </w:r>
      <w:r>
        <w:t xml:space="preserve"> </w:t>
      </w:r>
      <w:r>
        <w:t xml:space="preserve">Film and task items remain distinct while becoming associated with context states active at encoding; contextual overlap makes task items likely to be cued alongside film items, and task encoding strength determines how strongly they compete once cued.</w:t>
      </w:r>
      <w:r>
        <w:t xml:space="preserve"> </w:t>
      </w:r>
      <w:r>
        <w:rPr>
          <w:b/>
          <w:bCs/>
        </w:rPr>
        <w:t xml:space="preserve">(C)</w:t>
      </w:r>
      <w:r>
        <w:t xml:space="preserve"> </w:t>
      </w:r>
      <w:r>
        <w:t xml:space="preserve">Context-to-item associations cue candidate items, and item-to-context associations let recalled, reminded, or supplied items reinstate associated context.</w:t>
      </w:r>
      <w:r>
        <w:t xml:space="preserve"> </w:t>
      </w:r>
      <w:r>
        <w:rPr>
          <w:b/>
          <w:bCs/>
        </w:rPr>
        <w:t xml:space="preserve">(D)</w:t>
      </w:r>
      <w:r>
        <w:t xml:space="preserve"> </w:t>
      </w:r>
      <w:r>
        <w:t xml:space="preserve">The same stored associations support unguided retrieval and deliberate recall, with deliberate recall gaining protection from a film-directed start cue and film-directed selection.</w:t>
      </w:r>
    </w:p>
    <w:p>
      <w:pPr>
        <w:pStyle w:val="FigureWithoutNote"/>
      </w:pPr>
      <w:r>
        <w:drawing>
          <wp:inline>
            <wp:extent cx="5943600" cy="5414050"/>
            <wp:effectExtent b="0" l="0" r="0" t="0"/>
            <wp:docPr descr="" title="" id="26" name="Picture"/>
            <a:graphic>
              <a:graphicData uri="http://schemas.openxmlformats.org/drawingml/2006/picture">
                <pic:pic>
                  <pic:nvPicPr>
                    <pic:cNvPr descr="retrieved_context_account_figure/retrieved_context_account_composite.png" id="27" name="Picture"/>
                    <pic:cNvPicPr>
                      <a:picLocks noChangeArrowheads="1" noChangeAspect="1"/>
                    </pic:cNvPicPr>
                  </pic:nvPicPr>
                  <pic:blipFill>
                    <a:blip r:embed="rId25"/>
                    <a:stretch>
                      <a:fillRect/>
                    </a:stretch>
                  </pic:blipFill>
                  <pic:spPr bwMode="auto">
                    <a:xfrm>
                      <a:off x="0" y="0"/>
                      <a:ext cx="5943600" cy="5414050"/>
                    </a:xfrm>
                    <a:prstGeom prst="rect">
                      <a:avLst/>
                    </a:prstGeom>
                    <a:noFill/>
                    <a:ln w="9525">
                      <a:noFill/>
                      <a:headEnd/>
                      <a:tailEnd/>
                    </a:ln>
                  </pic:spPr>
                </pic:pic>
              </a:graphicData>
            </a:graphic>
          </wp:inline>
        </w:drawing>
      </w:r>
    </w:p>
    <w:bookmarkEnd w:id="28"/>
    <w:p>
      <w:r>
        <w:br w:type="page"/>
      </w:r>
    </w:p>
    <w:p>
      <w:pPr>
        <w:pStyle w:val="BodyText"/>
      </w:pPr>
      <w:r>
        <w:t xml:space="preserve">Contextual similarity is established during encoding.</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context when they are encoded soon after the film, after a reminder has reinstated film-associated context, or when they share a non-temporal source feature with film items.</w:t>
      </w:r>
      <w:r>
        <w:t xml:space="preserve"> </w:t>
      </w:r>
      <w:r>
        <w:t xml:space="preserve">Delay and filler activity move context away from the film, reducing the likelihood that later retrieval cues film items and task competitors together.</w:t>
      </w:r>
      <w:r>
        <w:t xml:space="preserve"> </w:t>
      </w:r>
      <w:r>
        <w:t xml:space="preserve">These conditions determine whether task items are likely to be cued alongside film items; task encoding strength determines how strongly they compete once cued.</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model, this source-context pathway can amplify competition when film and task items share the marked source feature.</w:t>
      </w:r>
    </w:p>
    <w:p>
      <w:pPr>
        <w:pStyle w:val="BodyText"/>
      </w:pPr>
      <w:r>
        <w:t xml:space="preserve">Context-to-item retrieval uses the current context state to cue candidate items.</w:t>
      </w:r>
      <w:r>
        <w:t xml:space="preserve"> </w:t>
      </w:r>
      <w:r>
        <w:t xml:space="preserve">Unguided retrieval is the model analogue of conditions in which film memories come to mind with little film-directed guidance from task goals or external cues.</w:t>
      </w:r>
      <w:r>
        <w:t xml:space="preserve"> </w:t>
      </w:r>
      <w:r>
        <w:t xml:space="preserve">When a retrieval context resembles states associated with both film items and task items, the same cue supports both sets.</w:t>
      </w:r>
      <w:r>
        <w:t xml:space="preserve"> </w:t>
      </w:r>
      <w:r>
        <w:t xml:space="preserve">Such broad, weakly guided retrieval is especially vulnerable to this competition: as task competitors receive support, any given film item becomes less likely to be selected for recall over competitor items.</w:t>
      </w:r>
      <w:r>
        <w:t xml:space="preserve"> </w:t>
      </w:r>
      <w:r>
        <w:t xml:space="preserve">The size of this effect depends on the number of competitors, their learned support, and the similarity between their associated temporal or source-context states and film context.</w:t>
      </w:r>
      <w:r>
        <w:t xml:space="preserve"> </w:t>
      </w:r>
      <w:r>
        <w:t xml:space="preserve">In these simulations, task modality is represented through those quantities: the learned support task items receive and the similarity between task-associated context and film-associated context.</w:t>
      </w:r>
    </w:p>
    <w:p>
      <w:pPr>
        <w:pStyle w:val="BodyText"/>
      </w:pPr>
      <w:r>
        <w:t xml:space="preserve">Item-to-context associations allow recalled items, reminder cues, and supplied film items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 across filled delays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allow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In delayed-interference paradigms, a reminder of the film is used before task encoding in studies that interpret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the same item-to-context pathway to reinstate film-associated context, paralleling temporal-context explanations of human post-reminder effects</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Delayed interference is therefore graded by reminder strength and subsequent drift, because those quantities determine how much film-associated context remains available when the task is encoded.</w:t>
      </w:r>
    </w:p>
    <w:p>
      <w:pPr>
        <w:pStyle w:val="BodyText"/>
      </w:pPr>
      <w:r>
        <w:t xml:space="preserve">The same item-to-context pathway also matters at test.</w:t>
      </w:r>
      <w:r>
        <w:t xml:space="preserve"> </w:t>
      </w:r>
      <w:r>
        <w:t xml:space="preserve">During recall or monitoring, retrieved or presented items update context as retrieval unfolds.</w:t>
      </w:r>
      <w:r>
        <w:t xml:space="preserve"> </w:t>
      </w:r>
      <w:r>
        <w:t xml:space="preserve">Retrieving a film item pulls context toward film-associated states and can support additional film retrieval, whereas retrieving a task competitor pulls context toward task-associated states and can prolong competition.</w:t>
      </w:r>
      <w:r>
        <w:t xml:space="preserve"> </w:t>
      </w:r>
      <w:r>
        <w:t xml:space="preserve">Film-related cues supplied during test can likewise update context, making subsequent retrieval less dependent on internal cue maintenance.</w:t>
      </w:r>
      <w:r>
        <w:t xml:space="preserve"> </w:t>
      </w:r>
      <w:r>
        <w:t xml:space="preserve">Retrieval tests that supply a film item can be less vulnerable to interference, because the supplied item reinstates associated context and reduces reliance on selecting film items from a mixed competitor set</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film-directed retrieval over the same stored associations.</w:t>
      </w:r>
      <w:r>
        <w:t xml:space="preserve"> </w:t>
      </w:r>
      <w:r>
        <w:t xml:space="preserve">Its protection depends on how retrieval control changes the search.</w:t>
      </w:r>
      <w:r>
        <w:t xml:space="preserve"> </w:t>
      </w:r>
      <w:r>
        <w:t xml:space="preserve">Deliberate recall using context-to-item retrieval remains exposed to competitor interference.</w:t>
      </w:r>
      <w:r>
        <w:t xml:space="preserve"> </w:t>
      </w:r>
      <w:r>
        <w:t xml:space="preserve">The first control lever is cue construction or start-state control, which can reinstate context from the beginning of the film sequence before recall and bias search toward film items.</w:t>
      </w:r>
      <w:r>
        <w:t xml:space="preserve"> </w:t>
      </w:r>
      <w:r>
        <w:t xml:space="preserve">The second is competition focusing or filtering, which sharpens selection among candidates and favors strongly supported film items over weaker or off-target competitors.</w:t>
      </w:r>
      <w:r>
        <w:t xml:space="preserve"> </w:t>
      </w:r>
      <w:r>
        <w:t xml:space="preserve">These levers yield graded protection: deliberate recall can lose film items when competition is strong, but endogenous film-directed control can reduce that loss relative to broad retrieval from ongoing context.</w:t>
      </w:r>
    </w:p>
    <w:p>
      <w:pPr>
        <w:pStyle w:val="BodyText"/>
      </w:pPr>
      <w:r>
        <w:t xml:space="preserve">The simulations instantiate these commitments in an emotional CMR model with phase-specific encoding, reminder-driven reinstatement, retrieval-control mechanisms, and source-context overlap</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film, break/delay, post-film task, and filler/delay periods form a continuous encoded stream, and a film reminder can reinstate film-associated context before task encoding.</w:t>
      </w:r>
      <w:r>
        <w:t xml:space="preserve"> </w:t>
      </w:r>
      <w:r>
        <w:t xml:space="preserve">Second, non-film events from the break, task, and filler phases are encoded as distinct recallable items that can compete with film items during retrieval.</w:t>
      </w:r>
      <w:r>
        <w:t xml:space="preserve"> </w:t>
      </w:r>
      <w:r>
        <w:t xml:space="preserve">This setup lets selective interference appear as a redistribution of retrieval across encoded phases, rather than as a direct reduction in film-item strength.</w:t>
      </w:r>
    </w:p>
    <w:bookmarkEnd w:id="29"/>
    <w:bookmarkStart w:id="54"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baseline parameters, then specifies the context-updating, learning, retrieval, and control operations used to configure the selective-interference simulations.</w:t>
      </w:r>
    </w:p>
    <w:bookmarkStart w:id="33"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symbolic base parameters used by the model.</w:t>
      </w:r>
      <w:r>
        <w:t xml:space="preserve"> </w:t>
      </w:r>
      <w:r>
        <w:t xml:space="preserve">The table separates parameters that define the inherited CMR operations from parameters later scaled or manipulated in the simulations; numerical values and phase settings are specified in the simulation methodology.</w:t>
      </w:r>
    </w:p>
    <w:bookmarkStart w:id="30" w:name="tbl-base-parameters"/>
    <w:p>
      <w:pPr>
        <w:pStyle w:val="FigureTitle"/>
      </w:pPr>
      <w:r>
        <w:t xml:space="preserve">Table 1</w:t>
      </w:r>
    </w:p>
    <w:p>
      <w:pPr>
        <w:pStyle w:val="Caption"/>
      </w:pPr>
      <w:r>
        <w:t xml:space="preserve">Base parameters and roles in the model specification.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start-cue parameter</w:t>
            </w:r>
          </w:p>
        </w:tc>
        <w:tc>
          <w:tcPr/>
          <w:p>
            <w:pPr>
              <w:pStyle w:val="Compact"/>
            </w:pPr>
            <w:r>
              <w:t xml:space="preserve">Start-of-list context reinstatement or film-directed cueing</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Sharpness of retrieval competition</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30"/>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selective-interference simulations vary the new associations formed across phases.</w:t>
      </w:r>
      <w:r>
        <w:t xml:space="preserve"> </w:t>
      </w:r>
      <w:r>
        <w:t xml:space="preserve">These baseline associations are fixed model architecture and are held constant across the selective-interference simulations.</w:t>
      </w:r>
      <w:r>
        <w:t xml:space="preserve"> </w:t>
      </w:r>
      <w:r>
        <w:t xml:space="preserve">For the start unit and item-associated temporal context units:</w:t>
      </w:r>
    </w:p>
    <w:p>
      <w:pPr>
        <w:pStyle w:val="BodyText"/>
      </w:pPr>
      <w:bookmarkStart w:id="31"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31"/>
    </w:p>
    <w:p>
      <w:pPr>
        <w:pStyle w:val="FirstParagraph"/>
      </w:pPr>
      <w:bookmarkStart w:id="32"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32"/>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33"/>
    <w:bookmarkStart w:id="45"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reminded, or supplied items.</w:t>
      </w:r>
      <w:r>
        <w:t xml:space="preserve"> </w:t>
      </w:r>
      <w:r>
        <w:t xml:space="preserve">The same feature-to-context operation updates context when an item is encoded, recalled, or supplied as a cue.</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34"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34"/>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35"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35"/>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36"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36"/>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37"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37"/>
    </w:p>
    <w:p>
      <w:pPr>
        <w:pStyle w:val="FirstParagraph"/>
      </w:pPr>
      <w:r>
        <w:t xml:space="preserve">A primacy function weights context-to-feature learning:</w:t>
      </w:r>
    </w:p>
    <w:p>
      <w:pPr>
        <w:pStyle w:val="BodyText"/>
      </w:pPr>
      <w:bookmarkStart w:id="38"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38"/>
    </w:p>
    <w:p>
      <w:pPr>
        <w:pStyle w:val="FirstParagraph"/>
      </w:pPr>
      <w:r>
        <w:t xml:space="preserve">Context-to-feature associations update as:</w:t>
      </w:r>
    </w:p>
    <w:p>
      <w:pPr>
        <w:pStyle w:val="BodyText"/>
      </w:pPr>
      <w:bookmarkStart w:id="39"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39"/>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current context cues encoded items through</w:t>
      </w:r>
      <w:r>
        <w:t xml:space="preserve"> </w:t>
      </w:r>
      <m:oMath>
        <m:sSup>
          <m:e>
            <m:r>
              <m:t>M</m:t>
            </m:r>
          </m:e>
          <m:sup>
            <m:r>
              <m:t>C</m:t>
            </m:r>
            <m:r>
              <m:t>F</m:t>
            </m:r>
          </m:sup>
        </m:sSup>
      </m:oMath>
      <w:r>
        <w:t xml:space="preserve">:</w:t>
      </w:r>
    </w:p>
    <w:p>
      <w:pPr>
        <w:pStyle w:val="BodyText"/>
      </w:pPr>
      <w:bookmarkStart w:id="40"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t>  </m:t>
          </m:r>
          <m:d>
            <m:dPr>
              <m:begChr m:val="("/>
              <m:sepChr m:val=""/>
              <m:endChr m:val=")"/>
              <m:grow/>
            </m:dPr>
            <m:e>
              <m:r>
                <m:t>9</m:t>
              </m:r>
            </m:e>
          </m:d>
        </m:oMath>
      </m:oMathPara>
      <w:bookmarkEnd w:id="40"/>
    </w:p>
    <w:p>
      <w:pPr>
        <w:pStyle w:val="FirstParagraph"/>
      </w:pPr>
      <w:r>
        <w:t xml:space="preserve">The choice sensitivity</w:t>
      </w:r>
      <w:r>
        <w:t xml:space="preserve"> </w:t>
      </w:r>
      <m:oMath>
        <m:r>
          <m:t>τ</m:t>
        </m:r>
      </m:oMath>
      <w:r>
        <w:t xml:space="preserve"> </w:t>
      </w:r>
      <w:r>
        <w:t xml:space="preserve">sharpens competition among candidates:</w:t>
      </w:r>
    </w:p>
    <w:p>
      <w:pPr>
        <w:pStyle w:val="BodyText"/>
      </w:pPr>
      <w:bookmarkStart w:id="41"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41"/>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42"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42"/>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43"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43"/>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44"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44"/>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supplied film items use the context update without adding a new recallable event.</w:t>
      </w:r>
    </w:p>
    <w:bookmarkEnd w:id="45"/>
    <w:bookmarkStart w:id="49" w:name="retrieval-control"/>
    <w:p>
      <w:pPr>
        <w:pStyle w:val="Heading2"/>
      </w:pPr>
      <w:r>
        <w:t xml:space="preserve">Retrieval Control</w:t>
      </w:r>
    </w:p>
    <w:p>
      <w:pPr>
        <w:pStyle w:val="FirstParagraph"/>
      </w:pPr>
      <w:r>
        <w:t xml:space="preserve">Retrieval-control settings alter the starting state and selection process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film-directed start/context cueing:</w:t>
      </w:r>
    </w:p>
    <w:p>
      <w:pPr>
        <w:pStyle w:val="BodyText"/>
      </w:pPr>
      <w:bookmarkStart w:id="46" w:name="eq-deliberate-start-cue"/>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46"/>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start-of-list context reinstatement.</w:t>
      </w:r>
      <w:r>
        <w:t xml:space="preserve"> </w:t>
      </w:r>
      <w:r>
        <w:t xml:space="preserve">The second control setting is sharper selection, implemented by scaling</w:t>
      </w:r>
      <w:r>
        <w:t xml:space="preserve"> </w:t>
      </w:r>
      <m:oMath>
        <m:r>
          <m:t>τ</m:t>
        </m:r>
      </m:oMath>
      <w:r>
        <w:t xml:space="preserve">.</w:t>
      </w:r>
      <w:r>
        <w:t xml:space="preserve"> </w:t>
      </w:r>
      <w:r>
        <w:t xml:space="preserve">Higher</w:t>
      </w:r>
      <w:r>
        <w:t xml:space="preserve"> </w:t>
      </w:r>
      <m:oMath>
        <m:r>
          <m:t>τ</m:t>
        </m:r>
      </m:oMath>
      <w:r>
        <w:t xml:space="preserve"> </w:t>
      </w:r>
      <w:r>
        <w:t xml:space="preserve">sharpens competition among all candidates.</w:t>
      </w:r>
      <w:r>
        <w:t xml:space="preserve"> </w:t>
      </w:r>
      <w:r>
        <w:t xml:space="preserve">It protects film recall only when film-directed cueing gives film items stronger support than task competitors.</w:t>
      </w:r>
      <w:r>
        <w:t xml:space="preserve"> </w:t>
      </w:r>
      <w:r>
        <w:t xml:space="preserve">The third control setting is target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Target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target monitoring, the context update after sampled item</w:t>
      </w:r>
      <w:r>
        <w:t xml:space="preserve"> </w:t>
      </w:r>
      <m:oMath>
        <m:r>
          <m:t>i</m:t>
        </m:r>
      </m:oMath>
      <w:r>
        <w:t xml:space="preserve"> </w:t>
      </w:r>
      <w:r>
        <w:t xml:space="preserve">becomes:</w:t>
      </w:r>
    </w:p>
    <w:p>
      <w:pPr>
        <w:pStyle w:val="BodyText"/>
      </w:pPr>
      <w:bookmarkStart w:id="47"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47"/>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Tests that supply a film item are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48"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48"/>
    </w:p>
    <w:p>
      <w:pPr>
        <w:pStyle w:val="FirstParagraph"/>
      </w:pPr>
      <w:r>
        <w:t xml:space="preserve">Supplied film items therefore use the same feature-to-context operation as sampled and reminded items.</w:t>
      </w:r>
    </w:p>
    <w:bookmarkEnd w:id="49"/>
    <w:bookmarkStart w:id="53"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 unless a later source-overlap manipulation states otherwise.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50"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50"/>
    </w:p>
    <w:p>
      <w:pPr>
        <w:pStyle w:val="FirstParagraph"/>
      </w:pPr>
      <w:r>
        <w:t xml:space="preserve">Source-context-to-feature support begins at zero:</w:t>
      </w:r>
    </w:p>
    <w:p>
      <w:pPr>
        <w:pStyle w:val="BodyText"/>
      </w:pPr>
      <w:bookmarkStart w:id="51"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51"/>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52"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52"/>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w:t>
      </w:r>
      <w:r>
        <w:t xml:space="preserve"> </w:t>
      </w:r>
      <w:r>
        <w:t xml:space="preserve">This operation represents the test setting orienting retrieval toward the film episode at the level of source context.</w:t>
      </w:r>
      <w:r>
        <w:t xml:space="preserve"> </w:t>
      </w:r>
      <w:r>
        <w:t xml:space="preserve">It is distinct from the temporal start-of-list cue manipulated in Simulation 2: an unguided-retrieval condition lacks deliberate temporal start-of-list reinstatement, but it is not a condition with no film-relevant test orientation at all.</w:t>
      </w:r>
      <w:r>
        <w:t xml:space="preserve"> </w:t>
      </w:r>
      <w:r>
        <w:t xml:space="preserve"> </w:t>
      </w:r>
      <w:r>
        <w:t xml:space="preserve">Task items are assigned the marked source feature only in later source-overlap variants.</w:t>
      </w:r>
      <w:r>
        <w:t xml:space="preserve"> </w:t>
      </w:r>
      <w:r>
        <w:t xml:space="preserve">When film and task items share the marked source feature and source context-to-feature learning is enabled,</w:t>
      </w:r>
      <w:r>
        <w:t xml:space="preserve"> </w:t>
      </w:r>
      <w:hyperlink w:anchor="eq-emot-mcf-learning">
        <w:r>
          <w:rPr>
            <w:rStyle w:val="Hyperlink"/>
          </w:rPr>
          <w:t xml:space="preserve">Equation 19</w:t>
        </w:r>
      </w:hyperlink>
      <w:r>
        <w:t xml:space="preserve"> </w:t>
      </w:r>
      <w:r>
        <w:t xml:space="preserve">can amplify competition beyond temporal proximity alone.</w:t>
      </w:r>
    </w:p>
    <w:p>
      <w:pPr>
        <w:pStyle w:val="BodyText"/>
      </w:pPr>
      <w:r>
        <w:t xml:space="preserve">These equations define the item-context architecture used in all simulations.</w:t>
      </w:r>
      <w:r>
        <w:t xml:space="preserve"> </w:t>
      </w:r>
      <w:r>
        <w:t xml:space="preserve">Because retrieval proceeds as a sequence of competitive samples terminated by a growing stop probability, task competitors can reduce film-item access by winning individual retrieval competitions before search terminates.</w:t>
      </w:r>
    </w:p>
    <w:bookmarkEnd w:id="53"/>
    <w:bookmarkEnd w:id="54"/>
    <w:bookmarkStart w:id="83" w:name="simulations"/>
    <w:p>
      <w:pPr>
        <w:pStyle w:val="Heading1"/>
      </w:pPr>
      <w:r>
        <w:t xml:space="preserve">Simulations</w:t>
      </w:r>
    </w:p>
    <w:p>
      <w:pPr>
        <w:pStyle w:val="FirstParagraph"/>
      </w:pPr>
      <w:r>
        <w:t xml:space="preserve">The simulations instantiate the retrieved-context account in a controlled trauma-film analogue.</w:t>
      </w:r>
      <w:r>
        <w:t xml:space="preserve"> </w:t>
      </w:r>
      <w:r>
        <w:t xml:space="preserve">They are organized into three linked groups: a core context-binding and retrieval-control demonstration, cue and test-format consequences of bidirectional item-context associations, and task-property boundary conditions.</w:t>
      </w:r>
      <w:r>
        <w:t xml:space="preserve"> </w:t>
      </w:r>
      <w:r>
        <w:t xml:space="preserve">Simulation 1 shows how a post-reminder task reduces film recall when task items receive strong context-to-feature learning in context states that overlap with the film trajectory.</w:t>
      </w:r>
      <w:r>
        <w:t xml:space="preserve"> </w:t>
      </w:r>
      <w:r>
        <w:t xml:space="preserve">Simulation 2 adds the intentionality manipulation by comparing unguided retrieval with deliberate recall and then decomposing the film-directed control settings that reduce deliberate-recall vulnerability.</w:t>
      </w:r>
      <w:r>
        <w:t xml:space="preserve"> </w:t>
      </w:r>
      <w:r>
        <w:t xml:space="preserve">Simulation 3 varies test-phase film-item cues drawn from the film sequence to separate cue-driven film access from diagnostic retrieval control.</w:t>
      </w:r>
      <w:r>
        <w:t xml:space="preserve"> </w:t>
      </w:r>
      <w:r>
        <w:t xml:space="preserve">Simulation 4 compares context-to-item recall with supplied-item access formats.</w:t>
      </w:r>
      <w:r>
        <w:t xml:space="preserve"> </w:t>
      </w:r>
      <w:r>
        <w:t xml:space="preserve">Simulation 5 examines which task properties make the post-film task effective, including task-item learning strength, contextual similarity, and source-context overlap.</w:t>
      </w:r>
    </w:p>
    <w:bookmarkStart w:id="57" w:name="methodology"/>
    <w:p>
      <w:pPr>
        <w:pStyle w:val="Heading2"/>
      </w:pPr>
      <w:r>
        <w:t xml:space="preserve">Methodology</w:t>
      </w:r>
    </w:p>
    <w:p>
      <w:pPr>
        <w:pStyle w:val="FirstParagraph"/>
      </w:pPr>
      <w:r>
        <w:t xml:space="preserve">Base parameters were anchored to an existing immediate free-recall dataset in which participants who reported concern about the war in Ukraine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This dataset provides an externally estimated eCMR regime for deliberate context-guided recall of affective and neutral photographs.</w:t>
      </w:r>
      <w:r>
        <w:t xml:space="preserve"> </w:t>
      </w:r>
      <w:r>
        <w:t xml:space="preserve">The fitted parameters set baseline encoding, retrieval, and stopping dynamics before the selective-interference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2</w:t>
        </w:r>
      </w:hyperlink>
      <w:r>
        <w:t xml:space="preserve"> </w:t>
      </w:r>
      <w:r>
        <w:t xml:space="preserve">gives the default numerical values used in the current simulations.</w:t>
      </w:r>
    </w:p>
    <w:bookmarkStart w:id="55" w:name="tbl-simulation-parameters"/>
    <w:p>
      <w:pPr>
        <w:pStyle w:val="FigureTitle"/>
      </w:pPr>
      <w:r>
        <w:t xml:space="preserve">Table 2</w:t>
      </w:r>
    </w:p>
    <w:p>
      <w:pPr>
        <w:pStyle w:val="Caption"/>
      </w:pPr>
      <w:r>
        <w:t xml:space="preserve">Default numerical parameter values used in the current simulations.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Start-cue parameter</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o</m:t>
                  </m:r>
                  <m:r>
                    <m:rPr>
                      <m:sty m:val="p"/>
                    </m:rPr>
                    <m:t>u</m:t>
                  </m:r>
                  <m:r>
                    <m:rPr>
                      <m:sty m:val="p"/>
                    </m:rPr>
                    <m:t>r</m:t>
                  </m:r>
                  <m:r>
                    <m:rPr>
                      <m:sty m:val="p"/>
                    </m:rPr>
                    <m:t>c</m:t>
                  </m:r>
                  <m:r>
                    <m:rPr>
                      <m:sty m:val="p"/>
                    </m:rPr>
                    <m:t>e</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55"/>
    <w:p>
      <w:pPr>
        <w:pStyle w:val="AfterWithoutNote"/>
      </w:pPr>
      <w:r>
        <w:t xml:space="preserve">The current simulations update associations after context integration and disallow repeated sampling of the same item.</w:t>
      </w:r>
    </w:p>
    <w:p>
      <w:pPr>
        <w:pStyle w:val="BodyText"/>
      </w:pPr>
      <w:r>
        <w:t xml:space="preserve">Each simulated trial contains 16 film items, 16 break/buffer items, 16 task items, and 16 filler items.</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target monitoring count an off-target sample as a retrieval attempt, attenuate its context update, and still allow search to continue.</w:t>
      </w:r>
    </w:p>
    <w:p>
      <w:pPr>
        <w:pStyle w:val="BodyText"/>
      </w:pPr>
      <w:r>
        <w:t xml:space="preserve">Film, break/buffer, task, and filler items are encoded by the same CMR operations defined above.</w:t>
      </w:r>
      <w:r>
        <w:t xml:space="preserve"> </w:t>
      </w:r>
      <w:r>
        <w:t xml:space="preserve">Phase settings control temporal drift and context-to-feature learning strength.</w:t>
      </w:r>
      <w:r>
        <w:t xml:space="preserve"> </w:t>
      </w:r>
      <w:r>
        <w:t xml:space="preserve">In the no-reminder condition used for Simulation 1, the reminder-start and film-item reminder-cue drift scales are set to zero.</w:t>
      </w:r>
      <w:r>
        <w:t xml:space="preserve"> </w:t>
      </w:r>
      <w:r>
        <w:t xml:space="preserve">In the with-reminder condition, context first shifts toward the start state and then receives sequential film-item reminder cues before task encoding.</w:t>
      </w:r>
      <w:r>
        <w:t xml:space="preserve"> </w:t>
      </w:r>
      <w:r>
        <w:t xml:space="preserve">Reminder cues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but they do not apply</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do not add new recallable items.</w:t>
      </w:r>
      <w:r>
        <w:t xml:space="preserve"> </w:t>
      </w:r>
      <w:hyperlink w:anchor="tbl-simulation-phase-settings">
        <w:r>
          <w:rPr>
            <w:rStyle w:val="Hyperlink"/>
          </w:rPr>
          <w:t xml:space="preserve">Table 3</w:t>
        </w:r>
      </w:hyperlink>
      <w:r>
        <w:t xml:space="preserve"> </w:t>
      </w:r>
      <w:r>
        <w:t xml:space="preserve">summarizes the phase structure and settings used for the current Figure 2 simulations.</w:t>
      </w:r>
    </w:p>
    <w:bookmarkStart w:id="56" w:name="tbl-simulation-phase-settings"/>
    <w:p>
      <w:pPr>
        <w:pStyle w:val="FigureTitle"/>
      </w:pPr>
      <w:r>
        <w:t xml:space="preserve">Table 3</w:t>
      </w:r>
    </w:p>
    <w:p>
      <w:pPr>
        <w:pStyle w:val="Caption"/>
      </w:pPr>
      <w:r>
        <w:t xml:space="preserve">Phase structure and settings for the current Figure 2 simulations.</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film-item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sweep cell</w:t>
            </w:r>
          </w:p>
        </w:tc>
        <w:tc>
          <w:tcPr/>
          <w:p>
            <w:pPr>
              <w:pStyle w:val="Compact"/>
              <w:jc w:val="right"/>
            </w:pPr>
            <w:r>
              <w:t xml:space="preserve">5000</w:t>
            </w:r>
          </w:p>
        </w:tc>
        <w:tc>
          <w:tcPr/>
          <w:p>
            <w:pPr>
              <w:pStyle w:val="Compact"/>
            </w:pPr>
            <w:r>
              <w:t xml:space="preserve">Replications used for Figure 2 estimates</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film-item cue reinstatement</w:t>
            </w:r>
          </w:p>
        </w:tc>
      </w:tr>
      <w:tr>
        <w:tc>
          <w:tcPr/>
          <w:p>
            <w:pPr>
              <w:pStyle w:val="Compact"/>
            </w:pPr>
            <w:r>
              <w:t xml:space="preserve">Task learning factor</w:t>
            </w:r>
          </w:p>
        </w:tc>
        <w:tc>
          <w:tcPr/>
          <w:p>
            <w:pPr>
              <w:pStyle w:val="Compact"/>
              <w:jc w:val="right"/>
            </w:pPr>
            <w:r>
              <w:t xml:space="preserve">0.0–3.0 by 0.5</w:t>
            </w:r>
          </w:p>
        </w:tc>
        <w:tc>
          <w:tcPr/>
          <w:p>
            <w:pPr>
              <w:pStyle w:val="Compact"/>
            </w:pPr>
            <w:r>
              <w:t xml:space="preserve">Multiplies task-phase context-to-feature learning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56"/>
    <w:p>
      <w:pPr>
        <w:pStyle w:val="AfterWithoutNote"/>
      </w:pPr>
      <w:r>
        <w:t xml:space="preserve">For each condition and sweep value, the model encodes the phase sequence, enters retrieval,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 and repeats this process across simulated trials.</w:t>
      </w:r>
      <w:r>
        <w:t xml:space="preserve"> </w:t>
      </w:r>
      <w:r>
        <w:t xml:space="preserve">Serial-position curves estimate the probability that each encoded position appears at least once in the sampled retrieval sequence.</w:t>
      </w:r>
      <w:r>
        <w:t xml:space="preserve"> </w:t>
      </w:r>
      <w:r>
        <w:t xml:space="preserve">The model-state analyses in Figure 2 quantify two quantities that explain the behavioral curves.</w:t>
      </w:r>
      <w:r>
        <w:t xml:space="preserve"> </w:t>
      </w:r>
      <w:r>
        <w:t xml:space="preserve">The context-similarity analysis computes cosine similarity between unit-normalized temporal context states associated with film-item encoding and temporal context states active during task-item encoding.</w:t>
      </w:r>
      <w:r>
        <w:t xml:space="preserve"> </w:t>
      </w:r>
      <w:r>
        <w:t xml:space="preserve">The support-allocation analysis forms a film-context cue from the centroid of film encoding context states, applies that cue to</w:t>
      </w:r>
      <w:r>
        <w:t xml:space="preserve"> </w:t>
      </w:r>
      <m:oMath>
        <m:sSup>
          <m:e>
            <m:r>
              <m:t>M</m:t>
            </m:r>
          </m:e>
          <m:sup>
            <m:r>
              <m:t>C</m:t>
            </m:r>
            <m:r>
              <m:t>F</m:t>
            </m:r>
          </m:sup>
        </m:sSup>
      </m:oMath>
      <w:r>
        <w:t xml:space="preserve"> </w:t>
      </w:r>
      <w:r>
        <w:t xml:space="preserve">after task encoding, and computes task support divided by the sum of film and task support.</w:t>
      </w:r>
    </w:p>
    <w:bookmarkEnd w:id="57"/>
    <w:bookmarkStart w:id="62"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sweeps the task learning factor under no-reminder and with-reminder conditions.</w:t>
      </w:r>
      <w:r>
        <w:t xml:space="preserve"> </w:t>
      </w:r>
      <w:r>
        <w:t xml:space="preserve">The plotted task learning factor multiplies task-phase context-to-feature learning in</w:t>
      </w:r>
      <w:r>
        <w:t xml:space="preserve"> </w:t>
      </w:r>
      <w:hyperlink w:anchor="eq-mcf-learning">
        <w:r>
          <w:rPr>
            <w:rStyle w:val="Hyperlink"/>
          </w:rPr>
          <w:t xml:space="preserve">Equation 8</w:t>
        </w:r>
      </w:hyperlink>
      <w:r>
        <w:t xml:space="preserve">.</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context evolves continuously, the reminder manipulation also predicts where along the film sequence recall is lost, not only how much film recall changes.</w:t>
      </w:r>
      <w:r>
        <w:t xml:space="preserve"> </w:t>
      </w:r>
      <w:r>
        <w:t xml:space="preserve">Simulation 2 then examines whether film-directed retrieval control can protect recall by cueing a more diagnostic part of the film trajectory.</w:t>
      </w:r>
    </w:p>
    <w:bookmarkStart w:id="61" w:name="fig-simulation1-context-binding"/>
    <w:p>
      <w:pPr>
        <w:pStyle w:val="FigureTitle"/>
      </w:pPr>
      <w:r>
        <w:t xml:space="preserve">Figure 2</w:t>
      </w:r>
    </w:p>
    <w:p>
      <w:pPr>
        <w:pStyle w:val="Caption"/>
      </w:pPr>
      <w:r>
        <w:rPr>
          <w:b/>
          <w:bCs/>
        </w:rPr>
        <w:t xml:space="preserve">Reminder-driven context overlap makes task encoding strength consequential for film recall.</w:t>
      </w:r>
      <w:r>
        <w:t xml:space="preserve"> </w:t>
      </w:r>
      <w:r>
        <w:t xml:space="preserve">Simulation 1 demonstrates how task items can become competitors for film recall by varying task encoding strength with or without a sequential film-item reminder before task encoding.</w:t>
      </w:r>
      <w:r>
        <w:t xml:space="preserve"> </w:t>
      </w:r>
      <w:r>
        <w:rPr>
          <w:b/>
          <w:bCs/>
        </w:rPr>
        <w:t xml:space="preserve">(A)</w:t>
      </w:r>
      <w:r>
        <w:t xml:space="preserve"> </w:t>
      </w:r>
      <w:r>
        <w:t xml:space="preserve">Without a film reminder, task items become associated with later context states reached after drift away from the film, so stronger task encoding produces only modest redistribution from film items to task items.</w:t>
      </w:r>
      <w:r>
        <w:t xml:space="preserve"> </w:t>
      </w:r>
      <w:r>
        <w:rPr>
          <w:b/>
          <w:bCs/>
        </w:rPr>
        <w:t xml:space="preserve">(B)</w:t>
      </w:r>
      <w:r>
        <w:t xml:space="preserve"> </w:t>
      </w:r>
      <w:r>
        <w:t xml:space="preserve">With a film reminder, task items become associated with context states more similar to those associated with film items, so stronger task encoding produces larger redistribution from film items to task items.</w:t>
      </w:r>
      <w:r>
        <w:t xml:space="preserve"> </w:t>
      </w:r>
      <w:r>
        <w:rPr>
          <w:b/>
          <w:bCs/>
        </w:rPr>
        <w:t xml:space="preserve">(C)</w:t>
      </w:r>
      <w:r>
        <w:t xml:space="preserve"> </w:t>
      </w:r>
      <w:r>
        <w:t xml:space="preserve">The temporal-context trace remains position-resolved: reminder cues make the states active during task encoding more similar to positions along the film context trajectory.</w:t>
      </w:r>
      <w:r>
        <w:t xml:space="preserve"> </w:t>
      </w:r>
      <w:r>
        <w:rPr>
          <w:b/>
          <w:bCs/>
        </w:rPr>
        <w:t xml:space="preserve">(D)</w:t>
      </w:r>
      <w:r>
        <w:t xml:space="preserve"> </w:t>
      </w:r>
      <w:r>
        <w:t xml:space="preserve">When the model is probed with a broad film-context cue and the active source context, stronger task encoding assigns a larger share of item support to task items, especially after a film reminder.</w:t>
      </w:r>
    </w:p>
    <w:p>
      <w:pPr>
        <w:pStyle w:val="FigureWithoutNote"/>
      </w:pPr>
      <w:r>
        <w:drawing>
          <wp:inline>
            <wp:extent cx="5943600" cy="3562918"/>
            <wp:effectExtent b="0" l="0" r="0" t="0"/>
            <wp:docPr descr="" title="" id="59" name="Picture"/>
            <a:graphic>
              <a:graphicData uri="http://schemas.openxmlformats.org/drawingml/2006/picture">
                <pic:pic>
                  <pic:nvPicPr>
                    <pic:cNvPr descr="figures/simulation1_context_binding.png" id="60" name="Picture"/>
                    <pic:cNvPicPr>
                      <a:picLocks noChangeArrowheads="1" noChangeAspect="1"/>
                    </pic:cNvPicPr>
                  </pic:nvPicPr>
                  <pic:blipFill>
                    <a:blip r:embed="rId58"/>
                    <a:stretch>
                      <a:fillRect/>
                    </a:stretch>
                  </pic:blipFill>
                  <pic:spPr bwMode="auto">
                    <a:xfrm>
                      <a:off x="0" y="0"/>
                      <a:ext cx="5943600" cy="3562918"/>
                    </a:xfrm>
                    <a:prstGeom prst="rect">
                      <a:avLst/>
                    </a:prstGeom>
                    <a:noFill/>
                    <a:ln w="9525">
                      <a:noFill/>
                      <a:headEnd/>
                      <a:tailEnd/>
                    </a:ln>
                  </pic:spPr>
                </pic:pic>
              </a:graphicData>
            </a:graphic>
          </wp:inline>
        </w:drawing>
      </w:r>
    </w:p>
    <w:bookmarkEnd w:id="61"/>
    <w:p>
      <w:pPr>
        <w:pStyle w:val="AfterWithoutNote"/>
      </w:pPr>
      <w:r>
        <w:t xml:space="preserve">Panels A and B show phase-resolved recall probability across encoded positions.</w:t>
      </w:r>
      <w:r>
        <w:t xml:space="preserve"> </w:t>
      </w:r>
      <w:r>
        <w:t xml:space="preserve">Without a film reminder, increasing task learning produces only modest loss of film recall and only modest gain in task recall, because task items become associated with later context states reached after drift away from the film.</w:t>
      </w:r>
      <w:r>
        <w:t xml:space="preserve"> </w:t>
      </w:r>
      <w:r>
        <w:t xml:space="preserve">With a film reminder, the same task-learning manipulation produces a much larger redistribution from film positions to task positions.</w:t>
      </w:r>
      <w:r>
        <w:t xml:space="preserve"> </w:t>
      </w:r>
      <w:r>
        <w:t xml:space="preserve">The with-reminder condition therefore shows that task strength matters most when task items are encoded in a film-related context state.</w:t>
      </w:r>
      <w:r>
        <w:t xml:space="preserve"> </w:t>
      </w:r>
      <w:r>
        <w:t xml:space="preserve">This overlap is not a single quantity.</w:t>
      </w:r>
      <w:r>
        <w:t xml:space="preserve"> </w:t>
      </w:r>
      <w:r>
        <w:t xml:space="preserve">The temporal component remains position-resolved, as shown by the serial-position curves and the similarity matrix, while the fixed source-context settings add broader film-level support.</w:t>
      </w:r>
      <w:r>
        <w:t xml:space="preserve"> </w:t>
      </w:r>
      <w:r>
        <w:t xml:space="preserve">Because the sequential reminder drives context through film-item cues before task encoding, the strongest task competition arises when task items are encoded with both recent film-temporal context and active film-source context.</w:t>
      </w:r>
      <w:r>
        <w:t xml:space="preserve"> </w:t>
      </w:r>
      <w:r>
        <w:t xml:space="preserve">At the endpoints of the task-learning sweep, mean film recall in the no-reminder condition changes from 0.318 at task learning factor 0.0 to 0.268 at factor 3.0, while mean task recall changes from 0.000 to 0.143.</w:t>
      </w:r>
      <w:r>
        <w:t xml:space="preserve"> </w:t>
      </w:r>
      <w:r>
        <w:t xml:space="preserve">In the with-reminder condition, mean film recall changes from 0.306 to 0.064, while mean task recall changes from 0.000 to 0.384.</w:t>
      </w:r>
    </w:p>
    <w:p>
      <w:pPr>
        <w:pStyle w:val="BodyText"/>
      </w:pPr>
      <w:r>
        <w:t xml:space="preserve">Panels C and D explain why the no-reminder and with-reminder curves diverge.</w:t>
      </w:r>
      <w:r>
        <w:t xml:space="preserve"> </w:t>
      </w:r>
      <w:r>
        <w:t xml:space="preserve">Panel C quantifies temporal-context similarity between the states associated with film items and the states active during task encoding.</w:t>
      </w:r>
      <w:r>
        <w:t xml:space="preserve"> </w:t>
      </w:r>
      <w:r>
        <w:t xml:space="preserve">When a sequential film-item reminder reinstates the film trajectory before task encoding, the temporal context at task encoding becomes more similar to film-associated positions.</w:t>
      </w:r>
      <w:r>
        <w:t xml:space="preserve"> </w:t>
      </w:r>
      <w:r>
        <w:t xml:space="preserve">Panel D quantifies how much support task items receive from a broad film-context centroid cue after task encoding, including the source-context support available at that point in the paradigm.</w:t>
      </w:r>
      <w:r>
        <w:t xml:space="preserve"> </w:t>
      </w:r>
      <w:r>
        <w:t xml:space="preserve">As task context-to-feature learning increases, task items receive a larger share of item support when this broad temporal/source cue probes retrieval, especially after the film reminder.</w:t>
      </w:r>
      <w:r>
        <w:t xml:space="preserve"> </w:t>
      </w:r>
      <w:r>
        <w:t xml:space="preserve">Across the task-learning sweep, film encoding settings remain unchanged.</w:t>
      </w:r>
      <w:r>
        <w:t xml:space="preserve"> </w:t>
      </w:r>
      <w:r>
        <w:t xml:space="preserve">The loss of film recall comes from stronger support for task items that can be cued by film-associated context.</w:t>
      </w:r>
      <w:r>
        <w:t xml:space="preserve"> </w:t>
      </w:r>
      <w:r>
        <w:t xml:space="preserve">Task items remain distinct from film items but become increasingly likely to win retrieval from film-related cues.</w:t>
      </w:r>
      <w:r>
        <w:t xml:space="preserve"> </w:t>
      </w:r>
      <w:r>
        <w:t xml:space="preserve">Simulation 2 next examines whether film-directed retrieval control reduces the impact of these task-item associations by cueing a more diagnostic part of the film trajectory.</w:t>
      </w:r>
    </w:p>
    <w:bookmarkEnd w:id="62"/>
    <w:bookmarkStart w:id="71" w:name="X61cfa1f4b6f5f81a08acf6762affb886f5840ec"/>
    <w:p>
      <w:pPr>
        <w:pStyle w:val="Heading2"/>
      </w:pPr>
      <w:r>
        <w:t xml:space="preserve">Simulation 2: Retrieval Control and Film-Directed Recall</w:t>
      </w:r>
    </w:p>
    <w:p>
      <w:pPr>
        <w:pStyle w:val="FirstParagraph"/>
      </w:pPr>
      <w:r>
        <w:t xml:space="preserve">Simulation 2 turns from encoding conditions to retrieval control.</w:t>
      </w:r>
      <w:r>
        <w:t xml:space="preserve"> </w:t>
      </w:r>
      <w:r>
        <w:t xml:space="preserve">The broader Simulation 2 package decomposes deliberate recall into three film-directed control operations: start-of-list context reinstatement, selection sharpening, and target monitoring.</w:t>
      </w:r>
      <w:r>
        <w:t xml:space="preserve"> </w:t>
      </w:r>
      <w:r>
        <w:t xml:space="preserve">Figure 3 isolates the first operation.</w:t>
      </w:r>
      <w:r>
        <w:t xml:space="preserve"> </w:t>
      </w:r>
      <w:r>
        <w:t xml:space="preserve">In the model, deliberate recall can begin by drifting current context toward the start-of-list state before the first retrieval attempt.</w:t>
      </w:r>
      <w:r>
        <w:t xml:space="preserve"> </w:t>
      </w:r>
      <w:r>
        <w:t xml:space="preserve">Because film items are encoded first, the start-of-list state is film-relevant in the present paradigm: reinstating it changes the context used to cue the first retrieval competition while leaving the learned film and task associations otherwise unchanged.</w:t>
      </w:r>
      <w:r>
        <w:t xml:space="preserve"> </w:t>
      </w:r>
      <w:r>
        <w:t xml:space="preserve">This operation differs from test-phase film-item cueing: it targets the beginning of the film trajectory, where the retrieval context is more diagnostic of film items than of late non-film competitors.</w:t>
      </w:r>
      <w:r>
        <w:t xml:space="preserve"> </w:t>
      </w:r>
      <w:r>
        <w:t xml:space="preserve">All conditions in the current Simulation 2 figures also include the fixed film-source retrieval orientation described above.</w:t>
      </w:r>
      <w:r>
        <w:t xml:space="preserve"> </w:t>
      </w:r>
      <w:r>
        <w:t xml:space="preserve">Thus,</w:t>
      </w:r>
      <w:r>
        <w:t xml:space="preserve"> </w:t>
      </w:r>
      <w:r>
        <w:t xml:space="preserve">“no start-of-list reinstatement”</w:t>
      </w:r>
      <w:r>
        <w:t xml:space="preserve"> </w:t>
      </w:r>
      <w:r>
        <w:t xml:space="preserve">means no deliberate temporal start cue, not the absence of any film-relevant test context.</w:t>
      </w:r>
      <w:r>
        <w:t xml:space="preserve"> </w:t>
      </w:r>
      <w:r>
        <w:t xml:space="preserve">The simulation holds the post-reminder task condition fixed at task learning factor 2.0 and varies the degree of start-of-list context reinstatement.</w:t>
      </w:r>
      <w:r>
        <w:t xml:space="preserve"> </w:t>
      </w:r>
      <w:r>
        <w:t xml:space="preserve">The plotted reinstatement values are multiples of the fitted start-cue parameter, so 1.0 corresponds to</w:t>
      </w:r>
      <w:r>
        <w:t xml:space="preserve"> </w:t>
      </w:r>
      <m:oMath>
        <m:sSub>
          <m:e>
            <m:r>
              <m:t>β</m:t>
            </m:r>
          </m:e>
          <m:sub>
            <m:r>
              <m:t>s</m:t>
            </m:r>
            <m:r>
              <m:t>t</m:t>
            </m:r>
            <m:r>
              <m:t>a</m:t>
            </m:r>
            <m:r>
              <m:t>r</m:t>
            </m:r>
            <m:r>
              <m:t>t</m:t>
            </m:r>
          </m:sub>
        </m:sSub>
      </m:oMath>
      <w:r>
        <w:t xml:space="preserve"> </w:t>
      </w:r>
      <w:r>
        <w:t xml:space="preserve">in</w:t>
      </w:r>
      <w:r>
        <w:t xml:space="preserve"> </w:t>
      </w:r>
      <w:hyperlink w:anchor="eq-deliberate-start-cue">
        <w:r>
          <w:rPr>
            <w:rStyle w:val="Hyperlink"/>
          </w:rPr>
          <w:t xml:space="preserve">Equation 14</w:t>
        </w:r>
      </w:hyperlink>
      <w:r>
        <w:t xml:space="preserve">.</w:t>
      </w:r>
    </w:p>
    <w:bookmarkStart w:id="66" w:name="Xe96feb7454d6b23e449dfafb9c326dcfa9c3226"/>
    <w:p>
      <w:pPr>
        <w:pStyle w:val="FigureTitle"/>
      </w:pPr>
      <w:r>
        <w:t xml:space="preserve">Figure 3</w:t>
      </w:r>
    </w:p>
    <w:p>
      <w:pPr>
        <w:pStyle w:val="Caption"/>
      </w:pPr>
      <w:r>
        <w:rPr>
          <w:b/>
          <w:bCs/>
        </w:rPr>
        <w:t xml:space="preserve">Start-of-list context reinstatement protects film recall by changing the context that cues retrieval.</w:t>
      </w:r>
      <w:r>
        <w:t xml:space="preserve"> </w:t>
      </w:r>
      <w:r>
        <w:t xml:space="preserve">Simulation 2 demonstrates how a deliberate-recall start operation can protect film recall after post-reminder task encoding by drifting retrieval context toward the start-of-list state immediately before the first retrieval attempt.</w:t>
      </w:r>
      <w:r>
        <w:t xml:space="preserve"> </w:t>
      </w:r>
      <w:r>
        <w:rPr>
          <w:b/>
          <w:bCs/>
        </w:rPr>
        <w:t xml:space="preserve">(A)</w:t>
      </w:r>
      <w:r>
        <w:t xml:space="preserve"> </w:t>
      </w:r>
      <w:r>
        <w:t xml:space="preserve">Before any item is sampled, stronger start-of-list context reinstatement makes the retrieval context support early film items rather than late filler items.</w:t>
      </w:r>
      <w:r>
        <w:t xml:space="preserve"> </w:t>
      </w:r>
      <w:r>
        <w:rPr>
          <w:b/>
          <w:bCs/>
        </w:rPr>
        <w:t xml:space="preserve">(B)</w:t>
      </w:r>
      <w:r>
        <w:t xml:space="preserve"> </w:t>
      </w:r>
      <w:r>
        <w:t xml:space="preserve">This pre-recall support shift makes recall more likely to begin with film items, especially items from the beginning of the film sequence.</w:t>
      </w:r>
      <w:r>
        <w:t xml:space="preserve"> </w:t>
      </w:r>
      <w:r>
        <w:rPr>
          <w:b/>
          <w:bCs/>
        </w:rPr>
        <w:t xml:space="preserve">(C)</w:t>
      </w:r>
      <w:r>
        <w:t xml:space="preserve"> </w:t>
      </w:r>
      <w:r>
        <w:t xml:space="preserve">Across the sampled retrieval sequence, stronger start-of-list context reinstatement increases access to film items, with the largest gains concentrated near the beginning of the film sequence.</w:t>
      </w:r>
      <w:r>
        <w:t xml:space="preserve"> </w:t>
      </w:r>
      <w:r>
        <w:t xml:space="preserve">Because sampled early film items reinstate nearby early-film context, and because context drifts gradually during retrieval, a start-of-recall context shift can affect later samples as well as the first sampled item.</w:t>
      </w:r>
    </w:p>
    <w:p>
      <w:pPr>
        <w:pStyle w:val="FigureWithoutNote"/>
      </w:pPr>
      <w:r>
        <w:drawing>
          <wp:inline>
            <wp:extent cx="5943600" cy="4209375"/>
            <wp:effectExtent b="0" l="0" r="0" t="0"/>
            <wp:docPr descr="" title="" id="64" name="Picture"/>
            <a:graphic>
              <a:graphicData uri="http://schemas.openxmlformats.org/drawingml/2006/picture">
                <pic:pic>
                  <pic:nvPicPr>
                    <pic:cNvPr descr="figures/simulation2_start_context_reinstatement.png" id="65" name="Picture"/>
                    <pic:cNvPicPr>
                      <a:picLocks noChangeArrowheads="1" noChangeAspect="1"/>
                    </pic:cNvPicPr>
                  </pic:nvPicPr>
                  <pic:blipFill>
                    <a:blip r:embed="rId63"/>
                    <a:stretch>
                      <a:fillRect/>
                    </a:stretch>
                  </pic:blipFill>
                  <pic:spPr bwMode="auto">
                    <a:xfrm>
                      <a:off x="0" y="0"/>
                      <a:ext cx="5943600" cy="4209375"/>
                    </a:xfrm>
                    <a:prstGeom prst="rect">
                      <a:avLst/>
                    </a:prstGeom>
                    <a:noFill/>
                    <a:ln w="9525">
                      <a:noFill/>
                      <a:headEnd/>
                      <a:tailEnd/>
                    </a:ln>
                  </pic:spPr>
                </pic:pic>
              </a:graphicData>
            </a:graphic>
          </wp:inline>
        </w:drawing>
      </w:r>
    </w:p>
    <w:bookmarkEnd w:id="66"/>
    <w:p>
      <w:pPr>
        <w:pStyle w:val="AfterWithoutNote"/>
      </w:pPr>
      <w:r>
        <w:t xml:space="preserve">Panel A probes</w:t>
      </w:r>
      <w:r>
        <w:t xml:space="preserve"> </w:t>
      </w:r>
      <m:oMath>
        <m:sSup>
          <m:e>
            <m:r>
              <m:t>M</m:t>
            </m:r>
          </m:e>
          <m:sup>
            <m:r>
              <m:t>C</m:t>
            </m:r>
            <m:r>
              <m:t>F</m:t>
            </m:r>
          </m:sup>
        </m:sSup>
      </m:oMath>
      <w:r>
        <w:t xml:space="preserve"> </w:t>
      </w:r>
      <w:r>
        <w:t xml:space="preserve">with the pre-recall retrieval context before Luce choice, stopping, or sampled-item context updating.</w:t>
      </w:r>
      <w:r>
        <w:t xml:space="preserve"> </w:t>
      </w:r>
      <w:r>
        <w:t xml:space="preserve">With no start-of-list context reinstatement, support is concentrated in late filler positions because the retrieval context reflects the post-filler state.</w:t>
      </w:r>
      <w:r>
        <w:t xml:space="preserve"> </w:t>
      </w:r>
      <w:r>
        <w:t xml:space="preserve">As start-of-list context reinstatement increases, support shifts toward early film positions.</w:t>
      </w:r>
      <w:r>
        <w:t xml:space="preserve"> </w:t>
      </w:r>
      <w:r>
        <w:t xml:space="preserve">Panels B and C apply the same retrieval settings to sampled retrieval sequences.</w:t>
      </w:r>
      <w:r>
        <w:t xml:space="preserve"> </w:t>
      </w:r>
      <w:r>
        <w:t xml:space="preserve">Panel B shows that this support shift changes recall initiation, with first recalls moving from filler positions when start-of-list context reinstatement is omitted to early film positions as reinstatement increases.</w:t>
      </w:r>
      <w:r>
        <w:t xml:space="preserve"> </w:t>
      </w:r>
      <w:r>
        <w:t xml:space="preserve">Panel C shows that the initiation shift has full-sequence consequences: sampled early film items reinstate nearby early-film context and raise film-item access across subsequent samples.</w:t>
      </w:r>
      <w:r>
        <w:t xml:space="preserve"> </w:t>
      </w:r>
      <w:r>
        <w:t xml:space="preserve">Under the strong task setting used here, task items remain available to be sampled later in the sequence, so the next step is to examine how selection operates once a retrieval cue has been set.</w:t>
      </w:r>
    </w:p>
    <w:p>
      <w:pPr>
        <w:pStyle w:val="BodyText"/>
      </w:pPr>
      <w:r>
        <w:t xml:space="preserve">The second control setting is retrieval selectivity.</w:t>
      </w:r>
      <w:r>
        <w:t xml:space="preserve"> </w:t>
      </w:r>
      <w:r>
        <w:t xml:space="preserve">This manipulation scales the choice-sensitivity parameter</w:t>
      </w:r>
      <w:r>
        <w:t xml:space="preserve"> </w:t>
      </w:r>
      <m:oMath>
        <m:r>
          <m:t>τ</m:t>
        </m:r>
      </m:oMath>
      <w:r>
        <w:t xml:space="preserve"> </w:t>
      </w:r>
      <w:r>
        <w:t xml:space="preserve">in</w:t>
      </w:r>
      <w:r>
        <w:t xml:space="preserve"> </w:t>
      </w:r>
      <w:hyperlink w:anchor="eq-choice-sensitivity">
        <w:r>
          <w:rPr>
            <w:rStyle w:val="Hyperlink"/>
          </w:rPr>
          <w:t xml:space="preserve">Equation 10</w:t>
        </w:r>
      </w:hyperlink>
      <w:r>
        <w:t xml:space="preserve">, changing how sharply candidate support is converted into selection probability.</w:t>
      </w:r>
      <w:r>
        <w:t xml:space="preserve"> </w:t>
      </w:r>
      <w:r>
        <w:t xml:space="preserve">It does not supply a film cue by itself.</w:t>
      </w:r>
      <w:r>
        <w:t xml:space="preserve"> </w:t>
      </w:r>
      <w:r>
        <w:t xml:space="preserve">Instead, it makes the candidate structure supplied by the current context more consequential.</w:t>
      </w:r>
      <w:r>
        <w:t xml:space="preserve"> </w:t>
      </w:r>
      <w:r>
        <w:t xml:space="preserve">Figure 4 crosses retrieval selectivity with start-of-list context reinstatement while holding the same post-reminder task condition fixed.</w:t>
      </w:r>
      <w:r>
        <w:t xml:space="preserve"> </w:t>
      </w:r>
      <w:r>
        <w:t xml:space="preserve">The final panel introduces target monitoring as a post-off-target recovery operation.</w:t>
      </w:r>
      <w:r>
        <w:t xml:space="preserve"> </w:t>
      </w:r>
      <w:r>
        <w:t xml:space="preserve">Here, target monitoring refers to control engaged after a sampled candidate is recognized as off target: the operation can reduce how strongly that candidate pulls subsequent search away from film context that is already accessible.</w:t>
      </w:r>
      <w:r>
        <w:t xml:space="preserve"> </w:t>
      </w:r>
      <w:r>
        <w:t xml:space="preserve">The concrete CMR-style implementation used here is rejected-sample updating.</w:t>
      </w:r>
      <w:r>
        <w:t xml:space="preserve"> </w:t>
      </w:r>
      <w:r>
        <w:t xml:space="preserve">Sampled off-target candidates still occupy retrieval attempts, but their context update is multiplied by</w:t>
      </w:r>
      <w:r>
        <w:t xml:space="preserve"> </w:t>
      </w:r>
      <m:oMath>
        <m:r>
          <m:t>κ</m:t>
        </m:r>
      </m:oMath>
      <w:r>
        <w:t xml:space="preserve">, with</w:t>
      </w:r>
      <w:r>
        <w:t xml:space="preserve"> </w:t>
      </w:r>
      <m:oMath>
        <m:r>
          <m:t>κ</m:t>
        </m:r>
        <m:r>
          <m:rPr>
            <m:sty m:val="p"/>
          </m:rPr>
          <m:t>=</m:t>
        </m:r>
        <m:r>
          <m:t>1</m:t>
        </m:r>
      </m:oMath>
      <w:r>
        <w:t xml:space="preserve"> </w:t>
      </w:r>
      <w:r>
        <w:t xml:space="preserve">giving the normal sampled-item update and</w:t>
      </w:r>
      <w:r>
        <w:t xml:space="preserve"> </w:t>
      </w:r>
      <m:oMath>
        <m:r>
          <m:t>κ</m:t>
        </m:r>
        <m:r>
          <m:rPr>
            <m:sty m:val="p"/>
          </m:rPr>
          <m:t>=</m:t>
        </m:r>
        <m:r>
          <m:t>0</m:t>
        </m:r>
      </m:oMath>
      <w:r>
        <w:t xml:space="preserve"> </w:t>
      </w:r>
      <w:r>
        <w:t xml:space="preserve">preventing off-target context updating.</w:t>
      </w:r>
    </w:p>
    <w:bookmarkStart w:id="70" w:name="fig-simulation2-retrieval-selectivity"/>
    <w:p>
      <w:pPr>
        <w:pStyle w:val="FigureTitle"/>
      </w:pPr>
      <w:r>
        <w:t xml:space="preserve">Figure 4</w:t>
      </w:r>
    </w:p>
    <w:p>
      <w:pPr>
        <w:pStyle w:val="Caption"/>
      </w:pPr>
      <w:r>
        <w:rPr>
          <w:b/>
          <w:bCs/>
        </w:rPr>
        <w:t xml:space="preserve">Retrieval selectivity sharpens the current search path, while target monitoring limits drift after off-target samples.</w:t>
      </w:r>
      <w:r>
        <w:t xml:space="preserve"> </w:t>
      </w:r>
      <w:r>
        <w:t xml:space="preserve">Simulation 2 demonstrates why deliberate recall requires more than globally sharper selection by first varying retrieval selectivity after post-reminder task encoding, with or without start-of-list context reinstatement, and then examining a rejected-sample implementation of off-target recovery.</w:t>
      </w:r>
      <w:r>
        <w:t xml:space="preserve"> </w:t>
      </w:r>
      <w:r>
        <w:rPr>
          <w:b/>
          <w:bCs/>
        </w:rPr>
        <w:t xml:space="preserve">(A)</w:t>
      </w:r>
      <w:r>
        <w:t xml:space="preserve"> </w:t>
      </w:r>
      <w:r>
        <w:t xml:space="preserve">With start-of-list reinstatement, higher retrieval selectivity increases short-lag transitions, indicating stronger local search around the currently active temporal neighborhood.</w:t>
      </w:r>
      <w:r>
        <w:t xml:space="preserve"> </w:t>
      </w:r>
      <w:r>
        <w:rPr>
          <w:b/>
          <w:bCs/>
        </w:rPr>
        <w:t xml:space="preserve">(B)</w:t>
      </w:r>
      <w:r>
        <w:t xml:space="preserve"> </w:t>
      </w:r>
      <w:r>
        <w:t xml:space="preserve">Without start-of-list reinstatement, sharper local search amplifies recall of late non-film items because the ongoing retrieval context most strongly supports those positions.</w:t>
      </w:r>
      <w:r>
        <w:t xml:space="preserve"> </w:t>
      </w:r>
      <w:r>
        <w:rPr>
          <w:b/>
          <w:bCs/>
        </w:rPr>
        <w:t xml:space="preserve">(C)</w:t>
      </w:r>
      <w:r>
        <w:t xml:space="preserve"> </w:t>
      </w:r>
      <w:r>
        <w:t xml:space="preserve">With start-of-list reinstatement, the same increase in retrieval selectivity amplifies recall of film items because retrieval begins from context that supports the start of the film sequence.</w:t>
      </w:r>
      <w:r>
        <w:t xml:space="preserve"> </w:t>
      </w:r>
      <w:r>
        <w:rPr>
          <w:b/>
          <w:bCs/>
        </w:rPr>
        <w:t xml:space="preserve">(D)</w:t>
      </w:r>
      <w:r>
        <w:t xml:space="preserve"> </w:t>
      </w:r>
      <w:r>
        <w:t xml:space="preserve">A concrete rejected-sample implementation shows the same constraint: reducing the context update after off-target samples helps retrieval return to film items only when start-of-list reinstatement has already made film items accessible.</w:t>
      </w:r>
      <w:r>
        <w:t xml:space="preserve"> </w:t>
      </w:r>
      <w:r>
        <w:t xml:space="preserve">Together, the panels show that selection sharpening is conditional on the current retrieval context, whereas target monitoring can limit the aftereffects of off-target samples without supplying a film cue by itself.</w:t>
      </w:r>
    </w:p>
    <w:p>
      <w:pPr>
        <w:pStyle w:val="FigureWithoutNote"/>
      </w:pPr>
      <w:r>
        <w:drawing>
          <wp:inline>
            <wp:extent cx="5943600" cy="4052068"/>
            <wp:effectExtent b="0" l="0" r="0" t="0"/>
            <wp:docPr descr="" title="" id="68" name="Picture"/>
            <a:graphic>
              <a:graphicData uri="http://schemas.openxmlformats.org/drawingml/2006/picture">
                <pic:pic>
                  <pic:nvPicPr>
                    <pic:cNvPr descr="figures/simulation2_retrieval_selectivity.png" id="69" name="Picture"/>
                    <pic:cNvPicPr>
                      <a:picLocks noChangeArrowheads="1" noChangeAspect="1"/>
                    </pic:cNvPicPr>
                  </pic:nvPicPr>
                  <pic:blipFill>
                    <a:blip r:embed="rId67"/>
                    <a:stretch>
                      <a:fillRect/>
                    </a:stretch>
                  </pic:blipFill>
                  <pic:spPr bwMode="auto">
                    <a:xfrm>
                      <a:off x="0" y="0"/>
                      <a:ext cx="5943600" cy="4052068"/>
                    </a:xfrm>
                    <a:prstGeom prst="rect">
                      <a:avLst/>
                    </a:prstGeom>
                    <a:noFill/>
                    <a:ln w="9525">
                      <a:noFill/>
                      <a:headEnd/>
                      <a:tailEnd/>
                    </a:ln>
                  </pic:spPr>
                </pic:pic>
              </a:graphicData>
            </a:graphic>
          </wp:inline>
        </w:drawing>
      </w:r>
    </w:p>
    <w:bookmarkEnd w:id="70"/>
    <w:p>
      <w:pPr>
        <w:pStyle w:val="AfterWithoutNote"/>
      </w:pPr>
      <w:r>
        <w:t xml:space="preserve">Panel A shows the local-search consequence of increasing retrieval selectivity in the start-of-list reinstatement condition.</w:t>
      </w:r>
      <w:r>
        <w:t xml:space="preserve"> </w:t>
      </w:r>
      <w:r>
        <w:t xml:space="preserve">Because the Luce choice rule exaggerates differences in candidate support, higher values make successive recalls cluster more strongly around nearby encoded positions.</w:t>
      </w:r>
      <w:r>
        <w:t xml:space="preserve"> </w:t>
      </w:r>
      <w:r>
        <w:t xml:space="preserve">Panels B and C show that the recall consequences of this local search depend on the retrieval context.</w:t>
      </w:r>
      <w:r>
        <w:t xml:space="preserve"> </w:t>
      </w:r>
      <w:r>
        <w:t xml:space="preserve">When recall begins from the ongoing post-filler context, increasing retrieval selectivity favors the late non-film items most strongly supported by that context.</w:t>
      </w:r>
      <w:r>
        <w:t xml:space="preserve"> </w:t>
      </w:r>
      <w:r>
        <w:t xml:space="preserve">When recall begins after start-of-list context reinstatement, increasing retrieval selectivity favors the early film items supported by the reinstated context.</w:t>
      </w:r>
      <w:r>
        <w:t xml:space="preserve"> </w:t>
      </w:r>
      <w:r>
        <w:t xml:space="preserve">Panel D conditions on transitions where the current sample is off target, retrieval continues, and at least one film item remains unsampled.</w:t>
      </w:r>
      <w:r>
        <w:t xml:space="preserve"> </w:t>
      </w:r>
      <w:r>
        <w:t xml:space="preserve">Without start-of-list context reinstatement, the probability that the next sample is a film item remains near zero across the</w:t>
      </w:r>
      <w:r>
        <w:t xml:space="preserve"> </w:t>
      </w:r>
      <m:oMath>
        <m:r>
          <m:t>κ</m:t>
        </m:r>
      </m:oMath>
      <w:r>
        <w:t xml:space="preserve"> </w:t>
      </w:r>
      <w:r>
        <w:t xml:space="preserve">sweep.</w:t>
      </w:r>
      <w:r>
        <w:t xml:space="preserve"> </w:t>
      </w:r>
      <w:r>
        <w:t xml:space="preserve">With start-of-list context reinstatement, lowering</w:t>
      </w:r>
      <w:r>
        <w:t xml:space="preserve"> </w:t>
      </w:r>
      <m:oMath>
        <m:r>
          <m:t>κ</m:t>
        </m:r>
      </m:oMath>
      <w:r>
        <w:t xml:space="preserve"> </w:t>
      </w:r>
      <w:r>
        <w:t xml:space="preserve">from 1.0 to 0.0 raises this film-return probability from 0.059 to 0.643.</w:t>
      </w:r>
      <w:r>
        <w:t xml:space="preserve"> </w:t>
      </w:r>
      <w:r>
        <w:t xml:space="preserve">Across Figures 3 and 4, deliberate recall is protected by a sequence of control settings: start-of-list context reinstatement supplies a diagnostic early-film retrieval cue, retrieval selectivity sharpens whatever the current context supports, and target monitoring limits the context-updating consequences of sampled off-target candidates.</w:t>
      </w:r>
      <w:r>
        <w:t xml:space="preserve"> </w:t>
      </w:r>
      <w:r>
        <w:t xml:space="preserve">This sequence motivates Simulation 3: externally supplied film-item cues also update context, but they sample positions from the film sequence rather than deliberately reinstating the start-of-list state.</w:t>
      </w:r>
      <w:r>
        <w:t xml:space="preserve"> </w:t>
      </w:r>
      <w:r>
        <w:t xml:space="preserve">Their protective value therefore depends on whether the reinstated context favors film items over task competitors.</w:t>
      </w:r>
    </w:p>
    <w:bookmarkEnd w:id="71"/>
    <w:bookmarkStart w:id="76" w:name="X7a91ecbf00d273371c5cbe062d581d5817d0f04"/>
    <w:p>
      <w:pPr>
        <w:pStyle w:val="Heading2"/>
      </w:pPr>
      <w:r>
        <w:t xml:space="preserve">Simulation 3: Film Cue Inclusion and Retrieval Intentionality</w:t>
      </w:r>
    </w:p>
    <w:p>
      <w:pPr>
        <w:pStyle w:val="FirstParagraph"/>
      </w:pPr>
      <w:r>
        <w:t xml:space="preserve">Simulation 3 asks whether externally supplied film cues have the same protective value as deliberate start-of-list reinstatement.</w:t>
      </w:r>
      <w:r>
        <w:t xml:space="preserve"> </w:t>
      </w:r>
      <w:r>
        <w:t xml:space="preserve">The model implements film cue inclusion as intermittent test-phase cues: after every fourth retrieval attempt, the test supplies a randomly selected film item.</w:t>
      </w:r>
      <w:r>
        <w:t xml:space="preserve"> </w:t>
      </w:r>
      <w:r>
        <w:t xml:space="preserve">The supplied cue does not occupy a response slot, does not make the cued item unavailable for later recall, and adds no new learning.</w:t>
      </w:r>
      <w:r>
        <w:t xml:space="preserve"> </w:t>
      </w:r>
      <w:r>
        <w:t xml:space="preserve">Instead, it updates temporal and source context through the supplied item’s feature-to-context associations, after which ordinary retrieval resumes.</w:t>
      </w:r>
      <w:r>
        <w:t xml:space="preserve"> </w:t>
      </w:r>
      <w:r>
        <w:t xml:space="preserve">Cue strength is plotted as a multiplier on the fitted recall context-update rate</w:t>
      </w:r>
      <w:r>
        <w:t xml:space="preserve"> </w:t>
      </w:r>
      <m:oMath>
        <m:sSub>
          <m:e>
            <m:r>
              <m:t>β</m:t>
            </m:r>
          </m:e>
          <m:sub>
            <m:r>
              <m:t>r</m:t>
            </m:r>
            <m:r>
              <m:t>e</m:t>
            </m:r>
            <m:r>
              <m:t>c</m:t>
            </m:r>
          </m:sub>
        </m:sSub>
      </m:oMath>
      <w:r>
        <w:t xml:space="preserve">.</w:t>
      </w:r>
      <w:r>
        <w:t xml:space="preserve"> </w:t>
      </w:r>
      <w:r>
        <w:t xml:space="preserve">The vertical reference line in Figure 5 marks the cue strength that would make the supplied-cue context update approximately equal to the fitted encoding drift rate</w:t>
      </w:r>
      <w:r>
        <w:t xml:space="preserve"> </w:t>
      </w:r>
      <m:oMath>
        <m:sSub>
          <m:e>
            <m:r>
              <m:t>β</m:t>
            </m:r>
          </m:e>
          <m:sub>
            <m:r>
              <m:t>e</m:t>
            </m:r>
            <m:r>
              <m:t>n</m:t>
            </m:r>
            <m:r>
              <m:t>c</m:t>
            </m:r>
          </m:sub>
        </m:sSub>
      </m:oMath>
      <w:r>
        <w:t xml:space="preserve">.</w:t>
      </w:r>
    </w:p>
    <w:bookmarkStart w:id="75" w:name="fig-simulation3-film-cue-inclusion"/>
    <w:p>
      <w:pPr>
        <w:pStyle w:val="FigureTitle"/>
      </w:pPr>
      <w:r>
        <w:t xml:space="preserve">Figure 5</w:t>
      </w:r>
    </w:p>
    <w:p>
      <w:pPr>
        <w:pStyle w:val="Caption"/>
      </w:pPr>
      <w:r>
        <w:rPr>
          <w:b/>
          <w:bCs/>
        </w:rPr>
        <w:t xml:space="preserve">Intermittent test-phase film cues increase film access without replacing the intentionality manipulation.</w:t>
      </w:r>
      <w:r>
        <w:t xml:space="preserve"> </w:t>
      </w:r>
      <w:r>
        <w:t xml:space="preserve">Simulation 3 compares unguided retrieval with deliberate recall while varying the strength of intermittent supplied film-item cues during retrieval.</w:t>
      </w:r>
      <w:r>
        <w:t xml:space="preserve"> </w:t>
      </w:r>
      <w:r>
        <w:rPr>
          <w:b/>
          <w:bCs/>
        </w:rPr>
        <w:t xml:space="preserve">(A)</w:t>
      </w:r>
      <w:r>
        <w:t xml:space="preserve"> </w:t>
      </w:r>
      <w:r>
        <w:t xml:space="preserve">Supplied film cues occur after scheduled retrieval attempts, update context, and then allow the next ordinary retrieval competition; they are not counted as responses and do not add learning.</w:t>
      </w:r>
      <w:r>
        <w:t xml:space="preserve"> </w:t>
      </w:r>
      <w:r>
        <w:rPr>
          <w:b/>
          <w:bCs/>
        </w:rPr>
        <w:t xml:space="preserve">(B)</w:t>
      </w:r>
      <w:r>
        <w:t xml:space="preserve"> </w:t>
      </w:r>
      <w:r>
        <w:t xml:space="preserve">Film-item recall increases with cue strength, but the deliberate-minus-unguided intentionality gap remains nearly stable across weak-to-moderate cue reinstatement.</w:t>
      </w:r>
      <w:r>
        <w:t xml:space="preserve"> </w:t>
      </w:r>
      <w:r>
        <w:t xml:space="preserve">Only stronger cue reinstatement begins to narrow the gap.</w:t>
      </w:r>
      <w:r>
        <w:t xml:space="preserve"> </w:t>
      </w:r>
      <w:r>
        <w:rPr>
          <w:b/>
          <w:bCs/>
        </w:rPr>
        <w:t xml:space="preserve">(C)</w:t>
      </w:r>
      <w:r>
        <w:t xml:space="preserve"> </w:t>
      </w:r>
      <w:r>
        <w:t xml:space="preserve">Under unguided retrieval, supplied film cues modestly raise film recall but task and filler competitors remain prominent.</w:t>
      </w:r>
      <w:r>
        <w:t xml:space="preserve"> </w:t>
      </w:r>
      <w:r>
        <w:rPr>
          <w:b/>
          <w:bCs/>
        </w:rPr>
        <w:t xml:space="preserve">(D)</w:t>
      </w:r>
      <w:r>
        <w:t xml:space="preserve"> </w:t>
      </w:r>
      <w:r>
        <w:t xml:space="preserve">Under deliberate recall, film recall is already supported by start-of-list control, and supplied cues produce additional film access without eliminating task competition.</w:t>
      </w:r>
    </w:p>
    <w:p>
      <w:pPr>
        <w:pStyle w:val="FigureWithoutNote"/>
      </w:pPr>
      <w:r>
        <w:drawing>
          <wp:inline>
            <wp:extent cx="5943600" cy="4067901"/>
            <wp:effectExtent b="0" l="0" r="0" t="0"/>
            <wp:docPr descr="" title="" id="73" name="Picture"/>
            <a:graphic>
              <a:graphicData uri="http://schemas.openxmlformats.org/drawingml/2006/picture">
                <pic:pic>
                  <pic:nvPicPr>
                    <pic:cNvPr descr="figures/simulation3_film_cue_inclusion.png" id="74" name="Picture"/>
                    <pic:cNvPicPr>
                      <a:picLocks noChangeArrowheads="1" noChangeAspect="1"/>
                    </pic:cNvPicPr>
                  </pic:nvPicPr>
                  <pic:blipFill>
                    <a:blip r:embed="rId72"/>
                    <a:stretch>
                      <a:fillRect/>
                    </a:stretch>
                  </pic:blipFill>
                  <pic:spPr bwMode="auto">
                    <a:xfrm>
                      <a:off x="0" y="0"/>
                      <a:ext cx="5943600" cy="4067901"/>
                    </a:xfrm>
                    <a:prstGeom prst="rect">
                      <a:avLst/>
                    </a:prstGeom>
                    <a:noFill/>
                    <a:ln w="9525">
                      <a:noFill/>
                      <a:headEnd/>
                      <a:tailEnd/>
                    </a:ln>
                  </pic:spPr>
                </pic:pic>
              </a:graphicData>
            </a:graphic>
          </wp:inline>
        </w:drawing>
      </w:r>
    </w:p>
    <w:bookmarkEnd w:id="75"/>
    <w:p>
      <w:pPr>
        <w:pStyle w:val="AfterWithoutNote"/>
      </w:pPr>
      <w:r>
        <w:t xml:space="preserve">Panel B gives the primary test of the Simulation 3 prediction.</w:t>
      </w:r>
      <w:r>
        <w:t xml:space="preserve"> </w:t>
      </w:r>
      <w:r>
        <w:t xml:space="preserve">Weak-to-moderate test-phase film cues increase film-item recall while leaving the intentionality gap largely intact.</w:t>
      </w:r>
      <w:r>
        <w:t xml:space="preserve"> </w:t>
      </w:r>
      <w:r>
        <w:t xml:space="preserve">For example, increasing film-cue reinstatement from 0.00 to 0.60 raises film recall mass from 0.008 to 0.170 under unguided retrieval and from 2.229 to 2.379 under deliberate recall, while the deliberate-minus-unguided gap changes only from 2.221 to 2.209.</w:t>
      </w:r>
      <w:r>
        <w:t xml:space="preserve"> </w:t>
      </w:r>
      <w:r>
        <w:t xml:space="preserve">This pattern shows that an externally supplied film cue can improve access to film material without acting like the diagnostic start-of-list control operation in Simulation 2.</w:t>
      </w:r>
      <w:r>
        <w:t xml:space="preserve"> </w:t>
      </w:r>
      <w:r>
        <w:t xml:space="preserve">At stronger cue values, the intentionality gap begins to narrow because cue-driven context reinstatement itself becomes strong enough to guide unguided retrieval toward film items.</w:t>
      </w:r>
    </w:p>
    <w:p>
      <w:pPr>
        <w:pStyle w:val="BodyText"/>
      </w:pPr>
      <w:r>
        <w:t xml:space="preserve">Panels C and D show how this effect unfolds over the full encoded sequence.</w:t>
      </w:r>
      <w:r>
        <w:t xml:space="preserve"> </w:t>
      </w:r>
      <w:r>
        <w:t xml:space="preserve">The cue manipulation does not remove the task competitors created by reminder-driven task encoding.</w:t>
      </w:r>
      <w:r>
        <w:t xml:space="preserve"> </w:t>
      </w:r>
      <w:r>
        <w:t xml:space="preserve">Instead, it changes the context available to subsequent search.</w:t>
      </w:r>
      <w:r>
        <w:t xml:space="preserve"> </w:t>
      </w:r>
      <w:r>
        <w:t xml:space="preserve">The result is a graded cue effect: supplied film items can increase film access, but they reduce selective interference only to the extent that the reinstated context discriminates film targets from task and filler competitors.</w:t>
      </w:r>
    </w:p>
    <w:bookmarkEnd w:id="76"/>
    <w:bookmarkStart w:id="81" w:name="X4b971085a32b00b7d6d10c2980fa2959349f2f4"/>
    <w:p>
      <w:pPr>
        <w:pStyle w:val="Heading2"/>
      </w:pPr>
      <w:r>
        <w:t xml:space="preserve">Simulation 4: Context-to-Item and Item-to-Context Test Formats</w:t>
      </w:r>
    </w:p>
    <w:p>
      <w:pPr>
        <w:pStyle w:val="FirstParagraph"/>
      </w:pPr>
      <w:r>
        <w:t xml:space="preserve">Simulation 4 extends the cue logic to test format.</w:t>
      </w:r>
      <w:r>
        <w:t xml:space="preserve"> </w:t>
      </w:r>
      <w:r>
        <w:t xml:space="preserve">The relevant architectural distinction is between context-to-item recall, in which film items must win selection from a mixed competitor set, and supplied-item access, in which the test provides item information that can reinstate associated context directly.</w:t>
      </w:r>
      <w:r>
        <w:t xml:space="preserve"> </w:t>
      </w:r>
      <w:r>
        <w:t xml:space="preserve">This comparison does not require treating recognition as fully modeled by CMR.</w:t>
      </w:r>
      <w:r>
        <w:t xml:space="preserve"> </w:t>
      </w:r>
      <w:r>
        <w:t xml:space="preserve">Instead, it asks whether a supplied film item changes vulnerability to context-binding interference because the retrieval problem no longer begins with selecting a film item from context alone.</w:t>
      </w:r>
    </w:p>
    <w:p>
      <w:pPr>
        <w:pStyle w:val="BodyText"/>
      </w:pPr>
      <w:r>
        <w:t xml:space="preserve">The predicted contrast follows from the bidirectional item-context loop.</w:t>
      </w:r>
      <w:r>
        <w:t xml:space="preserve"> </w:t>
      </w:r>
      <w:r>
        <w:t xml:space="preserve">When the test begins from context, film and task items compete according to their context-to-feature support.</w:t>
      </w:r>
      <w:r>
        <w:t xml:space="preserve"> </w:t>
      </w:r>
      <w:r>
        <w:t xml:space="preserve">When the test supplies an item, the item-to-context pathway is engaged first, so performance can be less sensitive to whether a film item would have won an unguided context-to-item competition.</w:t>
      </w:r>
      <w:r>
        <w:t xml:space="preserve"> </w:t>
      </w:r>
      <w:r>
        <w:t xml:space="preserve">This provides a test-format consequence of the same mechanism examined in Simulation 3, without assuming a separate recognition decision model.</w:t>
      </w:r>
    </w:p>
    <w:bookmarkStart w:id="80" w:name="fig-simulation4-test-format-schematic"/>
    <w:p>
      <w:pPr>
        <w:pStyle w:val="FigureTitle"/>
      </w:pPr>
      <w:r>
        <w:t xml:space="preserve">Figure 6</w:t>
      </w:r>
    </w:p>
    <w:p>
      <w:pPr>
        <w:pStyle w:val="Caption"/>
      </w:pPr>
      <w:r>
        <w:rPr>
          <w:b/>
          <w:bCs/>
        </w:rPr>
        <w:t xml:space="preserve">Retrieval format changes where interference can enter.</w:t>
      </w:r>
      <w:r>
        <w:t xml:space="preserve"> </w:t>
      </w:r>
      <w:r>
        <w:t xml:space="preserve">Simulation 4 distinguishes context-guided retrieval from supplied-item retrieval.</w:t>
      </w:r>
      <w:r>
        <w:t xml:space="preserve"> </w:t>
      </w:r>
      <w:r>
        <w:rPr>
          <w:b/>
          <w:bCs/>
        </w:rPr>
        <w:t xml:space="preserve">(A)</w:t>
      </w:r>
      <w:r>
        <w:t xml:space="preserve"> </w:t>
      </w:r>
      <w:r>
        <w:t xml:space="preserve">When retrieval begins from context, the same context state can cue multiple candidates; task items therefore compete with film items when both have been encoded in overlapping contexts.</w:t>
      </w:r>
      <w:r>
        <w:t xml:space="preserve"> </w:t>
      </w:r>
      <w:r>
        <w:t xml:space="preserve">When retrieval begins from a supplied film item, the item reinstates its associated context instead, so the task item is not an equivalent competitor at the point of access.</w:t>
      </w:r>
      <w:r>
        <w:t xml:space="preserve"> </w:t>
      </w:r>
      <w:r>
        <w:rPr>
          <w:b/>
          <w:bCs/>
        </w:rPr>
        <w:t xml:space="preserve">(B)</w:t>
      </w:r>
      <w:r>
        <w:t xml:space="preserve"> </w:t>
      </w:r>
      <w:r>
        <w:t xml:space="preserve">In CMR, this asymmetry corresponds to two retrieval directions: context-to-feature associations cue candidate items, whereas feature-to-context associations reinstate context from a supplied item.</w:t>
      </w:r>
      <w:r>
        <w:t xml:space="preserve"> </w:t>
      </w:r>
      <w:r>
        <w:t xml:space="preserve">Simulation 4 uses this distinction to ask why item-cued or recognition-like tests may show preserved access even when context-guided recall is sensitive to interference.</w:t>
      </w:r>
    </w:p>
    <w:p>
      <w:pPr>
        <w:pStyle w:val="FigureWithoutNote"/>
      </w:pPr>
      <w:r>
        <w:drawing>
          <wp:inline>
            <wp:extent cx="5943600" cy="2773680"/>
            <wp:effectExtent b="0" l="0" r="0" t="0"/>
            <wp:docPr descr="" title="" id="78" name="Picture"/>
            <a:graphic>
              <a:graphicData uri="http://schemas.openxmlformats.org/drawingml/2006/picture">
                <pic:pic>
                  <pic:nvPicPr>
                    <pic:cNvPr descr="figures/simulation4_test_format_schematic.png" id="79" name="Picture"/>
                    <pic:cNvPicPr>
                      <a:picLocks noChangeArrowheads="1" noChangeAspect="1"/>
                    </pic:cNvPicPr>
                  </pic:nvPicPr>
                  <pic:blipFill>
                    <a:blip r:embed="rId77"/>
                    <a:stretch>
                      <a:fillRect/>
                    </a:stretch>
                  </pic:blipFill>
                  <pic:spPr bwMode="auto">
                    <a:xfrm>
                      <a:off x="0" y="0"/>
                      <a:ext cx="5943600" cy="2773680"/>
                    </a:xfrm>
                    <a:prstGeom prst="rect">
                      <a:avLst/>
                    </a:prstGeom>
                    <a:noFill/>
                    <a:ln w="9525">
                      <a:noFill/>
                      <a:headEnd/>
                      <a:tailEnd/>
                    </a:ln>
                  </pic:spPr>
                </pic:pic>
              </a:graphicData>
            </a:graphic>
          </wp:inline>
        </w:drawing>
      </w:r>
    </w:p>
    <w:bookmarkEnd w:id="80"/>
    <w:bookmarkEnd w:id="81"/>
    <w:bookmarkStart w:id="82" w:name="X3bccd27e2ac34ffe83600109912b9a30086b735"/>
    <w:p>
      <w:pPr>
        <w:pStyle w:val="Heading2"/>
      </w:pPr>
      <w:r>
        <w:t xml:space="preserve">Simulation 5: Task Specificity and Source-Context Overlap</w:t>
      </w:r>
    </w:p>
    <w:p>
      <w:pPr>
        <w:pStyle w:val="FirstParagraph"/>
      </w:pPr>
      <w:r>
        <w:t xml:space="preserve">Simulation 5 turns to task specificity.</w:t>
      </w:r>
      <w:r>
        <w:t xml:space="preserve"> </w:t>
      </w:r>
      <w:r>
        <w:t xml:space="preserve">In the model,</w:t>
      </w:r>
      <w:r>
        <w:t xml:space="preserve"> </w:t>
      </w:r>
      <w:r>
        <w:t xml:space="preserve">“visuospatial”</w:t>
      </w:r>
      <w:r>
        <w:t xml:space="preserve"> </w:t>
      </w:r>
      <w:r>
        <w:t xml:space="preserve">and</w:t>
      </w:r>
      <w:r>
        <w:t xml:space="preserve"> </w:t>
      </w:r>
      <w:r>
        <w:t xml:space="preserve">“comparison”</w:t>
      </w:r>
      <w:r>
        <w:t xml:space="preserve"> </w:t>
      </w:r>
      <w:r>
        <w:t xml:space="preserve">are not primitive task labels.</w:t>
      </w:r>
      <w:r>
        <w:t xml:space="preserve"> </w:t>
      </w:r>
      <w:r>
        <w:t xml:space="preserve">A post-film task becomes effective when its items are strong competitors, when they are encoded in temporal-context states that overlap with the film trajectory, or when they share a source-context state with film items.</w:t>
      </w:r>
      <w:r>
        <w:t xml:space="preserve"> </w:t>
      </w:r>
      <w:r>
        <w:t xml:space="preserve">These factors can vary independently, so a task label is interpretable only through its consequences for competitor strength and contextual overlap.</w:t>
      </w:r>
    </w:p>
    <w:p>
      <w:pPr>
        <w:pStyle w:val="BodyText"/>
      </w:pPr>
      <w:r>
        <w:t xml:space="preserve">The task-specificity simulations therefore decompose three candidate routes to interference.</w:t>
      </w:r>
      <w:r>
        <w:t xml:space="preserve"> </w:t>
      </w:r>
      <w:r>
        <w:t xml:space="preserve">Increasing task learning changes how strongly task items win once cued.</w:t>
      </w:r>
      <w:r>
        <w:t xml:space="preserve"> </w:t>
      </w:r>
      <w:r>
        <w:t xml:space="preserve">Changing temporal overlap alters whether task items are cued alongside film items.</w:t>
      </w:r>
      <w:r>
        <w:t xml:space="preserve"> </w:t>
      </w:r>
      <w:r>
        <w:t xml:space="preserve">Changing source-context overlap tests whether non-temporal source matching can amplify competition beyond temporal proximity alone.</w:t>
      </w:r>
      <w:r>
        <w:t xml:space="preserve"> </w:t>
      </w:r>
      <w:r>
        <w:t xml:space="preserve">The predicted behavioral readouts are film-item access, task-competitor retrieval, and the phase-resolved distribution of recall across the encoded stream.</w:t>
      </w:r>
    </w:p>
    <w:bookmarkEnd w:id="82"/>
    <w:bookmarkEnd w:id="83"/>
    <w:bookmarkStart w:id="84" w:name="general-discussion"/>
    <w:p>
      <w:pPr>
        <w:pStyle w:val="Heading1"/>
      </w:pPr>
      <w:r>
        <w:t xml:space="preserve">General Discussion</w:t>
      </w:r>
    </w:p>
    <w:bookmarkEnd w:id="84"/>
    <w:bookmarkStart w:id="153" w:name="references"/>
    <w:p>
      <w:pPr>
        <w:pStyle w:val="Heading1"/>
      </w:pPr>
      <w:r>
        <w:t xml:space="preserve">References</w:t>
      </w:r>
    </w:p>
    <w:bookmarkStart w:id="152" w:name="refs"/>
    <w:bookmarkStart w:id="8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85">
        <w:r>
          <w:rPr>
            <w:rStyle w:val="Hyperlink"/>
          </w:rPr>
          <w:t xml:space="preserve">https://doi.org/10.1016/j.jpsychires.2023.01.028</w:t>
        </w:r>
      </w:hyperlink>
    </w:p>
    <w:bookmarkEnd w:id="86"/>
    <w:bookmarkStart w:id="88"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87">
        <w:r>
          <w:rPr>
            <w:rStyle w:val="Hyperlink"/>
          </w:rPr>
          <w:t xml:space="preserve">https://doi.org/10.1037/a0033722</w:t>
        </w:r>
      </w:hyperlink>
    </w:p>
    <w:bookmarkEnd w:id="88"/>
    <w:bookmarkStart w:id="90"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89">
        <w:r>
          <w:rPr>
            <w:rStyle w:val="Hyperlink"/>
          </w:rPr>
          <w:t xml:space="preserve">https://doi.org/10.1037/0033-295X.103.4.670</w:t>
        </w:r>
      </w:hyperlink>
    </w:p>
    <w:bookmarkEnd w:id="90"/>
    <w:bookmarkStart w:id="92"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91">
        <w:r>
          <w:rPr>
            <w:rStyle w:val="Hyperlink"/>
          </w:rPr>
          <w:t xml:space="preserve">https://doi.org/10.1037/a0018113</w:t>
        </w:r>
      </w:hyperlink>
    </w:p>
    <w:bookmarkEnd w:id="92"/>
    <w:bookmarkStart w:id="9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93">
        <w:r>
          <w:rPr>
            <w:rStyle w:val="Hyperlink"/>
          </w:rPr>
          <w:t xml:space="preserve">https://doi.org/10.1037/rev0000334</w:t>
        </w:r>
      </w:hyperlink>
    </w:p>
    <w:bookmarkEnd w:id="94"/>
    <w:bookmarkStart w:id="9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95">
        <w:r>
          <w:rPr>
            <w:rStyle w:val="Hyperlink"/>
          </w:rPr>
          <w:t xml:space="preserve">https://doi.org/10.1016/j.jbtep.2011.10.008</w:t>
        </w:r>
      </w:hyperlink>
    </w:p>
    <w:bookmarkEnd w:id="96"/>
    <w:bookmarkStart w:id="9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97"/>
    <w:bookmarkStart w:id="9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98">
        <w:r>
          <w:rPr>
            <w:rStyle w:val="Hyperlink"/>
          </w:rPr>
          <w:t xml:space="preserve">https://doi.org/10.1016/S0005-7967(99)00123-0</w:t>
        </w:r>
      </w:hyperlink>
    </w:p>
    <w:bookmarkEnd w:id="99"/>
    <w:bookmarkStart w:id="10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00">
        <w:r>
          <w:rPr>
            <w:rStyle w:val="Hyperlink"/>
          </w:rPr>
          <w:t xml:space="preserve">https://doi.org/10.1016/j.actpsy.2007.11.002</w:t>
        </w:r>
      </w:hyperlink>
    </w:p>
    <w:bookmarkEnd w:id="101"/>
    <w:bookmarkStart w:id="10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02">
        <w:r>
          <w:rPr>
            <w:rStyle w:val="Hyperlink"/>
          </w:rPr>
          <w:t xml:space="preserve">https://doi.org/10.1037/0096-3445.133.1.3</w:t>
        </w:r>
      </w:hyperlink>
    </w:p>
    <w:bookmarkEnd w:id="103"/>
    <w:bookmarkStart w:id="10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04">
        <w:r>
          <w:rPr>
            <w:rStyle w:val="Hyperlink"/>
          </w:rPr>
          <w:t xml:space="preserve">https://doi.org/10.1371/journal.pone.0004153</w:t>
        </w:r>
      </w:hyperlink>
    </w:p>
    <w:bookmarkEnd w:id="105"/>
    <w:bookmarkStart w:id="10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06">
        <w:r>
          <w:rPr>
            <w:rStyle w:val="Hyperlink"/>
          </w:rPr>
          <w:t xml:space="preserve">https://doi.org/10.1371/journal.pone.0013706</w:t>
        </w:r>
      </w:hyperlink>
    </w:p>
    <w:bookmarkEnd w:id="107"/>
    <w:bookmarkStart w:id="10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08">
        <w:r>
          <w:rPr>
            <w:rStyle w:val="Hyperlink"/>
          </w:rPr>
          <w:t xml:space="preserve">https://doi.org/10.1016/j.brat.2017.03.018</w:t>
        </w:r>
      </w:hyperlink>
    </w:p>
    <w:bookmarkEnd w:id="109"/>
    <w:bookmarkStart w:id="111"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10">
        <w:r>
          <w:rPr>
            <w:rStyle w:val="Hyperlink"/>
          </w:rPr>
          <w:t xml:space="preserve">https://doi.org/10.1006/jmps.2001.1388</w:t>
        </w:r>
      </w:hyperlink>
    </w:p>
    <w:bookmarkEnd w:id="111"/>
    <w:bookmarkStart w:id="112"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12"/>
    <w:bookmarkStart w:id="114"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13">
        <w:r>
          <w:rPr>
            <w:rStyle w:val="Hyperlink"/>
          </w:rPr>
          <w:t xml:space="preserve">https://doi.org/10.1038/mp.2017.23</w:t>
        </w:r>
      </w:hyperlink>
    </w:p>
    <w:bookmarkEnd w:id="114"/>
    <w:bookmarkStart w:id="11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15">
        <w:r>
          <w:rPr>
            <w:rStyle w:val="Hyperlink"/>
          </w:rPr>
          <w:t xml:space="preserve">https://doi.org/10.1016/j.cpr.2018.08.005</w:t>
        </w:r>
      </w:hyperlink>
    </w:p>
    <w:bookmarkEnd w:id="116"/>
    <w:bookmarkStart w:id="11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17">
        <w:r>
          <w:rPr>
            <w:rStyle w:val="Hyperlink"/>
          </w:rPr>
          <w:t xml:space="preserve">https://doi.org/10.1177/0956797615583071</w:t>
        </w:r>
      </w:hyperlink>
    </w:p>
    <w:bookmarkEnd w:id="118"/>
    <w:bookmarkStart w:id="12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19">
        <w:r>
          <w:rPr>
            <w:rStyle w:val="Hyperlink"/>
          </w:rPr>
          <w:t xml:space="preserve">https://doi.org/10.1016/j.cpr.2016.04.010</w:t>
        </w:r>
      </w:hyperlink>
    </w:p>
    <w:bookmarkEnd w:id="120"/>
    <w:bookmarkStart w:id="12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21"/>
    <w:bookmarkStart w:id="123"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22">
        <w:r>
          <w:rPr>
            <w:rStyle w:val="Hyperlink"/>
          </w:rPr>
          <w:t xml:space="preserve">https://doi.org/10.1002/cpp.2489</w:t>
        </w:r>
      </w:hyperlink>
    </w:p>
    <w:bookmarkEnd w:id="123"/>
    <w:bookmarkStart w:id="12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24">
        <w:r>
          <w:rPr>
            <w:rStyle w:val="Hyperlink"/>
          </w:rPr>
          <w:t xml:space="preserve">https://doi.org/10.1016/j.jbtep.2019.01.006</w:t>
        </w:r>
      </w:hyperlink>
    </w:p>
    <w:bookmarkEnd w:id="125"/>
    <w:bookmarkStart w:id="12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26">
        <w:r>
          <w:rPr>
            <w:rStyle w:val="Hyperlink"/>
          </w:rPr>
          <w:t xml:space="preserve">https://doi.org/10.1038/nn.2271</w:t>
        </w:r>
      </w:hyperlink>
    </w:p>
    <w:bookmarkEnd w:id="127"/>
    <w:bookmarkStart w:id="129"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28">
        <w:r>
          <w:rPr>
            <w:rStyle w:val="Hyperlink"/>
          </w:rPr>
          <w:t xml:space="preserve">https://doi.org/10.1002/acp.1611</w:t>
        </w:r>
      </w:hyperlink>
    </w:p>
    <w:bookmarkEnd w:id="129"/>
    <w:bookmarkStart w:id="131"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30">
        <w:r>
          <w:rPr>
            <w:rStyle w:val="Hyperlink"/>
          </w:rPr>
          <w:t xml:space="preserve">https://doi.org/10.1037/xge0000598</w:t>
        </w:r>
      </w:hyperlink>
    </w:p>
    <w:bookmarkEnd w:id="131"/>
    <w:bookmarkStart w:id="133"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32">
        <w:r>
          <w:rPr>
            <w:rStyle w:val="Hyperlink"/>
          </w:rPr>
          <w:t xml:space="preserve">https://doi.org/10.1177/2167702621998315</w:t>
        </w:r>
      </w:hyperlink>
    </w:p>
    <w:bookmarkEnd w:id="133"/>
    <w:bookmarkStart w:id="135"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34">
        <w:r>
          <w:rPr>
            <w:rStyle w:val="Hyperlink"/>
          </w:rPr>
          <w:t xml:space="preserve">https://doi.org/10.1037/a0039036</w:t>
        </w:r>
      </w:hyperlink>
    </w:p>
    <w:bookmarkEnd w:id="135"/>
    <w:bookmarkStart w:id="13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36">
        <w:r>
          <w:rPr>
            <w:rStyle w:val="Hyperlink"/>
          </w:rPr>
          <w:t xml:space="preserve">https://doi.org/10.1037/a0014420</w:t>
        </w:r>
      </w:hyperlink>
    </w:p>
    <w:bookmarkEnd w:id="137"/>
    <w:bookmarkStart w:id="13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38">
        <w:r>
          <w:rPr>
            <w:rStyle w:val="Hyperlink"/>
          </w:rPr>
          <w:t xml:space="preserve">https://doi.org/10.1016/j.neuropsychologia.2009.02.013</w:t>
        </w:r>
      </w:hyperlink>
    </w:p>
    <w:bookmarkEnd w:id="139"/>
    <w:bookmarkStart w:id="141"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40">
        <w:r>
          <w:rPr>
            <w:rStyle w:val="Hyperlink"/>
          </w:rPr>
          <w:t xml:space="preserve">https://doi.org/10.3758/s13423-011-0086-9</w:t>
        </w:r>
      </w:hyperlink>
    </w:p>
    <w:bookmarkEnd w:id="141"/>
    <w:bookmarkStart w:id="14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42">
        <w:r>
          <w:rPr>
            <w:rStyle w:val="Hyperlink"/>
          </w:rPr>
          <w:t xml:space="preserve">https://doi.org/10.1037/a0013396</w:t>
        </w:r>
      </w:hyperlink>
    </w:p>
    <w:bookmarkEnd w:id="143"/>
    <w:bookmarkStart w:id="145"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44">
        <w:r>
          <w:rPr>
            <w:rStyle w:val="Hyperlink"/>
          </w:rPr>
          <w:t xml:space="preserve">https://doi.org/10.1037/rev0000132</w:t>
        </w:r>
      </w:hyperlink>
    </w:p>
    <w:bookmarkEnd w:id="145"/>
    <w:bookmarkStart w:id="14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146">
        <w:r>
          <w:rPr>
            <w:rStyle w:val="Hyperlink"/>
          </w:rPr>
          <w:t xml:space="preserve">https://doi.org/10.1038/s41562-024-01956-y</w:t>
        </w:r>
      </w:hyperlink>
    </w:p>
    <w:bookmarkEnd w:id="147"/>
    <w:bookmarkStart w:id="14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148">
        <w:r>
          <w:rPr>
            <w:rStyle w:val="Hyperlink"/>
          </w:rPr>
          <w:t xml:space="preserve">https://doi.org/10.1525/collabra.130791</w:t>
        </w:r>
      </w:hyperlink>
    </w:p>
    <w:bookmarkEnd w:id="149"/>
    <w:bookmarkStart w:id="15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150">
        <w:r>
          <w:rPr>
            <w:rStyle w:val="Hyperlink"/>
          </w:rPr>
          <w:t xml:space="preserve">https://doi.org/10.1037/0278-7393.32.4.792</w:t>
        </w:r>
      </w:hyperlink>
    </w:p>
    <w:bookmarkEnd w:id="151"/>
    <w:bookmarkEnd w:id="152"/>
    <w:bookmarkEnd w:id="15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25" Target="media/rId25.png" /><Relationship Type="http://schemas.openxmlformats.org/officeDocument/2006/relationships/hyperlink" Id="rId128" Target="https://doi.org/10.1002/acp.1611" TargetMode="External" /><Relationship Type="http://schemas.openxmlformats.org/officeDocument/2006/relationships/hyperlink" Id="rId122" Target="https://doi.org/10.1002/cpp.2489" TargetMode="External" /><Relationship Type="http://schemas.openxmlformats.org/officeDocument/2006/relationships/hyperlink" Id="rId110" Target="https://doi.org/10.1006/jmps.2001.1388" TargetMode="External" /><Relationship Type="http://schemas.openxmlformats.org/officeDocument/2006/relationships/hyperlink" Id="rId98" Target="https://doi.org/10.1016/S0005-7967(99)00123-0" TargetMode="External" /><Relationship Type="http://schemas.openxmlformats.org/officeDocument/2006/relationships/hyperlink" Id="rId100" Target="https://doi.org/10.1016/j.actpsy.2007.11.002" TargetMode="External" /><Relationship Type="http://schemas.openxmlformats.org/officeDocument/2006/relationships/hyperlink" Id="rId108" Target="https://doi.org/10.1016/j.brat.2017.03.018" TargetMode="External" /><Relationship Type="http://schemas.openxmlformats.org/officeDocument/2006/relationships/hyperlink" Id="rId119" Target="https://doi.org/10.1016/j.cpr.2016.04.010" TargetMode="External" /><Relationship Type="http://schemas.openxmlformats.org/officeDocument/2006/relationships/hyperlink" Id="rId115" Target="https://doi.org/10.1016/j.cpr.2018.08.005" TargetMode="External" /><Relationship Type="http://schemas.openxmlformats.org/officeDocument/2006/relationships/hyperlink" Id="rId95" Target="https://doi.org/10.1016/j.jbtep.2011.10.008" TargetMode="External" /><Relationship Type="http://schemas.openxmlformats.org/officeDocument/2006/relationships/hyperlink" Id="rId124" Target="https://doi.org/10.1016/j.jbtep.2019.01.006" TargetMode="External" /><Relationship Type="http://schemas.openxmlformats.org/officeDocument/2006/relationships/hyperlink" Id="rId85" Target="https://doi.org/10.1016/j.jpsychires.2023.01.028" TargetMode="External" /><Relationship Type="http://schemas.openxmlformats.org/officeDocument/2006/relationships/hyperlink" Id="rId138" Target="https://doi.org/10.1016/j.neuropsychologia.2009.02.013" TargetMode="External" /><Relationship Type="http://schemas.openxmlformats.org/officeDocument/2006/relationships/hyperlink" Id="rId89" Target="https://doi.org/10.1037/0033-295X.103.4.670" TargetMode="External" /><Relationship Type="http://schemas.openxmlformats.org/officeDocument/2006/relationships/hyperlink" Id="rId102" Target="https://doi.org/10.1037/0096-3445.133.1.3" TargetMode="External" /><Relationship Type="http://schemas.openxmlformats.org/officeDocument/2006/relationships/hyperlink" Id="rId150" Target="https://doi.org/10.1037/0278-7393.32.4.792" TargetMode="External" /><Relationship Type="http://schemas.openxmlformats.org/officeDocument/2006/relationships/hyperlink" Id="rId142" Target="https://doi.org/10.1037/a0013396" TargetMode="External" /><Relationship Type="http://schemas.openxmlformats.org/officeDocument/2006/relationships/hyperlink" Id="rId136" Target="https://doi.org/10.1037/a0014420" TargetMode="External" /><Relationship Type="http://schemas.openxmlformats.org/officeDocument/2006/relationships/hyperlink" Id="rId91" Target="https://doi.org/10.1037/a0018113" TargetMode="External" /><Relationship Type="http://schemas.openxmlformats.org/officeDocument/2006/relationships/hyperlink" Id="rId87" Target="https://doi.org/10.1037/a0033722" TargetMode="External" /><Relationship Type="http://schemas.openxmlformats.org/officeDocument/2006/relationships/hyperlink" Id="rId134" Target="https://doi.org/10.1037/a0039036" TargetMode="External" /><Relationship Type="http://schemas.openxmlformats.org/officeDocument/2006/relationships/hyperlink" Id="rId144" Target="https://doi.org/10.1037/rev0000132" TargetMode="External" /><Relationship Type="http://schemas.openxmlformats.org/officeDocument/2006/relationships/hyperlink" Id="rId93" Target="https://doi.org/10.1037/rev0000334" TargetMode="External" /><Relationship Type="http://schemas.openxmlformats.org/officeDocument/2006/relationships/hyperlink" Id="rId130" Target="https://doi.org/10.1037/xge0000598" TargetMode="External" /><Relationship Type="http://schemas.openxmlformats.org/officeDocument/2006/relationships/hyperlink" Id="rId113" Target="https://doi.org/10.1038/mp.2017.23" TargetMode="External" /><Relationship Type="http://schemas.openxmlformats.org/officeDocument/2006/relationships/hyperlink" Id="rId126" Target="https://doi.org/10.1038/nn.2271" TargetMode="External" /><Relationship Type="http://schemas.openxmlformats.org/officeDocument/2006/relationships/hyperlink" Id="rId146" Target="https://doi.org/10.1038/s41562-024-01956-y" TargetMode="External" /><Relationship Type="http://schemas.openxmlformats.org/officeDocument/2006/relationships/hyperlink" Id="rId117" Target="https://doi.org/10.1177/0956797615583071" TargetMode="External" /><Relationship Type="http://schemas.openxmlformats.org/officeDocument/2006/relationships/hyperlink" Id="rId132" Target="https://doi.org/10.1177/2167702621998315" TargetMode="External" /><Relationship Type="http://schemas.openxmlformats.org/officeDocument/2006/relationships/hyperlink" Id="rId104" Target="https://doi.org/10.1371/journal.pone.0004153" TargetMode="External" /><Relationship Type="http://schemas.openxmlformats.org/officeDocument/2006/relationships/hyperlink" Id="rId106" Target="https://doi.org/10.1371/journal.pone.0013706" TargetMode="External" /><Relationship Type="http://schemas.openxmlformats.org/officeDocument/2006/relationships/hyperlink" Id="rId148" Target="https://doi.org/10.1525/collabra.130791" TargetMode="External" /><Relationship Type="http://schemas.openxmlformats.org/officeDocument/2006/relationships/hyperlink" Id="rId140" Target="https://doi.org/10.3758/s13423-011-0086-9"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2/acp.1611" TargetMode="External" /><Relationship Type="http://schemas.openxmlformats.org/officeDocument/2006/relationships/hyperlink" Id="rId122" Target="https://doi.org/10.1002/cpp.2489" TargetMode="External" /><Relationship Type="http://schemas.openxmlformats.org/officeDocument/2006/relationships/hyperlink" Id="rId110" Target="https://doi.org/10.1006/jmps.2001.1388" TargetMode="External" /><Relationship Type="http://schemas.openxmlformats.org/officeDocument/2006/relationships/hyperlink" Id="rId98" Target="https://doi.org/10.1016/S0005-7967(99)00123-0" TargetMode="External" /><Relationship Type="http://schemas.openxmlformats.org/officeDocument/2006/relationships/hyperlink" Id="rId100" Target="https://doi.org/10.1016/j.actpsy.2007.11.002" TargetMode="External" /><Relationship Type="http://schemas.openxmlformats.org/officeDocument/2006/relationships/hyperlink" Id="rId108" Target="https://doi.org/10.1016/j.brat.2017.03.018" TargetMode="External" /><Relationship Type="http://schemas.openxmlformats.org/officeDocument/2006/relationships/hyperlink" Id="rId119" Target="https://doi.org/10.1016/j.cpr.2016.04.010" TargetMode="External" /><Relationship Type="http://schemas.openxmlformats.org/officeDocument/2006/relationships/hyperlink" Id="rId115" Target="https://doi.org/10.1016/j.cpr.2018.08.005" TargetMode="External" /><Relationship Type="http://schemas.openxmlformats.org/officeDocument/2006/relationships/hyperlink" Id="rId95" Target="https://doi.org/10.1016/j.jbtep.2011.10.008" TargetMode="External" /><Relationship Type="http://schemas.openxmlformats.org/officeDocument/2006/relationships/hyperlink" Id="rId124" Target="https://doi.org/10.1016/j.jbtep.2019.01.006" TargetMode="External" /><Relationship Type="http://schemas.openxmlformats.org/officeDocument/2006/relationships/hyperlink" Id="rId85" Target="https://doi.org/10.1016/j.jpsychires.2023.01.028" TargetMode="External" /><Relationship Type="http://schemas.openxmlformats.org/officeDocument/2006/relationships/hyperlink" Id="rId138" Target="https://doi.org/10.1016/j.neuropsychologia.2009.02.013" TargetMode="External" /><Relationship Type="http://schemas.openxmlformats.org/officeDocument/2006/relationships/hyperlink" Id="rId89" Target="https://doi.org/10.1037/0033-295X.103.4.670" TargetMode="External" /><Relationship Type="http://schemas.openxmlformats.org/officeDocument/2006/relationships/hyperlink" Id="rId102" Target="https://doi.org/10.1037/0096-3445.133.1.3" TargetMode="External" /><Relationship Type="http://schemas.openxmlformats.org/officeDocument/2006/relationships/hyperlink" Id="rId150" Target="https://doi.org/10.1037/0278-7393.32.4.792" TargetMode="External" /><Relationship Type="http://schemas.openxmlformats.org/officeDocument/2006/relationships/hyperlink" Id="rId142" Target="https://doi.org/10.1037/a0013396" TargetMode="External" /><Relationship Type="http://schemas.openxmlformats.org/officeDocument/2006/relationships/hyperlink" Id="rId136" Target="https://doi.org/10.1037/a0014420" TargetMode="External" /><Relationship Type="http://schemas.openxmlformats.org/officeDocument/2006/relationships/hyperlink" Id="rId91" Target="https://doi.org/10.1037/a0018113" TargetMode="External" /><Relationship Type="http://schemas.openxmlformats.org/officeDocument/2006/relationships/hyperlink" Id="rId87" Target="https://doi.org/10.1037/a0033722" TargetMode="External" /><Relationship Type="http://schemas.openxmlformats.org/officeDocument/2006/relationships/hyperlink" Id="rId134" Target="https://doi.org/10.1037/a0039036" TargetMode="External" /><Relationship Type="http://schemas.openxmlformats.org/officeDocument/2006/relationships/hyperlink" Id="rId144" Target="https://doi.org/10.1037/rev0000132" TargetMode="External" /><Relationship Type="http://schemas.openxmlformats.org/officeDocument/2006/relationships/hyperlink" Id="rId93" Target="https://doi.org/10.1037/rev0000334" TargetMode="External" /><Relationship Type="http://schemas.openxmlformats.org/officeDocument/2006/relationships/hyperlink" Id="rId130" Target="https://doi.org/10.1037/xge0000598" TargetMode="External" /><Relationship Type="http://schemas.openxmlformats.org/officeDocument/2006/relationships/hyperlink" Id="rId113" Target="https://doi.org/10.1038/mp.2017.23" TargetMode="External" /><Relationship Type="http://schemas.openxmlformats.org/officeDocument/2006/relationships/hyperlink" Id="rId126" Target="https://doi.org/10.1038/nn.2271" TargetMode="External" /><Relationship Type="http://schemas.openxmlformats.org/officeDocument/2006/relationships/hyperlink" Id="rId146" Target="https://doi.org/10.1038/s41562-024-01956-y" TargetMode="External" /><Relationship Type="http://schemas.openxmlformats.org/officeDocument/2006/relationships/hyperlink" Id="rId117" Target="https://doi.org/10.1177/0956797615583071" TargetMode="External" /><Relationship Type="http://schemas.openxmlformats.org/officeDocument/2006/relationships/hyperlink" Id="rId132" Target="https://doi.org/10.1177/2167702621998315" TargetMode="External" /><Relationship Type="http://schemas.openxmlformats.org/officeDocument/2006/relationships/hyperlink" Id="rId104" Target="https://doi.org/10.1371/journal.pone.0004153" TargetMode="External" /><Relationship Type="http://schemas.openxmlformats.org/officeDocument/2006/relationships/hyperlink" Id="rId106" Target="https://doi.org/10.1371/journal.pone.0013706" TargetMode="External" /><Relationship Type="http://schemas.openxmlformats.org/officeDocument/2006/relationships/hyperlink" Id="rId148" Target="https://doi.org/10.1525/collabra.130791" TargetMode="External" /><Relationship Type="http://schemas.openxmlformats.org/officeDocument/2006/relationships/hyperlink" Id="rId140" Target="https://doi.org/10.3758/s13423-011-00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INTRUSIVE AND VOLUNTARY MEMORY FROM A SINGLE SYSTEM</dc:description>
  <cp:keywords>intrusive memories, voluntary memory, trauma-film paradigm, visuospatial intervention, selective interference, retrieved-context theory, computational modeling</cp:keywords>
  <dcterms:created xsi:type="dcterms:W3CDTF">2026-05-26T11:26:00Z</dcterms:created>
  <dcterms:modified xsi:type="dcterms:W3CDTF">2026-05-26T11:26:00Z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Intrusive and Voluntary Memory from a Single System: A Retrieved-Context Account of Selective Interference</vt:lpwstr>
  </property>
  <property fmtid="{D5CDD505-2E9C-101B-9397-08002B2CF9AE}" pid="6" name="apatitledisplay">
    <vt:lpwstr>Intrusive and Voluntary Memory from a Single System: A Retrieved-Context Account of Selective Interference</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INTRUSIVE AND VOLUNTARY MEMORY FROM A SINGLE SYSTEM</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