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6.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context reinstatement, competitor encoding, and retrieval control produce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When later retrieval contexts cue both film items and task competitors, film items are less likely to be sampled during unguided retrieval, reducing intrusions even though film-item strength is not reduced.</w:t>
      </w:r>
      <w:r>
        <w:t xml:space="preserve"> </w:t>
      </w:r>
      <w:r>
        <w:t xml:space="preserve">Deliberate recall is less vulnerable when task goals provide a film-directed start cue and selection favors film items over competitors; externally supplied film-related cues can also steer access toward film context across test formats.</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Related post-reminder studies show that a reminder-plus-Tetris procedure can reduce later intrusions after a longer delay</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family of interpretations treats the selective interference effect as evidence that the memory underlying intrusions is more vulnerable to interference than the memory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compete with consolidation of the sensory or intrusion-supporting trace, reducing later intrusions while leaving the contextual trace and voluntary memory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in an emotional Context Maintenance and Retrieval model</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CMR extends this framework by representing context-to-item and item-to-context associations across temporal, semantic, and source/contextual dimensions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Control over memory search enters the framework in two related ways: start-of-recall context reinstatement can bias retrieval toward a target episode, while monitoring mechanisms can reject candidates that poorly match a target context</w:t>
      </w:r>
      <w:r>
        <w:t xml:space="preserve"> </w:t>
      </w:r>
      <w:r>
        <w:t xml:space="preserve">(</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(i.e., eCMR and CMR3) add emotional context and emotion-dependent binding, allowing retrieved-context models to capture how affective content shapes recall organization, emotional intrusions, and intentional access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commitments make the framework a principled setting for testing whether selective interference can arise within a single affectively-modulated episodic-memory system.</w:t>
      </w:r>
    </w:p>
    <w:p>
      <w:pPr>
        <w:pStyle w:val="BodyText"/>
      </w:pPr>
      <w:r>
        <w:t xml:space="preserve">For selective interference, our model treats the film,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Post-film or post-reminder activity can therefore encode task items in context states similar to film-associated context states, including states reinstated by reminders.</w:t>
      </w:r>
      <w:r>
        <w:t xml:space="preserve"> </w:t>
      </w:r>
      <w:r>
        <w:t xml:space="preserve">At retrieval, the current context state cues memory search, so competition depends on how strongly film items and task items are associated with similar context states.</w:t>
      </w:r>
      <w:r>
        <w:t xml:space="preserve"> </w:t>
      </w:r>
      <w:r>
        <w:t xml:space="preserve">Deliberate recall can reduce vulnerability to this competition when retrieval begins from a more film-directed state and when selection favors film items over competitors.</w:t>
      </w:r>
      <w:r>
        <w:t xml:space="preserve"> </w:t>
      </w:r>
      <w:r>
        <w:t xml:space="preserve">The account therefore attributes the intrusion-voluntary-memory dissociation to retrieval modes and control settings applied to shared memory associations.</w:t>
      </w:r>
      <w:r>
        <w:t xml:space="preserve"> </w:t>
      </w:r>
      <w:r>
        <w:t xml:space="preserve">This reframes selective interference as a change in which competitors are cued by film-associated context states, rather than as reduced availability of film items after encoding or reminder reactivation.</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They first demonstrate the core selective-interference dissociation without separately vulnerable representations: an interference task can reduce unguided retrieval more than deliberate recall, even though the same stored film episode supports both.</w:t>
      </w:r>
      <w:r>
        <w:t xml:space="preserve"> </w:t>
      </w:r>
      <w:r>
        <w:t xml:space="preserve">They then distinguish the control mechanisms that protect deliberate recall, showing how a more film-directed retrieval state and a sharper decision rule produce different patterns of impairment in both recall rates and recall organization.</w:t>
      </w:r>
      <w:r>
        <w:t xml:space="preserve"> </w:t>
      </w:r>
      <w:r>
        <w:t xml:space="preserve">The next simulations separate the contributions of task encoding strength and contextual overlap, clarifying when task items are cued alongside film items and when they become strong competitors for film retrieval.</w:t>
      </w:r>
      <w:r>
        <w:t xml:space="preserve"> </w:t>
      </w:r>
      <w:r>
        <w:t xml:space="preserve">They also apply the same overlap logic to delayed interference, asking whether reminder-driven reinstatement makes later task items competitors by returning encoding context toward the film.</w:t>
      </w:r>
      <w:r>
        <w:t xml:space="preserve"> </w:t>
      </w:r>
      <w:r>
        <w:t xml:space="preserve">Follow-up simulations use the same framework to interpret heterogeneity across empirical paradigms, including cue-embedded intrusion and recognition tasks</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They show that film-related cues during intrusion monitoring can narrow the intrusion-voluntary-memory dissociation by steering retrieval toward film context.</w:t>
      </w:r>
      <w:r>
        <w:t xml:space="preserve"> </w:t>
      </w:r>
      <w:r>
        <w:t xml:space="preserve">They also show that tests supplying a film item can be less vulnerable to interference, because the supplied item can reinstate its associated context instead of requiring retrieval to sample among film items and task competitors from a broad contextual cue.</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Retrieved-context account of selective interference.</w:t>
      </w:r>
      <w:r>
        <w:t xml:space="preserve"> </w:t>
      </w:r>
      <w:r>
        <w:t xml:space="preserve">The account explains selective interference through context overlap, task encoding strength, and retrieval control within a shared memory system.</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contextual overlap makes task items likely to be cued alongside film items, and task encoding strength determines how strongly they compete once cued.</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film-relevant context when they are encoded soon after the film, after a reminder has reinstated film-associated context, or under matching affective conditions.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task items are likely to be cued alongside film items; task encoding strength determines how strongly they compete once cued.</w:t>
      </w:r>
      <w:r>
        <w:t xml:space="preserve"> </w:t>
      </w:r>
      <w:r>
        <w:t xml:space="preserve">Emotional extensions of CMR represent affect as an additional 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model, this affective-context stream can amplify competition when film and task items share the relevant affective feature.</w:t>
      </w:r>
    </w:p>
    <w:p>
      <w:pPr>
        <w:pStyle w:val="BodyText"/>
      </w:pPr>
      <w:r>
        <w:t xml:space="preserve">Context-to-item retrieval uses the current context state to cue candidate items.</w:t>
      </w:r>
      <w:r>
        <w:t xml:space="preserve"> </w:t>
      </w:r>
      <w:r>
        <w:t xml:space="preserve">Here, unguided retrieval refers to broad context-to-item sampling with little film-directed guidance from task goals or external cues.</w:t>
      </w:r>
      <w:r>
        <w:t xml:space="preserve"> </w:t>
      </w:r>
      <w:r>
        <w:t xml:space="preserve">When a retrieval context resembles states associated with both film items and task items, the same cue supports both sets.</w:t>
      </w:r>
      <w:r>
        <w:t xml:space="preserve"> </w:t>
      </w:r>
      <w:r>
        <w:t xml:space="preserve">Such broad, weakly guided retrieval is especially vulnerable to this competition: as task competitors receive support, any given film item becomes less likely to be sampled as an intrusion.</w:t>
      </w:r>
      <w:r>
        <w:t xml:space="preserve"> </w:t>
      </w:r>
      <w:r>
        <w:t xml:space="preserve">The size of this effect depends on the number of competitors, their learned support, and the similarity between their associated temporal or affective context states and film context.</w:t>
      </w:r>
      <w:r>
        <w:t xml:space="preserve"> </w:t>
      </w:r>
      <w:r>
        <w:t xml:space="preserve">Perceptual modality contributes through those quantities: a visuospatial task is effective to the extent that it creates competitors with sufficient learned support or sufficiently similar 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is used before task encoding in studies that interpret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the same item-to-context pathway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p>
    <w:p>
      <w:pPr>
        <w:pStyle w:val="BodyText"/>
      </w:pPr>
      <w:r>
        <w:t xml:space="preserve">The same item-to-context pathway also matters at test.</w:t>
      </w:r>
      <w:r>
        <w:t xml:space="preserve"> </w:t>
      </w:r>
      <w:r>
        <w:t xml:space="preserve">During recall or monitoring, retrieved or presented items update context as retrieval unfolds.</w:t>
      </w:r>
      <w:r>
        <w:t xml:space="preserve"> </w:t>
      </w:r>
      <w:r>
        <w:t xml:space="preserve">Retrieving a film item pulls context toward film-associated states and can support additional film retrieval, whereas retrieving a task competitor pulls context toward task-associated states and can prolong competition.</w:t>
      </w:r>
      <w:r>
        <w:t xml:space="preserve"> </w:t>
      </w:r>
      <w:r>
        <w:t xml:space="preserve">Film-related cues supplied during test can likewise update context, making subsequent retrieval less dependent on internal cue maintenance.</w:t>
      </w:r>
      <w:r>
        <w:t xml:space="preserve"> </w:t>
      </w:r>
      <w:r>
        <w:t xml:space="preserve">Furthermore, retrieval tests that supply a film item can be less vulnerable to interference, because the supplied item can reinstate its associated context directly, sidestepping the problem of selecting between items associated with overlapping context states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protected only to the extent that retrieval control changes the search.</w:t>
      </w:r>
      <w:r>
        <w:t xml:space="preserve"> </w:t>
      </w:r>
      <w:r>
        <w:t xml:space="preserve">Deliberate recall using context-to-item retrieval remains exposed to competitor interference.</w:t>
      </w:r>
      <w:r>
        <w:t xml:space="preserve"> </w:t>
      </w:r>
      <w:r>
        <w:t xml:space="preserve">The first control lever is cue construction or start-state control, which reinstates film-associated context before recall and biases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endogenous film-directed control can reduce that loss relative to broad retrieval from ongoing context.</w:t>
      </w:r>
    </w:p>
    <w:p>
      <w:pPr>
        <w:pStyle w:val="BodyText"/>
      </w:pPr>
      <w:r>
        <w:t xml:space="preserve">The simulations instantiate these commitments in an emotional CMR model with phase-specific encoding, reminder-driven reinstatement, retrieval-mode and control settings, and affective overlap</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film, break/delay, post-film task, and filler/delay periods form a continuous encoded stream, and a film reminder can reinstate film-associated context before task encoding.</w:t>
      </w:r>
      <w:r>
        <w:t xml:space="preserve"> </w:t>
      </w:r>
      <w:r>
        <w:t xml:space="preserve">Second, non-film events from the break, task, and filler phases are encoded as distinct recallable items that can compete with film items during retrieval.</w:t>
      </w:r>
      <w:r>
        <w:t xml:space="preserve"> </w:t>
      </w:r>
      <w:r>
        <w:t xml:space="preserve">This setup lets selective interference appear as a redistribution of retrieval across encoded phases, rather than as a direct reduction in film-item strength.</w:t>
      </w:r>
    </w:p>
    <w:bookmarkEnd w:id="29"/>
    <w:bookmarkStart w:id="54" w:name="model-specification"/>
    <w:p>
      <w:pPr>
        <w:pStyle w:val="Heading1"/>
      </w:pPr>
      <w:r>
        <w:t xml:space="preserve">Model Specification</w:t>
      </w:r>
    </w:p>
    <w:p>
      <w:pPr>
        <w:pStyle w:val="FirstParagraph"/>
      </w:pPr>
      <w:r>
        <w:t xml:space="preserve">The specification below defines the model’s representations, parameters, and initialization before turning to context updating, associative learning, retrieval, retrieval-control settings, and affective context.</w:t>
      </w:r>
    </w:p>
    <w:bookmarkStart w:id="33"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r>
        <w:t xml:space="preserve">Base parameter values are anchored by a pooled eCMR fit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hyperlink w:anchor="tbl-base-parameters">
        <w:r>
          <w:rPr>
            <w:rStyle w:val="Hyperlink"/>
          </w:rPr>
          <w:t xml:space="preserve">Table 1</w:t>
        </w:r>
      </w:hyperlink>
      <w:r>
        <w:t xml:space="preserve"> </w:t>
      </w:r>
      <w:r>
        <w:t xml:space="preserve">lists the base parameters used by the model.</w:t>
      </w:r>
    </w:p>
    <w:bookmarkStart w:id="30" w:name="tbl-base-parameters"/>
    <w:p>
      <w:pPr>
        <w:pStyle w:val="FigureTitle"/>
      </w:pPr>
      <w:r>
        <w:t xml:space="preserve">Table 1</w:t>
      </w:r>
    </w:p>
    <w:p>
      <w:pPr>
        <w:pStyle w:val="Caption"/>
      </w:pPr>
      <w:r>
        <w:t xml:space="preserve">Base parameters and theoretical roles.</w:t>
      </w:r>
      <w:r>
        <w:t xml:space="preserve"> </w:t>
      </w:r>
      <w:r>
        <w:t xml:space="preserve">The parameter anchor is external to the selective-interference simulations</w:t>
      </w:r>
      <w:r>
        <w:t xml:space="preserve"> </w:t>
      </w:r>
      <w:r>
        <w:t xml:space="preserve">(</w:t>
      </w:r>
      <w:hyperlink w:anchor="ref-dupertuys2026ukraine">
        <w:r>
          <w:rPr>
            <w:rStyle w:val="Hyperlink"/>
          </w:rPr>
          <w:t xml:space="preserve">Dupertuys et al., 2026</w:t>
        </w:r>
      </w:hyperlink>
      <w:r>
        <w:t xml:space="preserv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Start-of-list or film-directed context cueing</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Sharpness of retrieval competition</w:t>
            </w:r>
          </w:p>
        </w:tc>
      </w:tr>
      <w:tr>
        <w:tc>
          <w:tcPr/>
          <w:p>
            <w:pPr>
              <w:pStyle w:val="Compact"/>
            </w:pPr>
            <m:oMath>
              <m:sSub>
                <m:e>
                  <m:r>
                    <m:t>β</m:t>
                  </m:r>
                </m:e>
                <m:sub>
                  <m:r>
                    <m:t>e</m:t>
                  </m:r>
                  <m:r>
                    <m:t>m</m:t>
                  </m:r>
                  <m:r>
                    <m:t>o</m:t>
                  </m:r>
                  <m:r>
                    <m:t>t</m:t>
                  </m:r>
                </m:sub>
              </m:sSub>
            </m:oMath>
          </w:p>
        </w:tc>
        <w:tc>
          <w:tcPr/>
          <w:p>
            <w:pPr>
              <w:pStyle w:val="Compact"/>
            </w:pPr>
            <w:r>
              <w:t xml:space="preserve">emotional-context drift rate</w:t>
            </w:r>
          </w:p>
        </w:tc>
        <w:tc>
          <w:tcPr/>
          <w:p>
            <w:pPr>
              <w:pStyle w:val="Compact"/>
            </w:pPr>
            <w:r>
              <w:t xml:space="preserve">Context drift in the emotional pathway</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emotional learning scale</w:t>
            </w:r>
          </w:p>
        </w:tc>
        <w:tc>
          <w:tcPr/>
          <w:p>
            <w:pPr>
              <w:pStyle w:val="Compact"/>
            </w:pPr>
            <w:r>
              <w:t xml:space="preserve">Emotional context-to-feature learning</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non-film competitors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output positions</w:t>
            </w:r>
          </w:p>
        </w:tc>
      </w:tr>
    </w:tbl>
    <w:bookmarkEnd w:id="30"/>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Because the selective-interference simulations vary the new associations formed across phases, these baseline associations are treated as fixed model architecture rather than as the mechanism of interest.</w:t>
      </w:r>
      <w:r>
        <w:t xml:space="preserve"> </w:t>
      </w:r>
      <w:r>
        <w:t xml:space="preserve">For the start unit and item-associated temporal context units:</w:t>
      </w:r>
    </w:p>
    <w:p>
      <w:pPr>
        <w:pStyle w:val="BodyText"/>
      </w:pPr>
      <w:bookmarkStart w:id="31"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31"/>
    </w:p>
    <w:p>
      <w:pPr>
        <w:pStyle w:val="FirstParagraph"/>
      </w:pPr>
      <w:bookmarkStart w:id="32"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32"/>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3"/>
    <w:bookmarkStart w:id="45" w:name="context-updating-learning-and-retrieval"/>
    <w:p>
      <w:pPr>
        <w:pStyle w:val="Heading2"/>
      </w:pPr>
      <w:r>
        <w:t xml:space="preserve">Context Updating, Learning, and Retrieval</w:t>
      </w:r>
    </w:p>
    <w:p>
      <w:pPr>
        <w:pStyle w:val="FirstParagraph"/>
      </w:pP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34"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34"/>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35"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35"/>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36"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36"/>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When a new event is encoded, the active feature and updated context are also associated via outer-product learning.</w:t>
      </w:r>
      <w:r>
        <w:t xml:space="preserve"> </w:t>
      </w:r>
      <w:r>
        <w:t xml:space="preserve">Feature-to-context associations update as:</w:t>
      </w:r>
    </w:p>
    <w:p>
      <w:pPr>
        <w:pStyle w:val="BodyText"/>
      </w:pPr>
      <w:bookmarkStart w:id="37"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37"/>
    </w:p>
    <w:p>
      <w:pPr>
        <w:pStyle w:val="FirstParagraph"/>
      </w:pPr>
      <w:r>
        <w:t xml:space="preserve">A primacy function weights context-to-feature learning:</w:t>
      </w:r>
    </w:p>
    <w:p>
      <w:pPr>
        <w:pStyle w:val="BodyText"/>
      </w:pPr>
      <w:bookmarkStart w:id="38"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38"/>
    </w:p>
    <w:p>
      <w:pPr>
        <w:pStyle w:val="FirstParagraph"/>
      </w:pPr>
      <w:r>
        <w:t xml:space="preserve">Context-to-feature associations update as:</w:t>
      </w:r>
    </w:p>
    <w:p>
      <w:pPr>
        <w:pStyle w:val="BodyText"/>
      </w:pPr>
      <w:bookmarkStart w:id="39"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39"/>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40"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40"/>
    </w:p>
    <w:p>
      <w:pPr>
        <w:pStyle w:val="FirstParagraph"/>
      </w:pPr>
      <w:r>
        <w:t xml:space="preserve">The choice sensitivity</w:t>
      </w:r>
      <w:r>
        <w:t xml:space="preserve"> </w:t>
      </w:r>
      <m:oMath>
        <m:r>
          <m:t>τ</m:t>
        </m:r>
      </m:oMath>
      <w:r>
        <w:t xml:space="preserve"> </w:t>
      </w:r>
      <w:r>
        <w:t xml:space="preserve">sharpens competition among candidates:</w:t>
      </w:r>
    </w:p>
    <w:p>
      <w:pPr>
        <w:pStyle w:val="BodyText"/>
      </w:pPr>
      <w:bookmarkStart w:id="41"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41"/>
    </w:p>
    <w:p>
      <w:pPr>
        <w:pStyle w:val="FirstParagraph"/>
      </w:pPr>
      <w:r>
        <w:t xml:space="preserve">The probability of recalling item</w:t>
      </w:r>
      <w:r>
        <w:t xml:space="preserve"> </w:t>
      </w:r>
      <m:oMath>
        <m:r>
          <m:t>i</m:t>
        </m:r>
      </m:oMath>
      <w:r>
        <w:t xml:space="preserve">, conditional on continuing recall, follows a Luce choice rule over currently unrecalled items:</w:t>
      </w:r>
    </w:p>
    <w:p>
      <w:pPr>
        <w:pStyle w:val="BodyText"/>
      </w:pPr>
      <w:bookmarkStart w:id="42" w:name="eq-luce-choice"/>
      <m:oMathPara>
        <m:oMathParaPr>
          <m:jc m:val="center"/>
        </m:oMathParaPr>
        <m:oMath>
          <m:r>
            <m:t>P</m:t>
          </m:r>
          <m:d>
            <m:dPr>
              <m:begChr m:val="("/>
              <m:sepChr m:val=""/>
              <m:endChr m:val=")"/>
              <m:grow/>
            </m:dPr>
            <m:e>
              <m:r>
                <m:t>i</m:t>
              </m:r>
              <m:r>
                <m:rPr>
                  <m:sty m:val="p"/>
                </m:rPr>
                <m:t>∣</m:t>
              </m:r>
              <m:r>
                <m:rPr>
                  <m:nor/>
                  <m:sty m:val="p"/>
                </m:rPr>
                <m:t>recall</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42"/>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recall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recall</m:t>
            </m:r>
          </m:e>
        </m:d>
      </m:oMath>
      <w:r>
        <w:t xml:space="preserve">.</w:t>
      </w:r>
      <w:r>
        <w:t xml:space="preserve"> </w:t>
      </w:r>
      <w:r>
        <w:t xml:space="preserve">Termination probability grows with output position:</w:t>
      </w:r>
    </w:p>
    <w:p>
      <w:pPr>
        <w:pStyle w:val="BodyText"/>
      </w:pPr>
      <w:bookmarkStart w:id="43"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43"/>
    </w:p>
    <w:p>
      <w:pPr>
        <w:pStyle w:val="FirstParagraph"/>
      </w:pPr>
      <w:r>
        <w:t xml:space="preserve">Here,</w:t>
      </w:r>
      <w:r>
        <w:t xml:space="preserve"> </w:t>
      </w:r>
      <m:oMath>
        <m:r>
          <m:t>j</m:t>
        </m:r>
      </m:oMath>
      <w:r>
        <w:t xml:space="preserve"> </w:t>
      </w:r>
      <w:r>
        <w:t xml:space="preserve">is the number of items already recalled,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recalled item</w:t>
      </w:r>
      <w:r>
        <w:t xml:space="preserve"> </w:t>
      </w:r>
      <m:oMath>
        <m:sSub>
          <m:e>
            <m:r>
              <m:t>r</m:t>
            </m:r>
          </m:e>
          <m:sub>
            <m:r>
              <m:t>j</m:t>
            </m:r>
          </m:sub>
        </m:sSub>
      </m:oMath>
      <w:r>
        <w:t xml:space="preserve">, context is updated through the same feature-to-context pathway:</w:t>
      </w:r>
    </w:p>
    <w:p>
      <w:pPr>
        <w:pStyle w:val="BodyText"/>
      </w:pPr>
      <w:bookmarkStart w:id="44"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44"/>
    </w:p>
    <w:p>
      <w:pPr>
        <w:pStyle w:val="FirstParagraph"/>
      </w:pPr>
      <w:r>
        <w:t xml:space="preserve">This recalled-item update drives context toward the recalled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recalled items, and supplied film items use the context update without adding a new recallable event.</w:t>
      </w:r>
    </w:p>
    <w:bookmarkEnd w:id="45"/>
    <w:bookmarkStart w:id="49" w:name="retrieval-control"/>
    <w:p>
      <w:pPr>
        <w:pStyle w:val="Heading2"/>
      </w:pPr>
      <w:r>
        <w:t xml:space="preserve">Retrieval Control</w:t>
      </w:r>
    </w:p>
    <w:p>
      <w:pPr>
        <w:pStyle w:val="FirstParagraph"/>
      </w:pP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film-directed start/context cueing:</w:t>
      </w:r>
    </w:p>
    <w:p>
      <w:pPr>
        <w:pStyle w:val="BodyText"/>
      </w:pPr>
      <w:bookmarkStart w:id="46" w:name="eq-deliberate-start-cue"/>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46"/>
    </w:p>
    <w:p>
      <w:pPr>
        <w:pStyle w:val="FirstParagraph"/>
      </w:pPr>
      <w:r>
        <w:t xml:space="preserve">The scale</w:t>
      </w:r>
      <w:r>
        <w:t xml:space="preserve"> </w:t>
      </w:r>
      <m:oMath>
        <m:sSubSup>
          <m:e>
            <m:r>
              <m:t>m</m:t>
            </m:r>
          </m:e>
          <m:sub>
            <m:r>
              <m:rPr>
                <m:nor/>
                <m:sty m:val="p"/>
              </m:rPr>
              <m:t>start</m:t>
            </m:r>
          </m:sub>
          <m:sup>
            <m:r>
              <m:t>β</m:t>
            </m:r>
          </m:sup>
        </m:sSubSup>
      </m:oMath>
      <w:r>
        <w:t xml:space="preserve"> </w:t>
      </w:r>
      <w:r>
        <w:t xml:space="preserve">controls the strength of this cueing in deliberate recall.</w:t>
      </w:r>
      <w:r>
        <w:t xml:space="preserve"> </w:t>
      </w:r>
      <w:r>
        <w:t xml:space="preserve">The second control setting is sharper selection,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sharpens competition among all candidates.</w:t>
      </w:r>
      <w:r>
        <w:t xml:space="preserve"> </w:t>
      </w:r>
      <w:r>
        <w:t xml:space="preserve">It protects film recall only when film-directed cueing gives film items stronger support than task competitors.</w:t>
      </w:r>
      <w:r>
        <w:t xml:space="preserve"> </w:t>
      </w:r>
      <w:r>
        <w:t xml:space="preserve">The third control setting is target monitoring after a non-film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Target monitoring modifies the recalled-item context update in</w:t>
      </w:r>
      <w:r>
        <w:t xml:space="preserve"> </w:t>
      </w:r>
      <w:hyperlink w:anchor="eq-recall-context-update">
        <w:r>
          <w:rPr>
            <w:rStyle w:val="Hyperlink"/>
          </w:rPr>
          <w:t xml:space="preserve">Equation 13</w:t>
        </w:r>
      </w:hyperlink>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w:bookmarkStart w:id="47"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47"/>
    </w:p>
    <w:p>
      <w:pPr>
        <w:pStyle w:val="FirstParagraph"/>
      </w:pPr>
      <w:r>
        <w:t xml:space="preserve">When</w:t>
      </w:r>
      <w:r>
        <w:t xml:space="preserve"> </w:t>
      </w:r>
      <m:oMath>
        <m:r>
          <m:t>κ</m:t>
        </m:r>
        <m:r>
          <m:rPr>
            <m:sty m:val="p"/>
          </m:rPr>
          <m:t>&lt;</m:t>
        </m:r>
        <m:r>
          <m:t>1</m:t>
        </m:r>
      </m:oMath>
      <w:r>
        <w:t xml:space="preserve">, sampled non-film competitors have less influence on the next context state than sampled film items.</w:t>
      </w:r>
      <w:r>
        <w:t xml:space="preserve"> </w:t>
      </w:r>
      <w:r>
        <w:t xml:space="preserve">This convention is used for deliberate recall when simulations manipulate rejected-recall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48"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48"/>
    </w:p>
    <w:p>
      <w:pPr>
        <w:pStyle w:val="FirstParagraph"/>
      </w:pPr>
      <w:r>
        <w:t xml:space="preserve">This cue is not a separate retrieval system; it is the same feature-to-context operation applied to a supplied film item.</w:t>
      </w:r>
    </w:p>
    <w:bookmarkEnd w:id="49"/>
    <w:bookmarkStart w:id="53" w:name="affective-context"/>
    <w:p>
      <w:pPr>
        <w:pStyle w:val="Heading2"/>
      </w:pPr>
      <w:r>
        <w:t xml:space="preserve">Affective Context</w:t>
      </w:r>
    </w:p>
    <w:p>
      <w:pPr>
        <w:pStyle w:val="FirstParagraph"/>
      </w:pPr>
      <w:r>
        <w:t xml:space="preserve">The model also includes an affective-context pathway inherited from eCMR</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affective pathway tests whether shared affective state can amplify competition; it does not make task affect the explanation of selective interference.</w:t>
      </w:r>
      <w:r>
        <w:t xml:space="preserve"> </w:t>
      </w:r>
      <w:r>
        <w:t xml:space="preserve">Each item has a two-unit affective feature vector</w:t>
      </w:r>
      <w:r>
        <w:t xml:space="preserve"> </w:t>
      </w:r>
      <m:oMath>
        <m:sSub>
          <m:e>
            <m:r>
              <m:t>s</m:t>
            </m:r>
          </m:e>
          <m:sub>
            <m:r>
              <m:t>i</m:t>
            </m:r>
          </m:sub>
        </m:sSub>
      </m:oMath>
      <w:r>
        <w:t xml:space="preserve">, with</w:t>
      </w:r>
      <w:r>
        <w:t xml:space="preserve"> </w:t>
      </w:r>
      <m:oMath>
        <m:sSub>
          <m:e>
            <m:r>
              <m:t>s</m:t>
            </m:r>
          </m:e>
          <m:sub>
            <m:r>
              <m:t>i</m:t>
            </m:r>
          </m:sub>
        </m:sSub>
        <m:r>
          <m:rPr>
            <m:sty m:val="p"/>
          </m:rPr>
          <m:t>=</m:t>
        </m:r>
        <m:sSup>
          <m:e>
            <m:d>
              <m:dPr>
                <m:begChr m:val="["/>
                <m:sepChr m:val=""/>
                <m:endChr m:val="]"/>
                <m:grow/>
              </m:dPr>
              <m:e>
                <m:r>
                  <m:t>1</m:t>
                </m:r>
                <m:r>
                  <m:rPr>
                    <m:sty m:val="p"/>
                  </m:rPr>
                  <m:t>,</m:t>
                </m:r>
                <m:r>
                  <m:t>0</m:t>
                </m:r>
              </m:e>
            </m:d>
          </m:e>
          <m:sup>
            <m:r>
              <m:rPr>
                <m:sty m:val="p"/>
              </m:rPr>
              <m:t>⊤</m:t>
            </m:r>
          </m:sup>
        </m:sSup>
      </m:oMath>
      <w:r>
        <w:t xml:space="preserve"> </w:t>
      </w:r>
      <w:r>
        <w:t xml:space="preserve">for items assigned the marked affective feature and</w:t>
      </w:r>
      <w:r>
        <w:t xml:space="preserve"> </w:t>
      </w:r>
      <m:oMath>
        <m:sSub>
          <m:e>
            <m:r>
              <m:t>s</m:t>
            </m:r>
          </m:e>
          <m:sub>
            <m:r>
              <m:t>i</m:t>
            </m:r>
          </m:sub>
        </m:sSub>
        <m:r>
          <m:rPr>
            <m:sty m:val="p"/>
          </m:rPr>
          <m:t>=</m:t>
        </m:r>
        <m:sSup>
          <m:e>
            <m:d>
              <m:dPr>
                <m:begChr m:val="["/>
                <m:sepChr m:val=""/>
                <m:endChr m:val="]"/>
                <m:grow/>
              </m:dPr>
              <m:e>
                <m:r>
                  <m:t>0</m:t>
                </m:r>
                <m:r>
                  <m:rPr>
                    <m:sty m:val="p"/>
                  </m:rPr>
                  <m:t>,</m:t>
                </m:r>
                <m:r>
                  <m:t>1</m:t>
                </m:r>
              </m:e>
            </m:d>
          </m:e>
          <m:sup>
            <m:r>
              <m:rPr>
                <m:sty m:val="p"/>
              </m:rPr>
              <m:t>⊤</m:t>
            </m:r>
          </m:sup>
        </m:sSup>
      </m:oMath>
      <w:r>
        <w:t xml:space="preserve"> </w:t>
      </w:r>
      <w:r>
        <w:t xml:space="preserve">for neutral or default items.</w:t>
      </w:r>
      <w:r>
        <w:t xml:space="preserve"> </w:t>
      </w:r>
      <w:r>
        <w:t xml:space="preserve">The vector</w:t>
      </w:r>
      <w:r>
        <w:t xml:space="preserve"> </w:t>
      </w:r>
      <m:oMath>
        <m:sSub>
          <m:e>
            <m:r>
              <m:t>s</m:t>
            </m:r>
          </m:e>
          <m:sub>
            <m:r>
              <m:t>i</m:t>
            </m:r>
          </m:sub>
        </m:sSub>
      </m:oMath>
      <w:r>
        <w:t xml:space="preserve"> </w:t>
      </w:r>
      <w:r>
        <w:t xml:space="preserve">is not a recallable item and is not a separate trace.</w:t>
      </w:r>
      <w:r>
        <w:t xml:space="preserve"> </w:t>
      </w:r>
      <w:r>
        <w:t xml:space="preserve">The affective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affective context components:</w:t>
      </w:r>
    </w:p>
    <w:p>
      <w:pPr>
        <w:pStyle w:val="BodyText"/>
      </w:pPr>
      <w:bookmarkStart w:id="50"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50"/>
    </w:p>
    <w:p>
      <w:pPr>
        <w:pStyle w:val="FirstParagraph"/>
      </w:pPr>
      <w:r>
        <w:t xml:space="preserve">Affective context-to-feature support begins at zero:</w:t>
      </w:r>
    </w:p>
    <w:p>
      <w:pPr>
        <w:pStyle w:val="BodyText"/>
      </w:pPr>
      <w:bookmarkStart w:id="51"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51"/>
    </w:p>
    <w:p>
      <w:pPr>
        <w:pStyle w:val="FirstParagraph"/>
      </w:pPr>
      <w:r>
        <w:t xml:space="preserve">Thus, affective context can update during experience before it contributes retrieval support.</w:t>
      </w:r>
      <w:r>
        <w:t xml:space="preserve"> </w:t>
      </w:r>
      <w:r>
        <w:t xml:space="preserve">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the added context-to-feature learning strength for item</w:t>
      </w:r>
      <w:r>
        <w:t xml:space="preserve"> </w:t>
      </w:r>
      <m:oMath>
        <m:r>
          <m:t>i</m:t>
        </m:r>
      </m:oMath>
      <w:r>
        <w:t xml:space="preserve"> </w:t>
      </w:r>
      <w:r>
        <w:t xml:space="preserve">in the affective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items assigned the marked affective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 or default items receive 0.</w:t>
      </w:r>
      <w:r>
        <w:t xml:space="preserve"> </w:t>
      </w:r>
      <w:r>
        <w:t xml:space="preserve">When affective learning is engaged, the affective components of context receive additional context-to-feature learning:</w:t>
      </w:r>
    </w:p>
    <w:p>
      <w:pPr>
        <w:pStyle w:val="BodyText"/>
      </w:pPr>
      <w:bookmarkStart w:id="52"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sSub>
            <m:e>
              <m:r>
                <m:t>ϕ</m:t>
              </m:r>
            </m:e>
            <m:sub>
              <m:r>
                <m:rPr>
                  <m:sty m:val="p"/>
                </m:rPr>
                <m:t>e</m:t>
              </m:r>
              <m:r>
                <m:rPr>
                  <m:sty m:val="p"/>
                </m:rPr>
                <m:t>m</m:t>
              </m:r>
              <m:r>
                <m:rPr>
                  <m:sty m:val="p"/>
                </m:rPr>
                <m:t>o</m:t>
              </m:r>
              <m:r>
                <m:rPr>
                  <m:sty m:val="p"/>
                </m:rPr>
                <m:t>t</m:t>
              </m:r>
              <m:r>
                <m:rPr>
                  <m:sty m:val="p"/>
                </m:rPr>
                <m:t>,</m:t>
              </m:r>
              <m:r>
                <m:t>i</m:t>
              </m:r>
            </m:sub>
          </m:sSub>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52"/>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affective components of context.</w:t>
      </w:r>
      <w:r>
        <w:t xml:space="preserve"> </w:t>
      </w:r>
      <w:r>
        <w:t xml:space="preserve">When affective context-to-feature learning is disabled, affective context does not add retrieval support beyond the ordinary context-to-feature pathway.</w:t>
      </w:r>
      <w:r>
        <w:t xml:space="preserve"> </w:t>
      </w:r>
      <w:r>
        <w:t xml:space="preserve">When learned affective support is present, it contributes to the same context-to-feature competition defined in</w:t>
      </w:r>
      <w:r>
        <w:t xml:space="preserve"> </w:t>
      </w:r>
      <w:hyperlink w:anchor="eq-retrieval-support">
        <w:r>
          <w:rPr>
            <w:rStyle w:val="Hyperlink"/>
          </w:rPr>
          <w:t xml:space="preserve">Equation 9</w:t>
        </w:r>
      </w:hyperlink>
      <w:r>
        <w:t xml:space="preserve">.</w:t>
      </w:r>
      <w:r>
        <w:t xml:space="preserve"> </w:t>
      </w:r>
      <w:r>
        <w:t xml:space="preserve">Task items are distinct item features and are assigned the marked affective feature only in affective-overlap variants.</w:t>
      </w:r>
      <w:r>
        <w:t xml:space="preserve"> </w:t>
      </w:r>
      <w:r>
        <w:t xml:space="preserve">When film and task items share the marked affective feature and affective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Because retrieval proceeds as a sequence of competitive samples terminated by a growing stop probability, task competitors can reduce film retrieval by winning individual retrieval competitions before search terminates.</w:t>
      </w:r>
    </w:p>
    <w:bookmarkEnd w:id="53"/>
    <w:bookmarkEnd w:id="54"/>
    <w:bookmarkStart w:id="66" w:name="simulations"/>
    <w:p>
      <w:pPr>
        <w:pStyle w:val="Heading1"/>
      </w:pPr>
      <w:r>
        <w:t xml:space="preserve">Simulations</w:t>
      </w:r>
    </w:p>
    <w:p>
      <w:pPr>
        <w:pStyle w:val="FirstParagraph"/>
      </w:pPr>
      <w:r>
        <w:t xml:space="preserve">The simulations test whether the model mechanisms specified above are sufficient to produce selective interference.</w:t>
      </w:r>
      <w:r>
        <w:t xml:space="preserve"> </w:t>
      </w:r>
      <w:r>
        <w:t xml:space="preserve">Across simulations, film items, intervening non-film items, task items, and post-task filler items are encoded by the same CMR operations, and unguided retrieval and deliberate recall use the same competitive retrieval rule.</w:t>
      </w:r>
      <w:r>
        <w:t xml:space="preserve"> </w:t>
      </w:r>
      <w:r>
        <w:t xml:space="preserve">The simulations vary the conditions under which task items become competitors and the control settings that determine whether retrieval is guided toward film items.</w:t>
      </w:r>
      <w:r>
        <w:t xml:space="preserve"> </w:t>
      </w:r>
      <w:r>
        <w:t xml:space="preserve">Table</w:t>
      </w:r>
      <w:r>
        <w:t xml:space="preserve"> </w:t>
      </w:r>
      <w:hyperlink w:anchor="tbl-simulated-design">
        <w:r>
          <w:rPr>
            <w:rStyle w:val="Hyperlink"/>
          </w:rPr>
          <w:t xml:space="preserve">Table 2</w:t>
        </w:r>
      </w:hyperlink>
      <w:r>
        <w:t xml:space="preserve"> </w:t>
      </w:r>
      <w:r>
        <w:t xml:space="preserve">summarizes the design components used to instantiate these contrasts.</w:t>
      </w:r>
    </w:p>
    <w:bookmarkStart w:id="55" w:name="tbl-simulated-design"/>
    <w:p>
      <w:pPr>
        <w:pStyle w:val="FigureTitle"/>
      </w:pPr>
      <w:r>
        <w:t xml:space="preserve">Table 2</w:t>
      </w:r>
    </w:p>
    <w:p>
      <w:pPr>
        <w:pStyle w:val="Caption"/>
      </w:pPr>
      <w:r>
        <w:t xml:space="preserve">Simulation design components.</w:t>
      </w:r>
      <w:r>
        <w:t xml:space="preserve"> </w:t>
      </w:r>
      <w:r>
        <w:t xml:space="preserve">The table summarizes how the simulation contrasts map onto model-level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 component</w:t>
            </w:r>
          </w:p>
        </w:tc>
        <w:tc>
          <w:tcPr/>
          <w:p>
            <w:pPr>
              <w:pStyle w:val="Compact"/>
            </w:pPr>
            <w:r>
              <w:t xml:space="preserve">Variants</w:t>
            </w:r>
          </w:p>
        </w:tc>
        <w:tc>
          <w:tcPr/>
          <w:p>
            <w:pPr>
              <w:pStyle w:val="Compact"/>
            </w:pPr>
            <w:r>
              <w:t xml:space="preserve">Model role</w:t>
            </w:r>
          </w:p>
        </w:tc>
      </w:tr>
      <w:tr>
        <w:tc>
          <w:tcPr/>
          <w:p>
            <w:pPr>
              <w:pStyle w:val="Compact"/>
            </w:pPr>
            <w:r>
              <w:t xml:space="preserve">Film/clip items</w:t>
            </w:r>
          </w:p>
        </w:tc>
        <w:tc>
          <w:tcPr/>
          <w:p>
            <w:pPr>
              <w:pStyle w:val="Compact"/>
            </w:pPr>
            <w:r>
              <w:t xml:space="preserve">Trauma/affective or neutral target clips</w:t>
            </w:r>
          </w:p>
        </w:tc>
        <w:tc>
          <w:tcPr/>
          <w:p>
            <w:pPr>
              <w:pStyle w:val="Compact"/>
            </w:pPr>
            <w:r>
              <w:t xml:space="preserve">Film items are the target episode whose later access is measured; affective marking is enabled only for affective-overlap variants.</w:t>
            </w:r>
          </w:p>
        </w:tc>
      </w:tr>
      <w:tr>
        <w:tc>
          <w:tcPr/>
          <w:p>
            <w:pPr>
              <w:pStyle w:val="Compact"/>
            </w:pPr>
            <w:r>
              <w:t xml:space="preserve">Task condition</w:t>
            </w:r>
          </w:p>
        </w:tc>
        <w:tc>
          <w:tcPr/>
          <w:p>
            <w:pPr>
              <w:pStyle w:val="Compact"/>
            </w:pPr>
            <w:r>
              <w:t xml:space="preserve">Visuospatial interference task or comparison task</w:t>
            </w:r>
          </w:p>
        </w:tc>
        <w:tc>
          <w:tcPr/>
          <w:p>
            <w:pPr>
              <w:pStyle w:val="Compact"/>
            </w:pPr>
            <w:r>
              <w:t xml:space="preserve">Task items are potential competitors encoded after film encoding or reminder reinstatement; task learning strength indexes how strongly they compete once cued.</w:t>
            </w:r>
          </w:p>
        </w:tc>
      </w:tr>
      <w:tr>
        <w:tc>
          <w:tcPr/>
          <w:p>
            <w:pPr>
              <w:pStyle w:val="Compact"/>
            </w:pPr>
            <w:r>
              <w:t xml:space="preserve">Affective overlap</w:t>
            </w:r>
          </w:p>
        </w:tc>
        <w:tc>
          <w:tcPr/>
          <w:p>
            <w:pPr>
              <w:pStyle w:val="Compact"/>
            </w:pPr>
            <w:r>
              <w:t xml:space="preserve">Film-only marking or shared film-task marking</w:t>
            </w:r>
          </w:p>
        </w:tc>
        <w:tc>
          <w:tcPr/>
          <w:p>
            <w:pPr>
              <w:pStyle w:val="Compact"/>
            </w:pPr>
            <w:r>
              <w:t xml:space="preserve">Tests whether shared affective state amplifies task competition.</w:t>
            </w:r>
          </w:p>
        </w:tc>
      </w:tr>
      <w:tr>
        <w:tc>
          <w:tcPr/>
          <w:p>
            <w:pPr>
              <w:pStyle w:val="Compact"/>
            </w:pPr>
            <w:r>
              <w:t xml:space="preserve">Timing/reinstatement</w:t>
            </w:r>
          </w:p>
        </w:tc>
        <w:tc>
          <w:tcPr/>
          <w:p>
            <w:pPr>
              <w:pStyle w:val="Compact"/>
            </w:pPr>
            <w:r>
              <w:t xml:space="preserve">Immediate post-film task or delayed post-reminder task</w:t>
            </w:r>
          </w:p>
        </w:tc>
        <w:tc>
          <w:tcPr/>
          <w:p>
            <w:pPr>
              <w:pStyle w:val="Compact"/>
            </w:pPr>
            <w:r>
              <w:t xml:space="preserve">Tests whether delayed reminders increase overlap by reinstating film-associated context before task encoding.</w:t>
            </w:r>
          </w:p>
        </w:tc>
      </w:tr>
      <w:tr>
        <w:tc>
          <w:tcPr/>
          <w:p>
            <w:pPr>
              <w:pStyle w:val="Compact"/>
            </w:pPr>
            <w:r>
              <w:t xml:space="preserve">Buffer/filler experience</w:t>
            </w:r>
          </w:p>
        </w:tc>
        <w:tc>
          <w:tcPr/>
          <w:p>
            <w:pPr>
              <w:pStyle w:val="Compact"/>
            </w:pPr>
            <w:r>
              <w:t xml:space="preserve">Pre-reminder buffer and post-task filler</w:t>
            </w:r>
          </w:p>
        </w:tc>
        <w:tc>
          <w:tcPr/>
          <w:p>
            <w:pPr>
              <w:pStyle w:val="Compact"/>
            </w:pPr>
            <w:r>
              <w:t xml:space="preserve">Moves context away from film and adds non-film items that can enter retrieval competition.</w:t>
            </w:r>
          </w:p>
        </w:tc>
      </w:tr>
      <w:tr>
        <w:tc>
          <w:tcPr/>
          <w:p>
            <w:pPr>
              <w:pStyle w:val="Compact"/>
            </w:pPr>
            <w:r>
              <w:t xml:space="preserve">Retrieval mode</w:t>
            </w:r>
          </w:p>
        </w:tc>
        <w:tc>
          <w:tcPr/>
          <w:p>
            <w:pPr>
              <w:pStyle w:val="Compact"/>
            </w:pPr>
            <w:r>
              <w:t xml:space="preserve">Unguided retrieval or deliberate recall</w:t>
            </w:r>
          </w:p>
        </w:tc>
        <w:tc>
          <w:tcPr/>
          <w:p>
            <w:pPr>
              <w:pStyle w:val="Compact"/>
            </w:pPr>
            <w:r>
              <w:t xml:space="preserve">Tests whether film-directed control protects voluntary access within the same retrieval architecture.</w:t>
            </w:r>
          </w:p>
        </w:tc>
      </w:tr>
    </w:tbl>
    <w:bookmarkEnd w:id="55"/>
    <w:p>
      <w:pPr>
        <w:pStyle w:val="AfterWithoutNote"/>
      </w:pPr>
      <w:r>
        <w:t xml:space="preserve">In delayed/post-reminder simulations, the reminder is implemented as two context-updating operations.</w:t>
      </w:r>
      <w:r>
        <w:t xml:space="preserve"> </w:t>
      </w:r>
      <w:r>
        <w:t xml:space="preserve">After the pre-reminder buffer, context first drifts toward the start state.</w:t>
      </w:r>
      <w:r>
        <w:t xml:space="preserve"> </w:t>
      </w:r>
      <w:r>
        <w:t xml:space="preserve">The model then applies film-item reminder cues sequentially, using</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 a reminder-cue drift rate lower than encoding drift.</w:t>
      </w:r>
      <w:r>
        <w:t xml:space="preserve"> </w:t>
      </w:r>
      <w:r>
        <w:t xml:space="preserve">This lower drift rate represents the assumption that brief reminder images provide weaker contextual evidence than full film-item presentations.</w:t>
      </w:r>
      <w:r>
        <w:t xml:space="preserve"> </w:t>
      </w:r>
      <w:r>
        <w:t xml:space="preserve">Reminder cues do not apply</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do not add new recallable items.</w:t>
      </w:r>
      <w:r>
        <w:t xml:space="preserve"> </w:t>
      </w:r>
      <w:r>
        <w:t xml:space="preserve">The immediate variant omits the structured pre-reminder buffer and reminder operations, placing the task phase directly after film encoding.</w:t>
      </w:r>
    </w:p>
    <w:p>
      <w:pPr>
        <w:pStyle w:val="BodyText"/>
      </w:pPr>
      <w:r>
        <w:t xml:space="preserve">Across simulations, task-learning settings manipulate competitor strength, drift and reminder settings manipulate contextual overlap, retrieval-control settings manipulate film-directed access, and affective marking manipulates shared affective state.</w:t>
      </w:r>
      <w:r>
        <w:t xml:space="preserve"> </w:t>
      </w:r>
      <w:r>
        <w:t xml:space="preserve">Fixed settings for buffer and filler phases are treated as simulation configuration rather than as additional model mechanisms.</w:t>
      </w:r>
    </w:p>
    <w:p>
      <w:pPr>
        <w:pStyle w:val="BodyText"/>
      </w:pPr>
      <w:r>
        <w:t xml:space="preserve">The simulation sequence first establishes the memory-side mechanism by showing how task competition and contextual overlap reduce film-item access.</w:t>
      </w:r>
      <w:r>
        <w:t xml:space="preserve"> </w:t>
      </w:r>
      <w:r>
        <w:t xml:space="preserve">It then tests whether retrieval mode turns that memory-side effect into the selective-interference dissociation.</w:t>
      </w:r>
      <w:r>
        <w:t xml:space="preserve"> </w:t>
      </w:r>
      <w:r>
        <w:t xml:space="preserve">The remaining simulations decompose deliberate-recall control and examine boundary conditions involving reminder timing, task specificity, affective overlap, and cue support.</w:t>
      </w:r>
    </w:p>
    <w:bookmarkStart w:id="60" w:name="Xbcb1a978e991f364bff6939060eaf7762ee0e94"/>
    <w:p>
      <w:pPr>
        <w:pStyle w:val="Heading2"/>
      </w:pPr>
      <w:r>
        <w:t xml:space="preserve">Simulation 1: Task Competition and Contextual Overlap</w:t>
      </w:r>
    </w:p>
    <w:p>
      <w:pPr>
        <w:pStyle w:val="FirstParagraph"/>
      </w:pPr>
      <w:r>
        <w:t xml:space="preserve">Premise: The first simulation asks whether task items can reduce film-item access through two memory-side ingredients: task competitor strength and contextual overlap with film-associated context.</w:t>
      </w:r>
      <w:r>
        <w:t xml:space="preserve"> </w:t>
      </w:r>
      <w:r>
        <w:t xml:space="preserve">The current sweep operationalizes competitor strength by increasing task context-to-feature learning.</w:t>
      </w:r>
      <w:r>
        <w:t xml:space="preserve"> </w:t>
      </w:r>
      <w:r>
        <w:t xml:space="preserve">It operationalizes contextual overlap by comparing no-reminder and reminder conditions, where reminders reinstate film-associated context before task encoding.</w:t>
      </w:r>
      <w:r>
        <w:t xml:space="preserve"> </w:t>
      </w:r>
      <w:r>
        <w:t xml:space="preserve">This simulation does not yet test the intrusion-voluntary-memory dissociation because retrieval mode is not varied.</w:t>
      </w:r>
    </w:p>
    <w:bookmarkStart w:id="59" w:name="fig-interference-sweep-spc"/>
    <w:p>
      <w:pPr>
        <w:pStyle w:val="FigureTitle"/>
      </w:pPr>
      <w:r>
        <w:t xml:space="preserve">Figure 2</w:t>
      </w:r>
    </w:p>
    <w:p>
      <w:pPr>
        <w:pStyle w:val="Caption"/>
      </w:pPr>
      <w:r>
        <w:t xml:space="preserve">Phase-resolved recall in the interference-strength sweep.</w:t>
      </w:r>
      <w:r>
        <w:t xml:space="preserve"> </w:t>
      </w:r>
      <w:r>
        <w:t xml:space="preserve">Serial-position curves show recall probability across the film, break, interference, and filler phases of the simulated paradigm, separately for no-reminder and reminder conditions.</w:t>
      </w:r>
      <w:r>
        <w:t xml:space="preserve"> </w:t>
      </w:r>
      <w:r>
        <w:t xml:space="preserve">Darker lines indicate stronger context-to-feature learning for task items.</w:t>
      </w:r>
      <w:r>
        <w:t xml:space="preserve"> </w:t>
      </w:r>
      <w:r>
        <w:t xml:space="preserve">The figure shows how the task-learning manipulation changes the distribution of retrieval across encoded phases, rather than only changing total film recall.</w:t>
      </w:r>
    </w:p>
    <w:p>
      <w:pPr>
        <w:pStyle w:val="FigureWithoutNote"/>
      </w:pPr>
      <w:r>
        <w:drawing>
          <wp:inline>
            <wp:extent cx="5943600" cy="2214422"/>
            <wp:effectExtent b="0" l="0" r="0" t="0"/>
            <wp:docPr descr="" title="" id="57" name="Picture"/>
            <a:graphic>
              <a:graphicData uri="http://schemas.openxmlformats.org/drawingml/2006/picture">
                <pic:pic>
                  <pic:nvPicPr>
                    <pic:cNvPr descr="figures/interference_mcf_scale_delay16_fit_no_shared_support_side_by_side_spc.png" id="58" name="Picture"/>
                    <pic:cNvPicPr>
                      <a:picLocks noChangeArrowheads="1" noChangeAspect="1"/>
                    </pic:cNvPicPr>
                  </pic:nvPicPr>
                  <pic:blipFill>
                    <a:blip r:embed="rId56"/>
                    <a:stretch>
                      <a:fillRect/>
                    </a:stretch>
                  </pic:blipFill>
                  <pic:spPr bwMode="auto">
                    <a:xfrm>
                      <a:off x="0" y="0"/>
                      <a:ext cx="5943600" cy="2214422"/>
                    </a:xfrm>
                    <a:prstGeom prst="rect">
                      <a:avLst/>
                    </a:prstGeom>
                    <a:noFill/>
                    <a:ln w="9525">
                      <a:noFill/>
                      <a:headEnd/>
                      <a:tailEnd/>
                    </a:ln>
                  </pic:spPr>
                </pic:pic>
              </a:graphicData>
            </a:graphic>
          </wp:inline>
        </w:drawing>
      </w:r>
    </w:p>
    <w:bookmarkEnd w:id="59"/>
    <w:p>
      <w:pPr>
        <w:pStyle w:val="AfterWithoutNote"/>
      </w:pPr>
      <w:r>
        <w:t xml:space="preserve">Primary readouts: The main figure should show phase-resolved recall across the film, break, task, and filler phases for no-reminder and reminder conditions across task-learning strengths.</w:t>
      </w:r>
      <w:r>
        <w:t xml:space="preserve"> </w:t>
      </w:r>
      <w:r>
        <w:t xml:space="preserve">A compact summary should also show film-item access and task-item retrieval as task learning increases.</w:t>
      </w:r>
      <w:r>
        <w:t xml:space="preserve"> </w:t>
      </w:r>
      <w:r>
        <w:t xml:space="preserve">The key display should make clear whether lost film retrieval is redistributed toward task items rather than simply disappearing.</w:t>
      </w:r>
    </w:p>
    <w:p>
      <w:pPr>
        <w:pStyle w:val="BodyText"/>
      </w:pPr>
      <w:r>
        <w:t xml:space="preserve">Intended text take-away: Task items can redistribute retrieval away from film items without reducing film-item strength.</w:t>
      </w:r>
      <w:r>
        <w:t xml:space="preserve"> </w:t>
      </w:r>
      <w:r>
        <w:t xml:space="preserve">Reminder-driven reinstatement makes task items more effective competitors by encoding them in a film-relevant context state.</w:t>
      </w:r>
      <w:r>
        <w:t xml:space="preserve"> </w:t>
      </w:r>
      <w:r>
        <w:t xml:space="preserve">This establishes the memory-side mechanism needed before testing retrieval-mode selectivity.</w:t>
      </w:r>
    </w:p>
    <w:p>
      <w:pPr>
        <w:pStyle w:val="BodyText"/>
      </w:pPr>
      <w:r>
        <w:t xml:space="preserve">Open specification: Decide whether this section will keep the current interference-strength sweep as the final Simulation 1 or add a cleaner crossed summary of task strength by reminder/overlap.</w:t>
      </w:r>
      <w:r>
        <w:t xml:space="preserve"> </w:t>
      </w:r>
      <w:r>
        <w:t xml:space="preserve">Decide whether the comparison task is represented mainly as weak task learning, lower contextual overlap, lower affective overlap, or some combination of these model-level properties.</w:t>
      </w:r>
    </w:p>
    <w:bookmarkEnd w:id="60"/>
    <w:bookmarkStart w:id="61" w:name="X37494a7d56ca7a31ce1e7ad5f2ef7cfc35c42b4"/>
    <w:p>
      <w:pPr>
        <w:pStyle w:val="Heading2"/>
      </w:pPr>
      <w:r>
        <w:t xml:space="preserve">Simulation 2: Retrieval Mode and Selective Interference</w:t>
      </w:r>
    </w:p>
    <w:p>
      <w:pPr>
        <w:pStyle w:val="FirstParagraph"/>
      </w:pPr>
      <w:r>
        <w:t xml:space="preserve">Premise: Given stored film and task associations capable of producing competition, the second simulation asks whether unguided retrieval is more impaired than deliberate recall.</w:t>
      </w:r>
      <w:r>
        <w:t xml:space="preserve"> </w:t>
      </w:r>
      <w:r>
        <w:t xml:space="preserve">The section should compare weak or absent task competition with strong task competition under unguided retrieval and deliberate recall.</w:t>
      </w:r>
      <w:r>
        <w:t xml:space="preserve"> </w:t>
      </w:r>
      <w:r>
        <w:t xml:space="preserve">This is the first direct simulation of the selective-interference dissociation between intrusion-like access and voluntary recall.</w:t>
      </w:r>
    </w:p>
    <w:p>
      <w:pPr>
        <w:pStyle w:val="BodyText"/>
      </w:pPr>
      <w:r>
        <w:t xml:space="preserve">Primary readouts: The main figure should show phase-resolved recall so the reader can see where retrieval probability is redistributed across film, task, and filler phases.</w:t>
      </w:r>
      <w:r>
        <w:t xml:space="preserve"> </w:t>
      </w:r>
      <w:r>
        <w:t xml:space="preserve">A compact summary should also show film-item access and impairment from baseline for each retrieval mode.</w:t>
      </w:r>
      <w:r>
        <w:t xml:space="preserve"> </w:t>
      </w:r>
      <w:r>
        <w:t xml:space="preserve">Task-competitor recall should be reported or visible enough to show that lost film access is competition-driven.</w:t>
      </w:r>
    </w:p>
    <w:p>
      <w:pPr>
        <w:pStyle w:val="BodyText"/>
      </w:pPr>
      <w:r>
        <w:t xml:space="preserve">Intended text take-away: This section establishes the core dissociation result.</w:t>
      </w:r>
      <w:r>
        <w:t xml:space="preserve"> </w:t>
      </w:r>
      <w:r>
        <w:t xml:space="preserve">The model can reproduce the qualitative intrusion-voluntary-memory dissociation without separately weakening film items for one measure.</w:t>
      </w:r>
      <w:r>
        <w:t xml:space="preserve"> </w:t>
      </w:r>
      <w:r>
        <w:t xml:space="preserve">Deliberate recall may still be impaired; the claim is relative protection, not immunity.</w:t>
      </w:r>
    </w:p>
    <w:p>
      <w:pPr>
        <w:pStyle w:val="BodyText"/>
      </w:pPr>
      <w:r>
        <w:t xml:space="preserve">Open specification: The deliberate-recall settings used here need to be fixed before this section is written as a result.</w:t>
      </w:r>
      <w:r>
        <w:t xml:space="preserve"> </w:t>
      </w:r>
      <w:r>
        <w:t xml:space="preserve">Those settings should be strong enough to create a retrieval-mode contrast but simple enough that Simulation 3 can still isolate the separate control mechanisms.</w:t>
      </w:r>
    </w:p>
    <w:bookmarkEnd w:id="61"/>
    <w:bookmarkStart w:id="62" w:name="Xbe670664f0616e2f4bf355deaa2d454398f6d2b"/>
    <w:p>
      <w:pPr>
        <w:pStyle w:val="Heading2"/>
      </w:pPr>
      <w:r>
        <w:t xml:space="preserve">Simulation 3: Deliberate-Recall Control Mechanisms</w:t>
      </w:r>
    </w:p>
    <w:p>
      <w:pPr>
        <w:pStyle w:val="FirstParagraph"/>
      </w:pPr>
      <w:r>
        <w:t xml:space="preserve">Premise: After Simulation 2 establishes relative protection for deliberate recall, this simulation asks which control settings produce that protection.</w:t>
      </w:r>
      <w:r>
        <w:t xml:space="preserve"> </w:t>
      </w:r>
      <w:r>
        <w:t xml:space="preserve">Deliberate recall is not categorically protected.</w:t>
      </w:r>
      <w:r>
        <w:t xml:space="preserve"> </w:t>
      </w:r>
      <w:r>
        <w:t xml:space="preserve">Its relative sparing depends on control operations that make retrieval more film-directed.</w:t>
      </w:r>
      <w:r>
        <w:t xml:space="preserve"> </w:t>
      </w:r>
      <w:r>
        <w:t xml:space="preserve">This section should separate the contributions of film-directed start/context cueing, sharper selection through</w:t>
      </w:r>
      <w:r>
        <w:t xml:space="preserve"> </w:t>
      </w:r>
      <m:oMath>
        <m:r>
          <m:t>τ</m:t>
        </m:r>
      </m:oMath>
      <w:r>
        <w:t xml:space="preserve">, and target-monitoring or rejected-recall updating through</w:t>
      </w:r>
      <w:r>
        <w:t xml:space="preserve"> </w:t>
      </w:r>
      <m:oMath>
        <m:r>
          <m:t>κ</m:t>
        </m:r>
      </m:oMath>
      <w:r>
        <w:t xml:space="preserve"> </w:t>
      </w:r>
      <w:r>
        <w:t xml:space="preserve">if that mechanism remains in the simulation package.</w:t>
      </w:r>
    </w:p>
    <w:p>
      <w:pPr>
        <w:pStyle w:val="BodyText"/>
      </w:pPr>
      <w:r>
        <w:t xml:space="preserve">Primary readouts: The figure should show how each control lever changes film-item access and the phase-resolved organization of recall under a fixed task-competition setting.</w:t>
      </w:r>
      <w:r>
        <w:t xml:space="preserve"> </w:t>
      </w:r>
      <w:r>
        <w:t xml:space="preserve">The most useful contrast should include total film recall, task-competitor retrieval, and how closely recall remains tied to the film phase.</w:t>
      </w:r>
    </w:p>
    <w:p>
      <w:pPr>
        <w:pStyle w:val="BodyText"/>
      </w:pPr>
      <w:r>
        <w:t xml:space="preserve">Intended text take-away: This section earns the</w:t>
      </w:r>
      <w:r>
        <w:t xml:space="preserve"> </w:t>
      </w:r>
      <w:r>
        <w:t xml:space="preserve">“relatively intact voluntary memory”</w:t>
      </w:r>
      <w:r>
        <w:t xml:space="preserve"> </w:t>
      </w:r>
      <w:r>
        <w:t xml:space="preserve">claim.</w:t>
      </w:r>
      <w:r>
        <w:t xml:space="preserve"> </w:t>
      </w:r>
      <w:r>
        <w:t xml:space="preserve">Sparing is a graded consequence of retrieval control rather than a property attached to voluntary tests as a category.</w:t>
      </w:r>
      <w:r>
        <w:t xml:space="preserve"> </w:t>
      </w:r>
      <w:r>
        <w:t xml:space="preserve">Weakening these control operations should make deliberate recall resemble unguided retrieval more closely.</w:t>
      </w:r>
    </w:p>
    <w:p>
      <w:pPr>
        <w:pStyle w:val="BodyText"/>
      </w:pPr>
      <w:r>
        <w:t xml:space="preserve">Open specification: Decide whether target-monitoring through</w:t>
      </w:r>
      <w:r>
        <w:t xml:space="preserve"> </w:t>
      </w:r>
      <m:oMath>
        <m:r>
          <m:t>κ</m:t>
        </m:r>
      </m:oMath>
      <w:r>
        <w:t xml:space="preserve"> </w:t>
      </w:r>
      <w:r>
        <w:t xml:space="preserve">is a core control mechanism or a sensitivity analysis.</w:t>
      </w:r>
      <w:r>
        <w:t xml:space="preserve"> </w:t>
      </w:r>
      <w:r>
        <w:t xml:space="preserve">The introduction currently emphasizes film-directed cueing and sharper selection more strongly than rejected-recall updating.</w:t>
      </w:r>
    </w:p>
    <w:bookmarkEnd w:id="62"/>
    <w:bookmarkStart w:id="63" w:name="X4e2c45a43ed3089f632b0e88f82303adf550a66"/>
    <w:p>
      <w:pPr>
        <w:pStyle w:val="Heading2"/>
      </w:pPr>
      <w:r>
        <w:t xml:space="preserve">Simulation 4: Reminder and Timing Boundary Conditions</w:t>
      </w:r>
    </w:p>
    <w:p>
      <w:pPr>
        <w:pStyle w:val="FirstParagraph"/>
      </w:pPr>
      <w:r>
        <w:t xml:space="preserve">Premise: After Simulation 1 shows that reminder presence increases task competition, this simulation asks how delayed interference depends on graded reinstatement and drift.</w:t>
      </w:r>
      <w:r>
        <w:t xml:space="preserve"> </w:t>
      </w:r>
      <w:r>
        <w:t xml:space="preserve">The delayed-reminder case applies the overlap mechanism after context has moved away from the film.</w:t>
      </w:r>
      <w:r>
        <w:t xml:space="preserve"> </w:t>
      </w:r>
      <w:r>
        <w:t xml:space="preserve">A reminder reinstates film-associated context before task encoding by first shifting toward start context and then applying sequential film-item cues without new learning.</w:t>
      </w:r>
    </w:p>
    <w:p>
      <w:pPr>
        <w:pStyle w:val="BodyText"/>
      </w:pPr>
      <w:r>
        <w:t xml:space="preserve">Primary readouts: The figure should show how weak versus strong reminder reinstatement changes phase-resolved recall and film-item access after a fixed task phase.</w:t>
      </w:r>
      <w:r>
        <w:t xml:space="preserve"> </w:t>
      </w:r>
      <w:r>
        <w:t xml:space="preserve">If delay or filler length is varied, the figure should make clear whether the effect comes from reinstatement strength, subsequent drift, or their combination.</w:t>
      </w:r>
      <w:r>
        <w:t xml:space="preserve"> </w:t>
      </w:r>
      <w:r>
        <w:t xml:space="preserve">Task-competitor retrieval should remain visible enough to show whether boundary-condition effects operate through competitor recruitment.</w:t>
      </w:r>
    </w:p>
    <w:p>
      <w:pPr>
        <w:pStyle w:val="BodyText"/>
      </w:pPr>
      <w:r>
        <w:t xml:space="preserve">Intended text take-away: This section connects the model to post-reminder interventions.</w:t>
      </w:r>
      <w:r>
        <w:t xml:space="preserve"> </w:t>
      </w:r>
      <w:r>
        <w:t xml:space="preserve">Delayed effects depend on graded reinstatement and drift, rather than an all-or-none storage-disruption window.</w:t>
      </w:r>
      <w:r>
        <w:t xml:space="preserve"> </w:t>
      </w:r>
      <w:r>
        <w:t xml:space="preserve">The reminder restores the contextual condition required for later task encoding to affect film-item retrieval.</w:t>
      </w:r>
    </w:p>
    <w:p>
      <w:pPr>
        <w:pStyle w:val="BodyText"/>
      </w:pPr>
      <w:r>
        <w:t xml:space="preserve">Open specification: Decide whether the main comparison is zero/weak reminder reinstatement versus strong reminder reinstatement, a reminder-strength sweep, a delay/drift sweep, or a compact factorial combination.</w:t>
      </w:r>
      <w:r>
        <w:t xml:space="preserve"> </w:t>
      </w:r>
      <w:r>
        <w:t xml:space="preserve">Decide whether immediate interference remains a baseline within this section or is treated as the contrast condition established in Simulation 1.</w:t>
      </w:r>
    </w:p>
    <w:bookmarkEnd w:id="63"/>
    <w:bookmarkStart w:id="64" w:name="X8f13dd31699f6be4bb876276554fb91bb4e3a48"/>
    <w:p>
      <w:pPr>
        <w:pStyle w:val="Heading2"/>
      </w:pPr>
      <w:r>
        <w:t xml:space="preserve">Simulation 5: Task Specificity and Affective Overlap</w:t>
      </w:r>
    </w:p>
    <w:p>
      <w:pPr>
        <w:pStyle w:val="FirstParagraph"/>
      </w:pPr>
      <w:r>
        <w:t xml:space="preserve">Premise: This simulation asks what makes a visuospatial task effective in model terms.</w:t>
      </w:r>
      <w:r>
        <w:t xml:space="preserve"> </w:t>
      </w:r>
      <w:r>
        <w:t xml:space="preserve">Competitor strength is one route by which task items become effective competitors.</w:t>
      </w:r>
      <w:r>
        <w:t xml:space="preserve"> </w:t>
      </w:r>
      <w:r>
        <w:t xml:space="preserve">Contextual and affective overlap can amplify that competition when task items are cued alongside film items.</w:t>
      </w:r>
      <w:r>
        <w:t xml:space="preserve"> </w:t>
      </w:r>
      <w:r>
        <w:t xml:space="preserve">This section should distinguish model-level task properties from the surface label of a task as visuospatial.</w:t>
      </w:r>
    </w:p>
    <w:p>
      <w:pPr>
        <w:pStyle w:val="BodyText"/>
      </w:pPr>
      <w:r>
        <w:t xml:space="preserve">Primary readouts: The figure should show film-item access and task-competitor retrieval under task-strength and affective-overlap variants.</w:t>
      </w:r>
      <w:r>
        <w:t xml:space="preserve"> </w:t>
      </w:r>
      <w:r>
        <w:t xml:space="preserve">If contextual overlap is also varied here, the display should make clear which factor changes competitor recruitment and which factor changes competitor success once cued.</w:t>
      </w:r>
      <w:r>
        <w:t xml:space="preserve"> </w:t>
      </w:r>
      <w:r>
        <w:t xml:space="preserve">Phase-resolved recall remains useful because the model’s explanation depends on task items entering retrieval alongside film items.</w:t>
      </w:r>
    </w:p>
    <w:p>
      <w:pPr>
        <w:pStyle w:val="BodyText"/>
      </w:pPr>
      <w:r>
        <w:t xml:space="preserve">Intended text take-away: The account does not require a special trace-weakening effect of visuospatial tasks.</w:t>
      </w:r>
      <w:r>
        <w:t xml:space="preserve"> </w:t>
      </w:r>
      <w:r>
        <w:t xml:space="preserve">Task effectiveness can be decomposed into retrieved-context properties: competitor strength, contextual overlap, affective overlap, or their combination.</w:t>
      </w:r>
      <w:r>
        <w:t xml:space="preserve"> </w:t>
      </w:r>
      <w:r>
        <w:t xml:space="preserve">Affective matching can be used as a sensitivity extension if it is run as a specific manipulation, but it should not become the main explanation unless the simulations make it central.</w:t>
      </w:r>
    </w:p>
    <w:p>
      <w:pPr>
        <w:pStyle w:val="BodyText"/>
      </w:pPr>
      <w:r>
        <w:t xml:space="preserve">Open specification: Decide whether affective overlap is a main simulation or a sensitivity analysis.</w:t>
      </w:r>
      <w:r>
        <w:t xml:space="preserve"> </w:t>
      </w:r>
      <w:r>
        <w:t xml:space="preserve">Decide whether comparison-task conditions are best represented as weak task learning, lower overlap, lower affective overlap, or a particular combination tied to an empirical contrast.</w:t>
      </w:r>
    </w:p>
    <w:bookmarkEnd w:id="64"/>
    <w:bookmarkStart w:id="65" w:name="X34b78819c3c9c63aaecccc23d6b34f0539f8200"/>
    <w:p>
      <w:pPr>
        <w:pStyle w:val="Heading2"/>
      </w:pPr>
      <w:r>
        <w:t xml:space="preserve">Simulation 6: Cue Support and Test-Format Extensions</w:t>
      </w:r>
    </w:p>
    <w:p>
      <w:pPr>
        <w:pStyle w:val="FirstParagraph"/>
      </w:pPr>
      <w:r>
        <w:t xml:space="preserve">Premise: Intrusion diaries, vigilance-style monitoring, free recall, cued recall, and recognition-like tests differ in how much they rely on broad context-to-feature search versus film-directed retrieval support.</w:t>
      </w:r>
      <w:r>
        <w:t xml:space="preserve"> </w:t>
      </w:r>
      <w:r>
        <w:t xml:space="preserve">This section asks how film-related monitoring cues and tests that supply a film item alter vulnerability to task interference.</w:t>
      </w:r>
      <w:r>
        <w:t xml:space="preserve"> </w:t>
      </w:r>
      <w:r>
        <w:t xml:space="preserve">The section should only become a simulation result if each test format is assigned a concrete retrieval or cueing setting.</w:t>
      </w:r>
      <w:r>
        <w:t xml:space="preserve"> </w:t>
      </w:r>
      <w:r>
        <w:t xml:space="preserve">Candidate settings include unguided retrieval from ongoing context, monitoring with film-related cues, deliberate recall with film-directed start cueing, cued recall with stronger external support, and supplied-film-item access.</w:t>
      </w:r>
    </w:p>
    <w:p>
      <w:pPr>
        <w:pStyle w:val="BodyText"/>
      </w:pPr>
      <w:r>
        <w:t xml:space="preserve">Primary readouts: The figure should show a graded vulnerability profile across retrieval and cueing settings under the same stored associations.</w:t>
      </w:r>
      <w:r>
        <w:t xml:space="preserve"> </w:t>
      </w:r>
      <w:r>
        <w:t xml:space="preserve">The useful result is a continuum of film-item impairment across broad unguided search, film-cued monitoring, deliberate recall, and supplied-film-item access.</w:t>
      </w:r>
      <w:r>
        <w:t xml:space="preserve"> </w:t>
      </w:r>
      <w:r>
        <w:t xml:space="preserve">The display should avoid implying a full recognition decision model unless such a mechanism is added.</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depending on how much the task supports film-directed retrieval or supplies film items as cues.</w:t>
      </w:r>
      <w:r>
        <w:t xml:space="preserve"> </w:t>
      </w:r>
      <w:r>
        <w:t xml:space="preserve">Cue-rich tests should narrow the intrusion-voluntary-memory dissociation because they reduce reliance on broad context-to-feature sampling.</w:t>
      </w:r>
    </w:p>
    <w:p>
      <w:pPr>
        <w:pStyle w:val="BodyText"/>
      </w:pPr>
      <w:r>
        <w:t xml:space="preserve">Open specification: The mapping from empirical test format to model setting is the main unresolved piece.</w:t>
      </w:r>
      <w:r>
        <w:t xml:space="preserve"> </w:t>
      </w:r>
      <w:r>
        <w:t xml:space="preserve">If the mapping remains qualitative, this material belongs in the discussion rather than as a numbered simulation.</w:t>
      </w:r>
      <w:r>
        <w:t xml:space="preserve"> </w:t>
      </w:r>
      <w:r>
        <w:t xml:space="preserve">Decide whether supplied-film-item access is implemented strongly enough to justify splitting this section into a separate recognition-like simulation later.</w:t>
      </w:r>
    </w:p>
    <w:bookmarkEnd w:id="65"/>
    <w:bookmarkEnd w:id="66"/>
    <w:bookmarkStart w:id="67" w:name="general-discussion"/>
    <w:p>
      <w:pPr>
        <w:pStyle w:val="Heading1"/>
      </w:pPr>
      <w:r>
        <w:t xml:space="preserve">General Discussion</w:t>
      </w:r>
    </w:p>
    <w:bookmarkEnd w:id="67"/>
    <w:bookmarkStart w:id="138" w:name="references"/>
    <w:p>
      <w:pPr>
        <w:pStyle w:val="Heading1"/>
      </w:pPr>
      <w:r>
        <w:t xml:space="preserve">References</w:t>
      </w:r>
    </w:p>
    <w:bookmarkStart w:id="137" w:name="refs"/>
    <w:bookmarkStart w:id="69"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68">
        <w:r>
          <w:rPr>
            <w:rStyle w:val="Hyperlink"/>
          </w:rPr>
          <w:t xml:space="preserve">https://doi.org/10.1016/j.jpsychires.2023.01.028</w:t>
        </w:r>
      </w:hyperlink>
    </w:p>
    <w:bookmarkEnd w:id="69"/>
    <w:bookmarkStart w:id="71"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70">
        <w:r>
          <w:rPr>
            <w:rStyle w:val="Hyperlink"/>
          </w:rPr>
          <w:t xml:space="preserve">https://doi.org/10.1037/a0033722</w:t>
        </w:r>
      </w:hyperlink>
    </w:p>
    <w:bookmarkEnd w:id="71"/>
    <w:bookmarkStart w:id="73"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72">
        <w:r>
          <w:rPr>
            <w:rStyle w:val="Hyperlink"/>
          </w:rPr>
          <w:t xml:space="preserve">https://doi.org/10.1037/0033-295X.103.4.670</w:t>
        </w:r>
      </w:hyperlink>
    </w:p>
    <w:bookmarkEnd w:id="73"/>
    <w:bookmarkStart w:id="75"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74">
        <w:r>
          <w:rPr>
            <w:rStyle w:val="Hyperlink"/>
          </w:rPr>
          <w:t xml:space="preserve">https://doi.org/10.1037/a0018113</w:t>
        </w:r>
      </w:hyperlink>
    </w:p>
    <w:bookmarkEnd w:id="75"/>
    <w:bookmarkStart w:id="77"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76">
        <w:r>
          <w:rPr>
            <w:rStyle w:val="Hyperlink"/>
          </w:rPr>
          <w:t xml:space="preserve">https://doi.org/10.1037/rev0000334</w:t>
        </w:r>
      </w:hyperlink>
    </w:p>
    <w:bookmarkEnd w:id="77"/>
    <w:bookmarkStart w:id="79"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78">
        <w:r>
          <w:rPr>
            <w:rStyle w:val="Hyperlink"/>
          </w:rPr>
          <w:t xml:space="preserve">https://doi.org/10.1016/j.jbtep.2011.10.008</w:t>
        </w:r>
      </w:hyperlink>
    </w:p>
    <w:bookmarkEnd w:id="79"/>
    <w:bookmarkStart w:id="80"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80"/>
    <w:bookmarkStart w:id="82"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81">
        <w:r>
          <w:rPr>
            <w:rStyle w:val="Hyperlink"/>
          </w:rPr>
          <w:t xml:space="preserve">https://doi.org/10.1016/S0005-7967(99)00123-0</w:t>
        </w:r>
      </w:hyperlink>
    </w:p>
    <w:bookmarkEnd w:id="82"/>
    <w:bookmarkStart w:id="84"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83">
        <w:r>
          <w:rPr>
            <w:rStyle w:val="Hyperlink"/>
          </w:rPr>
          <w:t xml:space="preserve">https://doi.org/10.1016/j.actpsy.2007.11.002</w:t>
        </w:r>
      </w:hyperlink>
    </w:p>
    <w:bookmarkEnd w:id="84"/>
    <w:bookmarkStart w:id="86"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85">
        <w:r>
          <w:rPr>
            <w:rStyle w:val="Hyperlink"/>
          </w:rPr>
          <w:t xml:space="preserve">https://doi.org/10.1037/0096-3445.133.1.3</w:t>
        </w:r>
      </w:hyperlink>
    </w:p>
    <w:bookmarkEnd w:id="86"/>
    <w:bookmarkStart w:id="88"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87">
        <w:r>
          <w:rPr>
            <w:rStyle w:val="Hyperlink"/>
          </w:rPr>
          <w:t xml:space="preserve">https://doi.org/10.1371/journal.pone.0004153</w:t>
        </w:r>
      </w:hyperlink>
    </w:p>
    <w:bookmarkEnd w:id="88"/>
    <w:bookmarkStart w:id="90"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89">
        <w:r>
          <w:rPr>
            <w:rStyle w:val="Hyperlink"/>
          </w:rPr>
          <w:t xml:space="preserve">https://doi.org/10.1371/journal.pone.0013706</w:t>
        </w:r>
      </w:hyperlink>
    </w:p>
    <w:bookmarkEnd w:id="90"/>
    <w:bookmarkStart w:id="92"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91">
        <w:r>
          <w:rPr>
            <w:rStyle w:val="Hyperlink"/>
          </w:rPr>
          <w:t xml:space="preserve">https://doi.org/10.1016/j.brat.2017.03.018</w:t>
        </w:r>
      </w:hyperlink>
    </w:p>
    <w:bookmarkEnd w:id="92"/>
    <w:bookmarkStart w:id="94"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93">
        <w:r>
          <w:rPr>
            <w:rStyle w:val="Hyperlink"/>
          </w:rPr>
          <w:t xml:space="preserve">https://doi.org/10.1006/jmps.2001.1388</w:t>
        </w:r>
      </w:hyperlink>
    </w:p>
    <w:bookmarkEnd w:id="94"/>
    <w:bookmarkStart w:id="95"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95"/>
    <w:bookmarkStart w:id="97"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96">
        <w:r>
          <w:rPr>
            <w:rStyle w:val="Hyperlink"/>
          </w:rPr>
          <w:t xml:space="preserve">https://doi.org/10.1038/mp.2017.23</w:t>
        </w:r>
      </w:hyperlink>
    </w:p>
    <w:bookmarkEnd w:id="97"/>
    <w:bookmarkStart w:id="99"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98">
        <w:r>
          <w:rPr>
            <w:rStyle w:val="Hyperlink"/>
          </w:rPr>
          <w:t xml:space="preserve">https://doi.org/10.1016/j.cpr.2018.08.005</w:t>
        </w:r>
      </w:hyperlink>
    </w:p>
    <w:bookmarkEnd w:id="99"/>
    <w:bookmarkStart w:id="101"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00">
        <w:r>
          <w:rPr>
            <w:rStyle w:val="Hyperlink"/>
          </w:rPr>
          <w:t xml:space="preserve">https://doi.org/10.1177/0956797615583071</w:t>
        </w:r>
      </w:hyperlink>
    </w:p>
    <w:bookmarkEnd w:id="101"/>
    <w:bookmarkStart w:id="103"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02">
        <w:r>
          <w:rPr>
            <w:rStyle w:val="Hyperlink"/>
          </w:rPr>
          <w:t xml:space="preserve">https://doi.org/10.1016/j.cpr.2016.04.010</w:t>
        </w:r>
      </w:hyperlink>
    </w:p>
    <w:bookmarkEnd w:id="103"/>
    <w:bookmarkStart w:id="10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04"/>
    <w:bookmarkStart w:id="106"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05">
        <w:r>
          <w:rPr>
            <w:rStyle w:val="Hyperlink"/>
          </w:rPr>
          <w:t xml:space="preserve">https://doi.org/10.1002/cpp.2489</w:t>
        </w:r>
      </w:hyperlink>
    </w:p>
    <w:bookmarkEnd w:id="106"/>
    <w:bookmarkStart w:id="108"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07">
        <w:r>
          <w:rPr>
            <w:rStyle w:val="Hyperlink"/>
          </w:rPr>
          <w:t xml:space="preserve">https://doi.org/10.1016/j.jbtep.2019.01.006</w:t>
        </w:r>
      </w:hyperlink>
    </w:p>
    <w:bookmarkEnd w:id="108"/>
    <w:bookmarkStart w:id="110"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09">
        <w:r>
          <w:rPr>
            <w:rStyle w:val="Hyperlink"/>
          </w:rPr>
          <w:t xml:space="preserve">https://doi.org/10.1038/nn.2271</w:t>
        </w:r>
      </w:hyperlink>
    </w:p>
    <w:bookmarkEnd w:id="110"/>
    <w:bookmarkStart w:id="112"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11">
        <w:r>
          <w:rPr>
            <w:rStyle w:val="Hyperlink"/>
          </w:rPr>
          <w:t xml:space="preserve">https://doi.org/10.1002/acp.1611</w:t>
        </w:r>
      </w:hyperlink>
    </w:p>
    <w:bookmarkEnd w:id="112"/>
    <w:bookmarkStart w:id="114"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13">
        <w:r>
          <w:rPr>
            <w:rStyle w:val="Hyperlink"/>
          </w:rPr>
          <w:t xml:space="preserve">https://doi.org/10.1037/xge0000598</w:t>
        </w:r>
      </w:hyperlink>
    </w:p>
    <w:bookmarkEnd w:id="114"/>
    <w:bookmarkStart w:id="116"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15">
        <w:r>
          <w:rPr>
            <w:rStyle w:val="Hyperlink"/>
          </w:rPr>
          <w:t xml:space="preserve">https://doi.org/10.1177/2167702621998315</w:t>
        </w:r>
      </w:hyperlink>
    </w:p>
    <w:bookmarkEnd w:id="116"/>
    <w:bookmarkStart w:id="118"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17">
        <w:r>
          <w:rPr>
            <w:rStyle w:val="Hyperlink"/>
          </w:rPr>
          <w:t xml:space="preserve">https://doi.org/10.1037/a0039036</w:t>
        </w:r>
      </w:hyperlink>
    </w:p>
    <w:bookmarkEnd w:id="118"/>
    <w:bookmarkStart w:id="120"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19">
        <w:r>
          <w:rPr>
            <w:rStyle w:val="Hyperlink"/>
          </w:rPr>
          <w:t xml:space="preserve">https://doi.org/10.1037/a0014420</w:t>
        </w:r>
      </w:hyperlink>
    </w:p>
    <w:bookmarkEnd w:id="120"/>
    <w:bookmarkStart w:id="122"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21">
        <w:r>
          <w:rPr>
            <w:rStyle w:val="Hyperlink"/>
          </w:rPr>
          <w:t xml:space="preserve">https://doi.org/10.1016/j.neuropsychologia.2009.02.013</w:t>
        </w:r>
      </w:hyperlink>
    </w:p>
    <w:bookmarkEnd w:id="122"/>
    <w:bookmarkStart w:id="124"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23">
        <w:r>
          <w:rPr>
            <w:rStyle w:val="Hyperlink"/>
          </w:rPr>
          <w:t xml:space="preserve">https://doi.org/10.3758/s13423-011-0086-9</w:t>
        </w:r>
      </w:hyperlink>
    </w:p>
    <w:bookmarkEnd w:id="124"/>
    <w:bookmarkStart w:id="126"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25">
        <w:r>
          <w:rPr>
            <w:rStyle w:val="Hyperlink"/>
          </w:rPr>
          <w:t xml:space="preserve">https://doi.org/10.1037/a0013396</w:t>
        </w:r>
      </w:hyperlink>
    </w:p>
    <w:bookmarkEnd w:id="126"/>
    <w:bookmarkStart w:id="128"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27">
        <w:r>
          <w:rPr>
            <w:rStyle w:val="Hyperlink"/>
          </w:rPr>
          <w:t xml:space="preserve">https://doi.org/10.1037/rev0000132</w:t>
        </w:r>
      </w:hyperlink>
    </w:p>
    <w:bookmarkEnd w:id="128"/>
    <w:bookmarkStart w:id="130"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29">
        <w:r>
          <w:rPr>
            <w:rStyle w:val="Hyperlink"/>
          </w:rPr>
          <w:t xml:space="preserve">https://doi.org/10.1038/s41562-024-01956-y</w:t>
        </w:r>
      </w:hyperlink>
    </w:p>
    <w:bookmarkEnd w:id="130"/>
    <w:bookmarkStart w:id="132"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31">
        <w:r>
          <w:rPr>
            <w:rStyle w:val="Hyperlink"/>
          </w:rPr>
          <w:t xml:space="preserve">https://doi.org/10.1525/collabra.130791</w:t>
        </w:r>
      </w:hyperlink>
    </w:p>
    <w:bookmarkEnd w:id="132"/>
    <w:bookmarkStart w:id="134"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33">
        <w:r>
          <w:rPr>
            <w:rStyle w:val="Hyperlink"/>
          </w:rPr>
          <w:t xml:space="preserve">https://doi.org/10.1038/s41583-019-0150-4</w:t>
        </w:r>
      </w:hyperlink>
    </w:p>
    <w:bookmarkEnd w:id="134"/>
    <w:bookmarkStart w:id="136"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35">
        <w:r>
          <w:rPr>
            <w:rStyle w:val="Hyperlink"/>
          </w:rPr>
          <w:t xml:space="preserve">https://doi.org/10.1037/0278-7393.32.4.792</w:t>
        </w:r>
      </w:hyperlink>
    </w:p>
    <w:bookmarkEnd w:id="136"/>
    <w:bookmarkEnd w:id="137"/>
    <w:bookmarkEnd w:id="13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25" Target="media/rId25.png" /><Relationship Type="http://schemas.openxmlformats.org/officeDocument/2006/relationships/hyperlink" Id="rId111" Target="https://doi.org/10.1002/acp.1611" TargetMode="External" /><Relationship Type="http://schemas.openxmlformats.org/officeDocument/2006/relationships/hyperlink" Id="rId105" Target="https://doi.org/10.1002/cpp.2489" TargetMode="External" /><Relationship Type="http://schemas.openxmlformats.org/officeDocument/2006/relationships/hyperlink" Id="rId93" Target="https://doi.org/10.1006/jmps.2001.1388" TargetMode="External" /><Relationship Type="http://schemas.openxmlformats.org/officeDocument/2006/relationships/hyperlink" Id="rId81" Target="https://doi.org/10.1016/S0005-7967(99)00123-0" TargetMode="External" /><Relationship Type="http://schemas.openxmlformats.org/officeDocument/2006/relationships/hyperlink" Id="rId83" Target="https://doi.org/10.1016/j.actpsy.2007.11.002" TargetMode="External" /><Relationship Type="http://schemas.openxmlformats.org/officeDocument/2006/relationships/hyperlink" Id="rId91" Target="https://doi.org/10.1016/j.brat.2017.03.018" TargetMode="External" /><Relationship Type="http://schemas.openxmlformats.org/officeDocument/2006/relationships/hyperlink" Id="rId102" Target="https://doi.org/10.1016/j.cpr.2016.04.010" TargetMode="External" /><Relationship Type="http://schemas.openxmlformats.org/officeDocument/2006/relationships/hyperlink" Id="rId98" Target="https://doi.org/10.1016/j.cpr.2018.08.005" TargetMode="External" /><Relationship Type="http://schemas.openxmlformats.org/officeDocument/2006/relationships/hyperlink" Id="rId78" Target="https://doi.org/10.1016/j.jbtep.2011.10.008" TargetMode="External" /><Relationship Type="http://schemas.openxmlformats.org/officeDocument/2006/relationships/hyperlink" Id="rId107" Target="https://doi.org/10.1016/j.jbtep.2019.01.006" TargetMode="External" /><Relationship Type="http://schemas.openxmlformats.org/officeDocument/2006/relationships/hyperlink" Id="rId68" Target="https://doi.org/10.1016/j.jpsychires.2023.01.028" TargetMode="External" /><Relationship Type="http://schemas.openxmlformats.org/officeDocument/2006/relationships/hyperlink" Id="rId121" Target="https://doi.org/10.1016/j.neuropsychologia.2009.02.013" TargetMode="External" /><Relationship Type="http://schemas.openxmlformats.org/officeDocument/2006/relationships/hyperlink" Id="rId72" Target="https://doi.org/10.1037/0033-295X.103.4.670" TargetMode="External" /><Relationship Type="http://schemas.openxmlformats.org/officeDocument/2006/relationships/hyperlink" Id="rId85" Target="https://doi.org/10.1037/0096-3445.133.1.3" TargetMode="External" /><Relationship Type="http://schemas.openxmlformats.org/officeDocument/2006/relationships/hyperlink" Id="rId135" Target="https://doi.org/10.1037/0278-7393.32.4.792" TargetMode="External" /><Relationship Type="http://schemas.openxmlformats.org/officeDocument/2006/relationships/hyperlink" Id="rId125" Target="https://doi.org/10.1037/a0013396" TargetMode="External" /><Relationship Type="http://schemas.openxmlformats.org/officeDocument/2006/relationships/hyperlink" Id="rId119" Target="https://doi.org/10.1037/a0014420" TargetMode="External" /><Relationship Type="http://schemas.openxmlformats.org/officeDocument/2006/relationships/hyperlink" Id="rId74" Target="https://doi.org/10.1037/a0018113" TargetMode="External" /><Relationship Type="http://schemas.openxmlformats.org/officeDocument/2006/relationships/hyperlink" Id="rId70" Target="https://doi.org/10.1037/a0033722" TargetMode="External" /><Relationship Type="http://schemas.openxmlformats.org/officeDocument/2006/relationships/hyperlink" Id="rId117" Target="https://doi.org/10.1037/a0039036" TargetMode="External" /><Relationship Type="http://schemas.openxmlformats.org/officeDocument/2006/relationships/hyperlink" Id="rId127" Target="https://doi.org/10.1037/rev0000132" TargetMode="External" /><Relationship Type="http://schemas.openxmlformats.org/officeDocument/2006/relationships/hyperlink" Id="rId76" Target="https://doi.org/10.1037/rev0000334" TargetMode="External" /><Relationship Type="http://schemas.openxmlformats.org/officeDocument/2006/relationships/hyperlink" Id="rId113" Target="https://doi.org/10.1037/xge0000598" TargetMode="External" /><Relationship Type="http://schemas.openxmlformats.org/officeDocument/2006/relationships/hyperlink" Id="rId96" Target="https://doi.org/10.1038/mp.2017.23" TargetMode="External" /><Relationship Type="http://schemas.openxmlformats.org/officeDocument/2006/relationships/hyperlink" Id="rId109" Target="https://doi.org/10.1038/nn.2271" TargetMode="External" /><Relationship Type="http://schemas.openxmlformats.org/officeDocument/2006/relationships/hyperlink" Id="rId129" Target="https://doi.org/10.1038/s41562-024-01956-y" TargetMode="External" /><Relationship Type="http://schemas.openxmlformats.org/officeDocument/2006/relationships/hyperlink" Id="rId133" Target="https://doi.org/10.1038/s41583-019-0150-4" TargetMode="External" /><Relationship Type="http://schemas.openxmlformats.org/officeDocument/2006/relationships/hyperlink" Id="rId100" Target="https://doi.org/10.1177/0956797615583071" TargetMode="External" /><Relationship Type="http://schemas.openxmlformats.org/officeDocument/2006/relationships/hyperlink" Id="rId115" Target="https://doi.org/10.1177/2167702621998315" TargetMode="External" /><Relationship Type="http://schemas.openxmlformats.org/officeDocument/2006/relationships/hyperlink" Id="rId87" Target="https://doi.org/10.1371/journal.pone.0004153" TargetMode="External" /><Relationship Type="http://schemas.openxmlformats.org/officeDocument/2006/relationships/hyperlink" Id="rId89" Target="https://doi.org/10.1371/journal.pone.0013706" TargetMode="External" /><Relationship Type="http://schemas.openxmlformats.org/officeDocument/2006/relationships/hyperlink" Id="rId131" Target="https://doi.org/10.1525/collabra.130791" TargetMode="External" /><Relationship Type="http://schemas.openxmlformats.org/officeDocument/2006/relationships/hyperlink" Id="rId123"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2/acp.1611" TargetMode="External" /><Relationship Type="http://schemas.openxmlformats.org/officeDocument/2006/relationships/hyperlink" Id="rId105" Target="https://doi.org/10.1002/cpp.2489" TargetMode="External" /><Relationship Type="http://schemas.openxmlformats.org/officeDocument/2006/relationships/hyperlink" Id="rId93" Target="https://doi.org/10.1006/jmps.2001.1388" TargetMode="External" /><Relationship Type="http://schemas.openxmlformats.org/officeDocument/2006/relationships/hyperlink" Id="rId81" Target="https://doi.org/10.1016/S0005-7967(99)00123-0" TargetMode="External" /><Relationship Type="http://schemas.openxmlformats.org/officeDocument/2006/relationships/hyperlink" Id="rId83" Target="https://doi.org/10.1016/j.actpsy.2007.11.002" TargetMode="External" /><Relationship Type="http://schemas.openxmlformats.org/officeDocument/2006/relationships/hyperlink" Id="rId91" Target="https://doi.org/10.1016/j.brat.2017.03.018" TargetMode="External" /><Relationship Type="http://schemas.openxmlformats.org/officeDocument/2006/relationships/hyperlink" Id="rId102" Target="https://doi.org/10.1016/j.cpr.2016.04.010" TargetMode="External" /><Relationship Type="http://schemas.openxmlformats.org/officeDocument/2006/relationships/hyperlink" Id="rId98" Target="https://doi.org/10.1016/j.cpr.2018.08.005" TargetMode="External" /><Relationship Type="http://schemas.openxmlformats.org/officeDocument/2006/relationships/hyperlink" Id="rId78" Target="https://doi.org/10.1016/j.jbtep.2011.10.008" TargetMode="External" /><Relationship Type="http://schemas.openxmlformats.org/officeDocument/2006/relationships/hyperlink" Id="rId107" Target="https://doi.org/10.1016/j.jbtep.2019.01.006" TargetMode="External" /><Relationship Type="http://schemas.openxmlformats.org/officeDocument/2006/relationships/hyperlink" Id="rId68" Target="https://doi.org/10.1016/j.jpsychires.2023.01.028" TargetMode="External" /><Relationship Type="http://schemas.openxmlformats.org/officeDocument/2006/relationships/hyperlink" Id="rId121" Target="https://doi.org/10.1016/j.neuropsychologia.2009.02.013" TargetMode="External" /><Relationship Type="http://schemas.openxmlformats.org/officeDocument/2006/relationships/hyperlink" Id="rId72" Target="https://doi.org/10.1037/0033-295X.103.4.670" TargetMode="External" /><Relationship Type="http://schemas.openxmlformats.org/officeDocument/2006/relationships/hyperlink" Id="rId85" Target="https://doi.org/10.1037/0096-3445.133.1.3" TargetMode="External" /><Relationship Type="http://schemas.openxmlformats.org/officeDocument/2006/relationships/hyperlink" Id="rId135" Target="https://doi.org/10.1037/0278-7393.32.4.792" TargetMode="External" /><Relationship Type="http://schemas.openxmlformats.org/officeDocument/2006/relationships/hyperlink" Id="rId125" Target="https://doi.org/10.1037/a0013396" TargetMode="External" /><Relationship Type="http://schemas.openxmlformats.org/officeDocument/2006/relationships/hyperlink" Id="rId119" Target="https://doi.org/10.1037/a0014420" TargetMode="External" /><Relationship Type="http://schemas.openxmlformats.org/officeDocument/2006/relationships/hyperlink" Id="rId74" Target="https://doi.org/10.1037/a0018113" TargetMode="External" /><Relationship Type="http://schemas.openxmlformats.org/officeDocument/2006/relationships/hyperlink" Id="rId70" Target="https://doi.org/10.1037/a0033722" TargetMode="External" /><Relationship Type="http://schemas.openxmlformats.org/officeDocument/2006/relationships/hyperlink" Id="rId117" Target="https://doi.org/10.1037/a0039036" TargetMode="External" /><Relationship Type="http://schemas.openxmlformats.org/officeDocument/2006/relationships/hyperlink" Id="rId127" Target="https://doi.org/10.1037/rev0000132" TargetMode="External" /><Relationship Type="http://schemas.openxmlformats.org/officeDocument/2006/relationships/hyperlink" Id="rId76" Target="https://doi.org/10.1037/rev0000334" TargetMode="External" /><Relationship Type="http://schemas.openxmlformats.org/officeDocument/2006/relationships/hyperlink" Id="rId113" Target="https://doi.org/10.1037/xge0000598" TargetMode="External" /><Relationship Type="http://schemas.openxmlformats.org/officeDocument/2006/relationships/hyperlink" Id="rId96" Target="https://doi.org/10.1038/mp.2017.23" TargetMode="External" /><Relationship Type="http://schemas.openxmlformats.org/officeDocument/2006/relationships/hyperlink" Id="rId109" Target="https://doi.org/10.1038/nn.2271" TargetMode="External" /><Relationship Type="http://schemas.openxmlformats.org/officeDocument/2006/relationships/hyperlink" Id="rId129" Target="https://doi.org/10.1038/s41562-024-01956-y" TargetMode="External" /><Relationship Type="http://schemas.openxmlformats.org/officeDocument/2006/relationships/hyperlink" Id="rId133" Target="https://doi.org/10.1038/s41583-019-0150-4" TargetMode="External" /><Relationship Type="http://schemas.openxmlformats.org/officeDocument/2006/relationships/hyperlink" Id="rId100" Target="https://doi.org/10.1177/0956797615583071" TargetMode="External" /><Relationship Type="http://schemas.openxmlformats.org/officeDocument/2006/relationships/hyperlink" Id="rId115" Target="https://doi.org/10.1177/2167702621998315" TargetMode="External" /><Relationship Type="http://schemas.openxmlformats.org/officeDocument/2006/relationships/hyperlink" Id="rId87" Target="https://doi.org/10.1371/journal.pone.0004153" TargetMode="External" /><Relationship Type="http://schemas.openxmlformats.org/officeDocument/2006/relationships/hyperlink" Id="rId89" Target="https://doi.org/10.1371/journal.pone.0013706" TargetMode="External" /><Relationship Type="http://schemas.openxmlformats.org/officeDocument/2006/relationships/hyperlink" Id="rId131" Target="https://doi.org/10.1525/collabra.130791" TargetMode="External" /><Relationship Type="http://schemas.openxmlformats.org/officeDocument/2006/relationships/hyperlink" Id="rId123"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2026-05-22T13:59:26Z</dcterms:created>
  <dcterms:modified xsi:type="dcterms:W3CDTF">2026-05-22T13:59:26Z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