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Intrusive and Voluntary Memory from a Single System: A Retrieved-Context Account of Selective Interference</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crossing reminder condition, intervening task, and retrieval measure.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(B) The interference intervention alters this structure during encoding. Without a pre-task reminder, task items are encoded in relatively distinct context states. With a pre-task film reminder, task encoding occurs after film-associated context has been reinstated. When task encoding is strong, task items become strongly linked to those film-overlapping context states. Thus, the same context that can cue film items can also cue task competitors during later retrieval. Blue marks film items or film-linked context, orange marks task items or task-linked context, green marks film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(B) A maintained film goal provides an additional deliberate-retrieval signal through context-to-feature memory. Ongoing context can still cue both film items and task competitors, but the film goal adds support to film candidates rather than to task competitors. (C)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p>
      <w:r>
        <w:br w:type="page"/>
      </w:r>
    </w:p>
    <w:bookmarkEnd w:id="60"/>
    <w:bookmarkStart w:id="64" w:name="X4b971085a32b00b7d6d10c2980fa2959349f2f4"/>
    <w:p>
      <w:pPr>
        <w:pStyle w:val="Heading1"/>
      </w:pPr>
      <w:r>
        <w:t xml:space="preserve">Simulation 4: Context-to-Item and Item-to-Context Test Formats</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(MFC; green) lets an available item reinstate its associated context, whereas context-to-feature memory (MCF; red) lets context cue candidate items. (B) Reduced schematics show selected readouts from the MFC and MCF associative networks. C1-C4 are example context units/features, and film/task circles are example item units. When film-associated context cues items through MCF, task items encoded in overlapping reminder-linked context can compete with film items. When a film item reinstates context through MFC, the readout targets context units, so task items are not competitors in that step. (C) In recognition, the tested film item is already available. Its associated context is compared with ongoing test context; stronger matches provide stronger evidence that the item appeared in the film. (D) Film recognition accuracy is plotted across the same reminder and task-encoding conditions used in the recall simulations. Accuracy is corrected for endorsing unstudied film-like lures by subtracting false-alarm rate from hit rate. The reminder-plus-strong-task condition does not produce a corresponding reduction in recognition accuracy. Green marks the MFC/item-to-context route, red marks the MCF/context-to-item route, blue marks film items, orange marks task items, and gray marks shared context or item-layer structure.</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Intrusive and Voluntary Memory from a Single System: A Retrieved-Context Account of Selective Interference</dc:title>
  <dc:creator>Jordan B Gunn</dc:creator>
  <cp:keywords>intrusive memories, voluntary memory, trauma-film paradigm, visuospatial intervention, selective interference, retrieved-context theory, computational modeling</cp:keywords>
  <dcterms:created xsi:type="dcterms:W3CDTF">2026-06-25T21:31:25Z</dcterms:created>
  <dcterms:modified xsi:type="dcterms:W3CDTF">2026-06-25T21:31:25Z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Intrusive and Voluntary Memory from a Single System</vt:lpwstr>
  </property>
  <property fmtid="{D5CDD505-2E9C-101B-9397-08002B2CF9AE}" pid="13" name="toc-title">
    <vt:lpwstr>Table of contents</vt:lpwstr>
  </property>
</Properties>
</file>