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4.png" ContentType="image/png"/>
  <Override PartName="/word/media/rId80.png" ContentType="image/png"/>
  <Override PartName="/word/media/rId75.png" ContentType="image/png"/>
  <Override PartName="/word/media/rId89.png" ContentType="image/png"/>
  <Override PartName="/word/media/rId97.png" ContentType="image/png"/>
  <Override PartName="/word/media/rId93.png" ContentType="image/png"/>
  <Override PartName="/word/media/rId101.png" ContentType="image/png"/>
  <Override PartName="/word/media/rId105.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r>
        <w:t xml:space="preserve"> </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is implemented as item-to-context reinstatement before task encoding.</w:t>
      </w:r>
      <w:r>
        <w:t xml:space="preserve"> </w:t>
      </w:r>
      <w:r>
        <w:t xml:space="preserve">Later recall is implemented as context-to-item sampling from the film and non-film items supported by the current retrieval state.</w:t>
      </w:r>
      <w:r>
        <w:t xml:space="preserve"> </w:t>
      </w:r>
      <w:r>
        <w:t xml:space="preserve">When that context supports both film and task material, task items compete with film recall rather than merely weakening a film trace.</w:t>
      </w:r>
    </w:p>
    <w:p>
      <w:pPr>
        <w:pStyle w:val="BodyText"/>
      </w:pPr>
      <w:r>
        <w:t xml:space="preserve">Deliberate recall is modeled with several retrieval-control processes.</w:t>
      </w:r>
      <w:r>
        <w:t xml:space="preserve"> </w:t>
      </w:r>
      <w:r>
        <w:t xml:space="preserve">Rather than universally protecting film recall in a manner consistent with the selective interference effect, we show that some control mechanisms can increase film recall without making recall less sensitive to reminder-linked task encoding.</w:t>
      </w:r>
      <w:r>
        <w:t xml:space="preserve"> </w:t>
      </w:r>
      <w:r>
        <w:t xml:space="preserve">In the simulations, the strongest protection comes from adding a maintained film-retrieval goal that gives film candidates support not shared by task competitors.</w:t>
      </w:r>
      <w:r>
        <w:t xml:space="preserve"> </w:t>
      </w:r>
      <w:r>
        <w:t xml:space="preserve">This identifies a functional condition for selective interference: voluntary recall is protected when it depends less on film-associated temporal context that has also become supportive of task material.</w:t>
      </w:r>
    </w:p>
    <w:p>
      <w:pPr>
        <w:pStyle w:val="BodyText"/>
      </w:pPr>
      <w:r>
        <w:t xml:space="preserve">The simulations follow a generalization-style modeling logic</w:t>
      </w:r>
      <w:r>
        <w:t xml:space="preserve"> </w:t>
      </w:r>
      <w:r>
        <w:t xml:space="preserve">(</w:t>
      </w:r>
      <w:hyperlink w:anchor="ref-busemeyer2000model">
        <w:r>
          <w:rPr>
            <w:rStyle w:val="Hyperlink"/>
          </w:rPr>
          <w:t xml:space="preserve">Busemeyer &amp; Wang, 2000</w:t>
        </w:r>
      </w:hyperlink>
      <w:r>
        <w:t xml:space="preserve">;</w:t>
      </w:r>
      <w:r>
        <w:t xml:space="preserve"> </w:t>
      </w:r>
      <w:hyperlink w:anchor="ref-lohnas2023event">
        <w:r>
          <w:rPr>
            <w:rStyle w:val="Hyperlink"/>
          </w:rPr>
          <w:t xml:space="preserve">Lohnas et al., 2023</w:t>
        </w:r>
      </w:hyperlink>
      <w:r>
        <w:t xml:space="preserve">)</w:t>
      </w:r>
      <w:r>
        <w:t xml:space="preserve">.</w:t>
      </w:r>
      <w:r>
        <w:t xml:space="preserve"> </w:t>
      </w:r>
      <w:r>
        <w:t xml:space="preserve">We anchor core eCMR parameters in an independent affective free-recall dataset</w:t>
      </w:r>
      <w:r>
        <w:t xml:space="preserve"> </w:t>
      </w:r>
      <w:r>
        <w:t xml:space="preserve">(</w:t>
      </w:r>
      <w:hyperlink w:anchor="ref-dupertuys2026ukraine">
        <w:r>
          <w:rPr>
            <w:rStyle w:val="Hyperlink"/>
          </w:rPr>
          <w:t xml:space="preserve">Dupertuys et al., 2026</w:t>
        </w:r>
      </w:hyperlink>
      <w:r>
        <w:t xml:space="preserve">)</w:t>
      </w:r>
      <w:r>
        <w:t xml:space="preserve">, then map the trauma-film sequence onto that architecture and ask whether it produces the qualitative selective-interference pattern.</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Studies of this effect use tests that differ in whether film content must be generated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Studies using recall, probing, or vigilance-intrusion measures test whether the dissociation persists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6" w:name="Xc30ecb24643046c4752102619295de1bc2871c8"/>
    <w:p>
      <w:pPr>
        <w:pStyle w:val="Heading1"/>
      </w:pPr>
      <w:r>
        <w:t xml:space="preserve">A Retrieved-Context Account of Selective Interference</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w:t>
      </w:r>
      <w:r>
        <w:t xml:space="preserve"> </w:t>
      </w:r>
      <w:r>
        <w:t xml:space="preserve">Context-to-feature associations cue candidate items from the current context, and feature-to-context associations reinstate context when an item is recalled or when a reminder or test cue is presented.</w:t>
      </w:r>
      <w:r>
        <w:t xml:space="preserve"> </w:t>
      </w:r>
      <w:r>
        <w:rPr>
          <w:b/>
          <w:bCs/>
        </w:rPr>
        <w:t xml:space="preserve">(B)</w:t>
      </w:r>
      <w:r>
        <w:t xml:space="preserve"> </w:t>
      </w:r>
      <w:r>
        <w:t xml:space="preserve">The interference manipulation changes which context states task items are linked to during encoding.</w:t>
      </w:r>
      <w:r>
        <w:t xml:space="preserve"> </w:t>
      </w:r>
      <w:r>
        <w:t xml:space="preserve">Without a pre-task reminder, task items are encoded after context has drifted away from the film.</w:t>
      </w:r>
      <w:r>
        <w:t xml:space="preserve"> </w:t>
      </w:r>
      <w:r>
        <w:t xml:space="preserve">With a pre-task film reminder, task encoding occurs after film-associated context has been reinstated, so task items are learned in context states that overlap with film context.</w:t>
      </w:r>
      <w:r>
        <w:t xml:space="preserve"> </w:t>
      </w:r>
      <w:r>
        <w:t xml:space="preserve">Thus, the same context that can cue film items can also cue task competitors during later retrieval.</w:t>
      </w:r>
      <w:r>
        <w:t xml:space="preserve"> </w:t>
      </w:r>
      <w:r>
        <w:t xml:space="preserve">When task encoding is strong, those task items become stronger competitors during later context-guided retrieval.</w:t>
      </w:r>
      <w:r>
        <w:t xml:space="preserve"> </w:t>
      </w:r>
      <w:r>
        <w:t xml:space="preserve">Circles mark item features: F labels film items and T labels task items.</w:t>
      </w:r>
      <w:r>
        <w:t xml:space="preserve"> </w:t>
      </w:r>
      <w:r>
        <w:t xml:space="preserve">Squares mark context states.</w:t>
      </w:r>
      <w:r>
        <w:t xml:space="preserve"> </w:t>
      </w:r>
      <w:r>
        <w:t xml:space="preserve">Blue marks film items or film-linked context, orange marks task items or task-linked context, green marks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Stored film and task associations can be sampled from different starting contexts.</w:t>
      </w:r>
      <w:r>
        <w:t xml:space="preserve"> </w:t>
      </w:r>
      <w:r>
        <w:t xml:space="preserve">Unguided retrieval begins from ongoing context, which can support film and task candidates together.</w:t>
      </w:r>
      <w:r>
        <w:t xml:space="preserve"> </w:t>
      </w:r>
      <w:r>
        <w:t xml:space="preserve">Deliberate recall can begin with start-of-film context reinstatement, which favors film candidates while leaving task candidates possible.</w:t>
      </w:r>
      <w:r>
        <w:t xml:space="preserve"> </w:t>
      </w:r>
      <w:r>
        <w:rPr>
          <w:b/>
          <w:bCs/>
        </w:rPr>
        <w:t xml:space="preserve">(B)</w:t>
      </w:r>
      <w:r>
        <w:t xml:space="preserve"> </w:t>
      </w:r>
      <w:r>
        <w:t xml:space="preserve">A maintained film goal provides an additional deliberate-retrieval signal during context-to-feature sampling.</w:t>
      </w:r>
      <w:r>
        <w:t xml:space="preserve"> </w:t>
      </w:r>
      <w:r>
        <w:t xml:space="preserve">Ongoing context can still cue both film items and task competitors, but the maintained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Sampled outputs update the next retrieval context through feature-to-context memory.</w:t>
      </w:r>
      <w:r>
        <w:t xml:space="preserve"> </w:t>
      </w:r>
      <w:r>
        <w:t xml:space="preserve">Recalling a film item keeps later search biased toward film candidates.</w:t>
      </w:r>
      <w:r>
        <w:t xml:space="preserve"> </w:t>
      </w:r>
      <w:r>
        <w:t xml:space="preserve">Recalling a task item without monitoring can shift later context toward task candidates.</w:t>
      </w:r>
      <w:r>
        <w:t xml:space="preserve"> </w:t>
      </w:r>
      <w:r>
        <w:t xml:space="preserve">With retrieval monitoring, the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Retrieved-context models explain recall as search from a changing context state shaped by recent experience and prior retrieval.</w:t>
      </w:r>
      <w:r>
        <w:t xml:space="preserve"> </w:t>
      </w:r>
      <w:r>
        <w:t xml:space="preserve">The current context cues candidate items, and recalled items reinstate context from encoding, producing temporal organization in free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Applied to selective interference, these operations explain how task material becomes linked to film-associated context and how later retrieval determines the extent to which that material competes with film material for recall.</w:t>
      </w:r>
    </w:p>
    <w:p>
      <w:pPr>
        <w:pStyle w:val="BodyText"/>
      </w:pPr>
      <w:r>
        <w:t xml:space="preserve">Film, task, and delay periods are represented as sequences of events that update context.</w:t>
      </w:r>
      <w:r>
        <w:t xml:space="preserve"> </w:t>
      </w:r>
      <w:r>
        <w:t xml:space="preserve">For the film, these events correspond roughly to scenes or segments.</w:t>
      </w:r>
      <w:r>
        <w:t xml:space="preserve"> </w:t>
      </w:r>
      <w:r>
        <w:t xml:space="preserve">For the task and delay periods, they represent non-film events that can also be encoded and later sampled.</w:t>
      </w:r>
      <w:r>
        <w:t xml:space="preserve"> </w:t>
      </w:r>
      <w:r>
        <w:t xml:space="preserve">A film reminder reinstates film-associated context before task encoding.</w:t>
      </w:r>
      <w:r>
        <w:t xml:space="preserve"> </w:t>
      </w:r>
      <w:r>
        <w:t xml:space="preserve">Task events encoded in that state can later be cued alongside film material.</w:t>
      </w:r>
      <w:r>
        <w:t xml:space="preserve"> </w:t>
      </w:r>
      <w:r>
        <w:t xml:space="preserve">Retrieval then depends on how strongly the test setting constrains search toward film material rather than toward the broader set of candidates supported by the current context.</w:t>
      </w:r>
      <w:r>
        <w:t xml:space="preserve"> </w:t>
      </w:r>
      <w:hyperlink w:anchor="X510f1211e07a3ef8f4aa5eaadde4214adc1a9dc">
        <w:r>
          <w:rPr>
            <w:rStyle w:val="Hyperlink"/>
          </w:rPr>
          <w:t xml:space="preserve">Figure 3</w:t>
        </w:r>
      </w:hyperlink>
      <w:r>
        <w:t xml:space="preserve"> </w:t>
      </w:r>
      <w:r>
        <w:t xml:space="preserve">summarizes the encoding and associative structure of the account, and</w:t>
      </w:r>
      <w:r>
        <w:t xml:space="preserve"> </w:t>
      </w:r>
      <w:hyperlink w:anchor="X199e0fd137172f53af28b87c55ae7adfa6c74ee">
        <w:r>
          <w:rPr>
            <w:rStyle w:val="Hyperlink"/>
          </w:rPr>
          <w:t xml:space="preserve">Figure 4</w:t>
        </w:r>
      </w:hyperlink>
      <w:r>
        <w:t xml:space="preserve"> </w:t>
      </w:r>
      <w:r>
        <w:t xml:space="preserve">summarizes the retrieval operations.</w:t>
      </w:r>
    </w:p>
    <w:bookmarkStart w:id="42" w:name="Xd59415b5fd42aab981071d489cd76f318b9874c"/>
    <w:p>
      <w:pPr>
        <w:pStyle w:val="Heading2"/>
      </w:pPr>
      <w:r>
        <w:t xml:space="preserve">Context-Guided Search and Source Organization</w:t>
      </w:r>
    </w:p>
    <w:p>
      <w:pPr>
        <w:pStyle w:val="FirstParagraph"/>
      </w:pPr>
      <w:r>
        <w:t xml:space="preserve">Retrieved-context models were developed to explain structured regularities in open-ended recall.</w:t>
      </w:r>
      <w:r>
        <w:t xml:space="preserve"> </w:t>
      </w:r>
      <w:r>
        <w:t xml:space="preserve">Free recall favors recently studied items, and successive recalls tend to come from nearby study positions</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these models, a gradually changing context state cues candidate items, and recalled items reinstate the contexts in which they were encoded.</w:t>
      </w:r>
      <w:r>
        <w:t xml:space="preserve"> </w:t>
      </w:r>
      <w:r>
        <w:t xml:space="preserve">Recency follows because the retrieval context remains similar to contexts from recent study and recall events.</w:t>
      </w:r>
      <w:r>
        <w:t xml:space="preserve"> </w:t>
      </w:r>
      <w:r>
        <w:t xml:space="preserve">Temporal contiguity follows because a recalled item reinstates context from its study position, which is similar to the contexts associated with nearby items.</w:t>
      </w:r>
    </w:p>
    <w:p>
      <w:pPr>
        <w:pStyle w:val="BodyText"/>
      </w:pPr>
      <w:r>
        <w:t xml:space="preserve">Recall is also organized by shared content, task, and source.</w:t>
      </w:r>
      <w:r>
        <w:t xml:space="preserve"> </w:t>
      </w:r>
      <w:r>
        <w:t xml:space="preserve">Semantically related items, items encoded under the same task, and items from the same source can cluster during recall</w:t>
      </w:r>
      <w:r>
        <w:t xml:space="preserve"> </w:t>
      </w:r>
      <w:r>
        <w:t xml:space="preserve">(</w:t>
      </w:r>
      <w:hyperlink w:anchor="ref-lohnas2023event">
        <w:r>
          <w:rPr>
            <w:rStyle w:val="Hyperlink"/>
          </w:rPr>
          <w:t xml:space="preserve">Lohnas et al., 2023</w:t>
        </w:r>
      </w:hyperlink>
      <w:r>
        <w:t xml:space="preserve">;</w:t>
      </w:r>
      <w:r>
        <w:t xml:space="preserve"> </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 </w:t>
      </w:r>
      <w:hyperlink w:anchor="ref-polyn2012neural">
        <w:r>
          <w:rPr>
            <w:rStyle w:val="Hyperlink"/>
          </w:rPr>
          <w:t xml:space="preserve">2012</w:t>
        </w:r>
      </w:hyperlink>
      <w:r>
        <w:t xml:space="preserve">)</w:t>
      </w:r>
      <w:r>
        <w:t xml:space="preserve">.</w:t>
      </w:r>
      <w:r>
        <w:t xml:space="preserve"> </w:t>
      </w:r>
      <w:r>
        <w:t xml:space="preserve">CMR captures this broader organization by allowing semantic, task, and source information to contribute to the context state that guides retrieval.</w:t>
      </w:r>
      <w:r>
        <w:t xml:space="preserve"> </w:t>
      </w:r>
      <w:r>
        <w:t xml:space="preserve">Items that share these forms of context can support one another during memory search even when temporal position alone would not explain the organization.</w:t>
      </w:r>
      <w:r>
        <w:t xml:space="preserve"> </w:t>
      </w:r>
      <w:r>
        <w:t xml:space="preserve">In an account of the trauma-film paradigm, this lets film material receive shared film-directed support while individual film scenes or segments remain distinct encoded events.</w:t>
      </w:r>
    </w:p>
    <w:p>
      <w:pPr>
        <w:pStyle w:val="BodyText"/>
      </w:pPr>
      <w:r>
        <w:t xml:space="preserve">Emotional memory gives source organization a further role in the present model.</w:t>
      </w:r>
      <w:r>
        <w:t xml:space="preserve"> </w:t>
      </w:r>
      <w:r>
        <w:t xml:space="preserve">Emotional items can cluster together, and emotional material is often remembered better than neutral material</w:t>
      </w:r>
      <w:r>
        <w:t xml:space="preserve"> </w:t>
      </w:r>
      <w:r>
        <w:t xml:space="preserve">(</w:t>
      </w:r>
      <w:hyperlink w:anchor="ref-talmi2007contribution">
        <w:r>
          <w:rPr>
            <w:rStyle w:val="Hyperlink"/>
          </w:rPr>
          <w:t xml:space="preserve">Talmi et al., 2007</w:t>
        </w:r>
      </w:hyperlink>
      <w:r>
        <w:t xml:space="preserve">;</w:t>
      </w:r>
      <w:r>
        <w:t xml:space="preserve"> </w:t>
      </w:r>
      <w:hyperlink w:anchor="ref-talmi2013enhanced">
        <w:r>
          <w:rPr>
            <w:rStyle w:val="Hyperlink"/>
          </w:rPr>
          <w:t xml:space="preserve">Talmi, 2013</w:t>
        </w:r>
      </w:hyperlink>
      <w:r>
        <w:t xml:space="preserve">;</w:t>
      </w:r>
      <w:r>
        <w:t xml:space="preserve"> </w:t>
      </w:r>
      <w:hyperlink w:anchor="ref-talmi2004semantic">
        <w:r>
          <w:rPr>
            <w:rStyle w:val="Hyperlink"/>
          </w:rPr>
          <w:t xml:space="preserve">Talmi &amp; Moscovitch, 2004</w:t>
        </w:r>
      </w:hyperlink>
      <w:r>
        <w:t xml:space="preserve">)</w:t>
      </w:r>
      <w:r>
        <w:t xml:space="preserve">.</w:t>
      </w:r>
      <w:r>
        <w:t xml:space="preserve"> </w:t>
      </w:r>
      <w:r>
        <w:t xml:space="preserve">Emotional CMR represents affective information as a source-like context dimension and allows emotional items to form stronger source-context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same architecture can therefore give trauma-film material a shared film-directed signal and stronger retrieval support, while leaving neutral task and delay material available as separate competitors.</w:t>
      </w:r>
    </w:p>
    <w:bookmarkEnd w:id="42"/>
    <w:bookmarkStart w:id="43" w:name="reminder-linked-competitor-encoding"/>
    <w:p>
      <w:pPr>
        <w:pStyle w:val="Heading2"/>
      </w:pPr>
      <w:r>
        <w:t xml:space="preserve">Reminder-Linked Competitor Encoding</w:t>
      </w:r>
    </w:p>
    <w:p>
      <w:pPr>
        <w:pStyle w:val="FirstParagraph"/>
      </w:pPr>
      <w:r>
        <w:t xml:space="preserve">Reminder-linked task interventions produce interference by changing what task events become associated with during encoding.</w:t>
      </w:r>
      <w:r>
        <w:t xml:space="preserve"> </w:t>
      </w:r>
      <w:r>
        <w:t xml:space="preserve">In a retrieved-context account, task events interfere with film recall when they are encoded in context states that later also support film material.</w:t>
      </w:r>
    </w:p>
    <w:p>
      <w:pPr>
        <w:pStyle w:val="BodyText"/>
      </w:pPr>
      <w:r>
        <w:t xml:space="preserve">A film reminder can change the context in which the later task is encoded.</w:t>
      </w:r>
      <w:r>
        <w:t xml:space="preserve"> </w:t>
      </w:r>
      <w:r>
        <w:t xml:space="preserve">In retrieved-context models, presented or retrieved items can reinstate context from encoding</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When a film cue is presented before the task, it shifts current context toward states associated with the earlier film episode.</w:t>
      </w:r>
      <w:r>
        <w:t xml:space="preserve"> </w:t>
      </w:r>
      <w:r>
        <w:t xml:space="preserve">Task events are then encoded in a context that can later also support film material.</w:t>
      </w:r>
    </w:p>
    <w:p>
      <w:pPr>
        <w:pStyle w:val="BodyText"/>
      </w:pPr>
      <w:r>
        <w:t xml:space="preserve">Recall can include material outside the intended target.</w:t>
      </w:r>
      <w:r>
        <w:t xml:space="preserve"> </w:t>
      </w:r>
      <w:r>
        <w:t xml:space="preserve">In multi-list free recall, participants sometimes report items from earlier lists instead of the list they were asked to recall</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Those errors are structured: they are biased toward recently studied prior lists and change as intervening study or delay changes.</w:t>
      </w:r>
      <w:r>
        <w:t xml:space="preserve"> </w:t>
      </w:r>
      <w:r>
        <w:t xml:space="preserve">Retrieved-context models explain this pattern by treating recall as candidate sampling from the current context.</w:t>
      </w:r>
      <w:r>
        <w:t xml:space="preserve"> </w:t>
      </w:r>
      <w:r>
        <w:t xml:space="preserve">As context drifts, support for non-target items declines.</w:t>
      </w:r>
      <w:r>
        <w:t xml:space="preserve"> </w:t>
      </w:r>
      <w:r>
        <w:t xml:space="preserve">When a non-target item was encoded in a recent or related context, it can still enter the candidate set.</w:t>
      </w:r>
      <w:r>
        <w:t xml:space="preserve"> </w:t>
      </w:r>
      <w:r>
        <w:t xml:space="preserve">This makes task and delay events eligible recall candidates in the trauma-film paradigm.</w:t>
      </w:r>
      <w:r>
        <w:t xml:space="preserve"> </w:t>
      </w:r>
      <w:r>
        <w:t xml:space="preserve">If those events are encoded in context states that later support film recall, they can compete with film material during retrieval.</w:t>
      </w:r>
    </w:p>
    <w:p>
      <w:pPr>
        <w:pStyle w:val="BodyText"/>
      </w:pPr>
      <w:r>
        <w:t xml:space="preserve">Delayed reminder-linked task interventions in the trauma-film paradigm instantiate this kind of competitor encoding.</w:t>
      </w:r>
      <w:r>
        <w:t xml:space="preserve"> </w:t>
      </w:r>
      <w:r>
        <w:t xml:space="preserve">In these studies, participants encounter film cues before the interference task, and the procedure is typically interpreted as reactivating film memory before the task begins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A reminder can also change how later material is encoded.</w:t>
      </w:r>
      <w:r>
        <w:t xml:space="preserve"> </w:t>
      </w:r>
      <w:r>
        <w:t xml:space="preserve">When participants return to an earlier learning context, new material can become linked to the earlier episode</w:t>
      </w:r>
      <w:r>
        <w:t xml:space="preserve"> </w:t>
      </w:r>
      <w:r>
        <w:t xml:space="preserve">(</w:t>
      </w:r>
      <w:hyperlink w:anchor="ref-hupbach2008dynamics">
        <w:r>
          <w:rPr>
            <w:rStyle w:val="Hyperlink"/>
          </w:rPr>
          <w:t xml:space="preserve">Hupbach et al., 2008</w:t>
        </w:r>
      </w:hyperlink>
      <w:r>
        <w:t xml:space="preserve">;</w:t>
      </w:r>
      <w:r>
        <w:t xml:space="preserve"> </w:t>
      </w:r>
      <w:hyperlink w:anchor="ref-sederberg2011human">
        <w:r>
          <w:rPr>
            <w:rStyle w:val="Hyperlink"/>
          </w:rPr>
          <w:t xml:space="preserve">Sederberg et al., 2011</w:t>
        </w:r>
      </w:hyperlink>
      <w:r>
        <w:t xml:space="preserve">)</w:t>
      </w:r>
      <w:r>
        <w:t xml:space="preserve">.</w:t>
      </w:r>
      <w:r>
        <w:t xml:space="preserve"> </w:t>
      </w:r>
      <w:r>
        <w:t xml:space="preserve">We implement the reminder as reinstatement of film-associated context before task encoding.</w:t>
      </w:r>
      <w:r>
        <w:t xml:space="preserve"> </w:t>
      </w:r>
      <w:r>
        <w:t xml:space="preserve">Task events encoded in that state acquire associations with context that also supports film items.</w:t>
      </w:r>
      <w:r>
        <w:t xml:space="preserve"> </w:t>
      </w:r>
      <w:r>
        <w:t xml:space="preserve">The intervention can then reduce later film recall by adding task competitors while stored film-item associations remain available.</w:t>
      </w:r>
      <w:r>
        <w:t xml:space="preserve"> </w:t>
      </w:r>
      <w:hyperlink w:anchor="X510f1211e07a3ef8f4aa5eaadde4214adc1a9dc">
        <w:r>
          <w:rPr>
            <w:rStyle w:val="Hyperlink"/>
          </w:rPr>
          <w:t xml:space="preserve">Figure 3</w:t>
        </w:r>
      </w:hyperlink>
      <w:r>
        <w:t xml:space="preserve"> </w:t>
      </w:r>
      <w:r>
        <w:t xml:space="preserve">summarizes this encoding claim: the reminder shifts task encoding into film-overlapping context, so later context-guided retrieval can cue task competitors alongside film material.</w:t>
      </w:r>
    </w:p>
    <w:bookmarkEnd w:id="43"/>
    <w:bookmarkStart w:id="44" w:name="supplied-item-recognition"/>
    <w:p>
      <w:pPr>
        <w:pStyle w:val="Heading2"/>
      </w:pPr>
      <w:r>
        <w:t xml:space="preserve">Supplied-Item Recognition</w:t>
      </w:r>
    </w:p>
    <w:bookmarkEnd w:id="44"/>
    <w:bookmarkStart w:id="45" w:name="Xfbedde256e5c9242b660a2368ef39e7e5be0932"/>
    <w:p>
      <w:pPr>
        <w:pStyle w:val="Heading2"/>
      </w:pPr>
      <w:r>
        <w:t xml:space="preserve">Film-Directed Recall Control Under Matched Retrieval Conditions</w:t>
      </w:r>
    </w:p>
    <w:p>
      <w:pPr>
        <w:pStyle w:val="FirstParagraph"/>
      </w:pPr>
      <w:r>
        <w:t xml:space="preserve">Competitor encoding makes film recall vulnerable when retrieval is guided by context that supports both film and task candidates.</w:t>
      </w:r>
      <w:r>
        <w:t xml:space="preserve"> </w:t>
      </w:r>
      <w:r>
        <w:t xml:space="preserve">Diary and vigilance-intrusion measures count film memories when they come to mind, often during ongoing activity or monitoring rather than after a specific film item has been supplied</w:t>
      </w:r>
      <w:r>
        <w:t xml:space="preserve"> </w:t>
      </w:r>
      <w:r>
        <w:t xml:space="preserve">(</w:t>
      </w:r>
      <w:hyperlink w:anchor="ref-holmes2008inducing">
        <w:r>
          <w:rPr>
            <w:rStyle w:val="Hyperlink"/>
          </w:rPr>
          <w:t xml:space="preserve">Holmes &amp; Bourne, 2008</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In a retrieved-context account, that kind of unguided retrieval samples from candidates supported by the current context.</w:t>
      </w:r>
      <w:r>
        <w:t xml:space="preserve"> </w:t>
      </w:r>
      <w:r>
        <w:t xml:space="preserve">When task events have been encoded in film-overlapping context, the same retrieval state can support task candidates along with film candidates.</w:t>
      </w:r>
      <w:r>
        <w:t xml:space="preserve"> </w:t>
      </w:r>
      <w:r>
        <w:t xml:space="preserve">Control processes can improve film recall by orienting retrieval toward the film.</w:t>
      </w:r>
      <w:r>
        <w:t xml:space="preserve"> </w:t>
      </w:r>
      <w:r>
        <w:t xml:space="preserve">They protect film recall from reminder-linked interference to the extent that they make retrieval less dependent on film-related context that also supports task material.</w:t>
      </w:r>
    </w:p>
    <w:p>
      <w:pPr>
        <w:pStyle w:val="BodyText"/>
      </w:pPr>
      <w:r>
        <w:t xml:space="preserve">Matched recall conditions require intrusion-like and deliberate measures to depend on context-guided candidate selection.</w:t>
      </w:r>
      <w:r>
        <w:t xml:space="preserve"> </w:t>
      </w:r>
      <w:r>
        <w:t xml:space="preserve">Film cues can be present in both measures, but their role is to shape the retrieval context rather than to serve as candidate items for recognition.</w:t>
      </w:r>
      <w:r>
        <w:t xml:space="preserve"> </w:t>
      </w:r>
      <w:r>
        <w:t xml:space="preserve">Free recall and specific probing move in this direction because participants must produce or elaborate film material from prompts</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A vigilance-intrusion design gives the simulations a closer match: film-cued laboratory tasks can hold cues, timing, and response format largely fixed while changing the instruction from monitoring for unintended film memories to deliberately searching for film memories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 </w:t>
      </w:r>
      <w:hyperlink w:anchor="ref-mcconnell2026testing">
        <w:r>
          <w:rPr>
            <w:rStyle w:val="Hyperlink"/>
          </w:rPr>
          <w:t xml:space="preserve">McConnell et al., 2026</w:t>
        </w:r>
      </w:hyperlink>
      <w:r>
        <w:t xml:space="preserve">)</w:t>
      </w:r>
      <w:r>
        <w:t xml:space="preserve">.</w:t>
      </w:r>
      <w:r>
        <w:t xml:space="preserve"> </w:t>
      </w:r>
      <w:r>
        <w:t xml:space="preserve">The simulated comparison therefore adapts this design to vary retrieval intentionality while holding task format and film cues fixed.</w:t>
      </w:r>
    </w:p>
    <w:p>
      <w:pPr>
        <w:pStyle w:val="BodyText"/>
      </w:pPr>
      <w:r>
        <w:t xml:space="preserve">Within this matched recall setting,</w:t>
      </w:r>
      <w:r>
        <w:t xml:space="preserve"> </w:t>
      </w:r>
      <w:hyperlink w:anchor="X199e0fd137172f53af28b87c55ae7adfa6c74ee">
        <w:r>
          <w:rPr>
            <w:rStyle w:val="Hyperlink"/>
          </w:rPr>
          <w:t xml:space="preserve">Figure 4</w:t>
        </w:r>
      </w:hyperlink>
      <w:r>
        <w:t xml:space="preserve"> </w:t>
      </w:r>
      <w:r>
        <w:t xml:space="preserve">separates three ways deliberate recall can differ from unguided retrieval after the same reminder-linked task encoding.</w:t>
      </w:r>
      <w:r>
        <w:t xml:space="preserve"> </w:t>
      </w:r>
      <w:r>
        <w:t xml:space="preserve">Start-of-film context reinstatement acts before sampling by changing the initial context state.</w:t>
      </w:r>
      <w:r>
        <w:t xml:space="preserve"> </w:t>
      </w:r>
      <w:r>
        <w:t xml:space="preserve">A maintained film-retrieval goal acts during sampling by adding support to film candidates.</w:t>
      </w:r>
      <w:r>
        <w:t xml:space="preserve"> </w:t>
      </w:r>
      <w:r>
        <w:t xml:space="preserve">Retrieval monitoring acts after sampling by reducing the carryover from off-target candidates.</w:t>
      </w:r>
      <w:r>
        <w:t xml:space="preserve"> </w:t>
      </w:r>
      <w:r>
        <w:t xml:space="preserve">These control points make separable predictions because they change different parts of the retrieval cycle.</w:t>
      </w:r>
      <w:r>
        <w:t xml:space="preserve"> </w:t>
      </w:r>
      <w:r>
        <w:t xml:space="preserve">The simulations test which control changes the effect of reminder-linked task encoding, rather than simply increasing film recall under all conditions.</w:t>
      </w:r>
    </w:p>
    <w:p>
      <w:pPr>
        <w:pStyle w:val="BodyText"/>
      </w:pPr>
      <w:r>
        <w:t xml:space="preserve">Deliberate recall can begin from a context state biased by retrieval instructions.</w:t>
      </w:r>
      <w:r>
        <w:t xml:space="preserve"> </w:t>
      </w:r>
      <w:r>
        <w:t xml:space="preserve">When people are asked to recall an earlier studied list after studying a more recent one, their early responses are often already biased toward the instructed list rather than showing a gradual search backward through recent-list items</w:t>
      </w:r>
      <w:r>
        <w:t xml:space="preserve"> </w:t>
      </w:r>
      <w:r>
        <w:t xml:space="preserve">(</w:t>
      </w:r>
      <w:hyperlink w:anchor="ref-healey2024peppr">
        <w:r>
          <w:rPr>
            <w:rStyle w:val="Hyperlink"/>
          </w:rPr>
          <w:t xml:space="preserve">Healey &amp; Wahlheim, 2024</w:t>
        </w:r>
      </w:hyperlink>
      <w:r>
        <w:t xml:space="preserve">;</w:t>
      </w:r>
      <w:r>
        <w:t xml:space="preserve"> </w:t>
      </w:r>
      <w:hyperlink w:anchor="ref-lohnas2015expanding">
        <w:r>
          <w:rPr>
            <w:rStyle w:val="Hyperlink"/>
          </w:rPr>
          <w:t xml:space="preserve">Lohnas et al., 2015</w:t>
        </w:r>
      </w:hyperlink>
      <w:r>
        <w:t xml:space="preserve">)</w:t>
      </w:r>
      <w:r>
        <w:t xml:space="preserve">.</w:t>
      </w:r>
      <w:r>
        <w:t xml:space="preserve"> </w:t>
      </w:r>
      <w:r>
        <w:t xml:space="preserve">Recall also shows a reliable tendency to start near the beginning of a studied list, especially when the usual end-of-list advantage is weakened by a delay</w:t>
      </w:r>
      <w:r>
        <w:t xml:space="preserve"> </w:t>
      </w:r>
      <w:r>
        <w:t xml:space="preserve">(</w:t>
      </w:r>
      <w:hyperlink w:anchor="ref-healey2014memory">
        <w:r>
          <w:rPr>
            <w:rStyle w:val="Hyperlink"/>
          </w:rPr>
          <w:t xml:space="preserve">Healey &amp; Kahana, 2014</w:t>
        </w:r>
      </w:hyperlink>
      <w:r>
        <w:t xml:space="preserve">;</w:t>
      </w:r>
      <w:r>
        <w:t xml:space="preserve"> </w:t>
      </w:r>
      <w:hyperlink w:anchor="ref-herrema2024first">
        <w:r>
          <w:rPr>
            <w:rStyle w:val="Hyperlink"/>
          </w:rPr>
          <w:t xml:space="preserve">Herrema &amp; Kahana, 2024</w:t>
        </w:r>
      </w:hyperlink>
      <w:r>
        <w:t xml:space="preserve">;</w:t>
      </w:r>
      <w:r>
        <w:t xml:space="preserve"> </w:t>
      </w:r>
      <w:hyperlink w:anchor="ref-howard1999contextual">
        <w:r>
          <w:rPr>
            <w:rStyle w:val="Hyperlink"/>
          </w:rPr>
          <w:t xml:space="preserve">Howard &amp; Kahana, 1999</w:t>
        </w:r>
      </w:hyperlink>
      <w:r>
        <w:t xml:space="preserve">)</w:t>
      </w:r>
      <w:r>
        <w:t xml:space="preserve">.</w:t>
      </w:r>
      <w:r>
        <w:t xml:space="preserve"> </w:t>
      </w:r>
      <w:r>
        <w:t xml:space="preserve">Start-of-list context reinstatement mechanisms account for these patterns by evolving the current context toward the state associated with the beginning of the target list before retrieval begins</w:t>
      </w:r>
      <w:r>
        <w:t xml:space="preserve"> </w:t>
      </w:r>
      <w:r>
        <w:t xml:space="preserve">(</w:t>
      </w:r>
      <w:hyperlink w:anchor="ref-healey2024peppr">
        <w:r>
          <w:rPr>
            <w:rStyle w:val="Hyperlink"/>
          </w:rPr>
          <w:t xml:space="preserve">Healey &amp; Wahlheim, 2024</w:t>
        </w:r>
      </w:hyperlink>
      <w:r>
        <w:t xml:space="preserve">;</w:t>
      </w:r>
      <w:r>
        <w:t xml:space="preserve"> </w:t>
      </w:r>
      <w:hyperlink w:anchor="ref-kragel2015neural">
        <w:r>
          <w:rPr>
            <w:rStyle w:val="Hyperlink"/>
          </w:rPr>
          <w:t xml:space="preserve">Kragel et al., 2015</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morton2016predictive">
        <w:r>
          <w:rPr>
            <w:rStyle w:val="Hyperlink"/>
          </w:rPr>
          <w:t xml:space="preserve">Morton &amp; Polyn, 2016</w:t>
        </w:r>
      </w:hyperlink>
      <w:r>
        <w:t xml:space="preserve">)</w:t>
      </w:r>
      <w:r>
        <w:t xml:space="preserve">.</w:t>
      </w:r>
      <w:r>
        <w:t xml:space="preserve"> </w:t>
      </w:r>
      <w:r>
        <w:t xml:space="preserve">In our retrieval control simulations, start-of-film reinstatement drifts the retrieval state toward the context present at the beginning of film encoding.</w:t>
      </w:r>
      <w:r>
        <w:t xml:space="preserve"> </w:t>
      </w:r>
      <w:r>
        <w:t xml:space="preserve">This starting state favors early film candidates before ordinary context-guided sampling resumes, so its predicted benefit is tied to the temporal region that has been reinstated.</w:t>
      </w:r>
    </w:p>
    <w:p>
      <w:pPr>
        <w:pStyle w:val="BodyText"/>
      </w:pPr>
      <w:r>
        <w:t xml:space="preserve">Retrieval monitoring acts after a candidate has been sampled.</w:t>
      </w:r>
      <w:r>
        <w:t xml:space="preserve"> </w:t>
      </w:r>
      <w:r>
        <w:t xml:space="preserve">Evidence for this post-sampling control comes from externalized recall tasks where participants report every word that comes to mind and mark errors.</w:t>
      </w:r>
      <w:r>
        <w:t xml:space="preserve"> </w:t>
      </w:r>
      <w:r>
        <w:t xml:space="preserve">These instructions reveal many more intrusions than standard recall, and many sampled intrusions are marked as errors, indicating that off-target candidates can enter retrieval without being accepted as target memories</w:t>
      </w:r>
      <w:r>
        <w:t xml:space="preserve"> </w:t>
      </w:r>
      <w:r>
        <w:t xml:space="preserve">(</w:t>
      </w:r>
      <w:hyperlink w:anchor="ref-lohnas2015expanding">
        <w:r>
          <w:rPr>
            <w:rStyle w:val="Hyperlink"/>
          </w:rPr>
          <w:t xml:space="preserve">Lohnas et al., 2015</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Monitoring also carries forward across retrieval: when people fail to identify one response correctly, they are worse at rejecting the next intrusion</w:t>
      </w:r>
      <w:r>
        <w:t xml:space="preserve"> </w:t>
      </w:r>
      <w:r>
        <w:t xml:space="preserve">(</w:t>
      </w:r>
      <w:hyperlink w:anchor="ref-unsworth2010understanding">
        <w:r>
          <w:rPr>
            <w:rStyle w:val="Hyperlink"/>
            <w:b/>
            <w:bCs/>
          </w:rPr>
          <w:t xml:space="preserve">unsworth2010understanding?</w:t>
        </w:r>
      </w:hyperlink>
      <w:r>
        <w:t xml:space="preserve">)</w:t>
      </w:r>
      <w:r>
        <w:t xml:space="preserve">.</w:t>
      </w:r>
      <w:r>
        <w:t xml:space="preserve"> </w:t>
      </w:r>
      <w:r>
        <w:t xml:space="preserve">At the same time, sampled intrusions can pull search away from the target list, as intrusions tend to cluster with other intrusions from related prior-list or semantic contexts</w:t>
      </w:r>
      <w:r>
        <w:t xml:space="preserve"> </w:t>
      </w:r>
      <w:r>
        <w:t xml:space="preserve">(</w:t>
      </w:r>
      <w:hyperlink w:anchor="ref-zaromb2006temporal">
        <w:r>
          <w:rPr>
            <w:rStyle w:val="Hyperlink"/>
          </w:rPr>
          <w:t xml:space="preserve">Zaromb et al., 2006</w:t>
        </w:r>
      </w:hyperlink>
      <w:r>
        <w:t xml:space="preserve">;</w:t>
      </w:r>
      <w:r>
        <w:t xml:space="preserve"> </w:t>
      </w:r>
      <w:hyperlink w:anchor="ref-unsworth2010understanding">
        <w:r>
          <w:rPr>
            <w:rStyle w:val="Hyperlink"/>
            <w:b/>
            <w:bCs/>
          </w:rPr>
          <w:t xml:space="preserve">unsworth2010understanding?</w:t>
        </w:r>
      </w:hyperlink>
      <w:r>
        <w:t xml:space="preserve">)</w:t>
      </w:r>
      <w:r>
        <w:t xml:space="preserve">.</w:t>
      </w:r>
      <w:r>
        <w:t xml:space="preserve"> </w:t>
      </w:r>
      <w:r>
        <w:t xml:space="preserve">Retrieved-context implementations have treated monitoring as a target-match filter while still allowing rejected items to update the next retrieval context</w:t>
      </w:r>
      <w:r>
        <w:t xml:space="preserve"> </w:t>
      </w:r>
      <w:r>
        <w:t xml:space="preserve">(</w:t>
      </w:r>
      <w:hyperlink w:anchor="ref-lohnas2015expanding">
        <w:r>
          <w:rPr>
            <w:rStyle w:val="Hyperlink"/>
          </w:rPr>
          <w:t xml:space="preserve">Lohnas et al., 2015</w:t>
        </w:r>
      </w:hyperlink>
      <w:r>
        <w:t xml:space="preserve">)</w:t>
      </w:r>
      <w:r>
        <w:t xml:space="preserve">.</w:t>
      </w:r>
      <w:r>
        <w:t xml:space="preserve"> </w:t>
      </w:r>
      <w:r>
        <w:t xml:space="preserve">The trauma-film simulations explore whether that post-sampling evaluation can also reduce carryover from sampled non-film candidates.</w:t>
      </w:r>
      <w:r>
        <w:t xml:space="preserve"> </w:t>
      </w:r>
      <w:r>
        <w:t xml:space="preserve">A sampled non-film candidate still counts as a retrieval attempt, but its context update is dampened when it is evaluated as off-target.</w:t>
      </w:r>
      <w:r>
        <w:t xml:space="preserve"> </w:t>
      </w:r>
      <w:r>
        <w:t xml:space="preserve">Monitoring can therefore help deliberate recall return to film material after non-film competition appears, while leaving the initial competition from reminder-linked task encoding in place.</w:t>
      </w:r>
    </w:p>
    <w:p>
      <w:pPr>
        <w:pStyle w:val="BodyText"/>
      </w:pPr>
      <w:r>
        <w:t xml:space="preserve">A maintained retrieval goal gives deliberate recall a broader film-directed signal during candidate sampling.</w:t>
      </w:r>
      <w:r>
        <w:t xml:space="preserve"> </w:t>
      </w:r>
      <w:r>
        <w:t xml:space="preserve">When people study mixed-category material and are asked to retrieve only one category, they can restrict recall to the target subset while temporal organization remains visible within that subset</w:t>
      </w:r>
      <w:r>
        <w:t xml:space="preserve"> </w:t>
      </w:r>
      <w:r>
        <w:t xml:space="preserve">(</w:t>
      </w:r>
      <w:hyperlink w:anchor="ref-polyn2011semantic">
        <w:r>
          <w:rPr>
            <w:rStyle w:val="Hyperlink"/>
            <w:b/>
            <w:bCs/>
          </w:rPr>
          <w:t xml:space="preserve">polyn2011semantic?</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In this kind of task, category-selective activity tracks retrieval effort, remains active between reported recalls, and weakens before extra-category intrusions</w:t>
      </w:r>
      <w:r>
        <w:t xml:space="preserve"> </w:t>
      </w:r>
      <w:r>
        <w:t xml:space="preserve">(</w:t>
      </w:r>
      <w:hyperlink w:anchor="ref-norman2017neuronal">
        <w:r>
          <w:rPr>
            <w:rStyle w:val="Hyperlink"/>
            <w:b/>
            <w:bCs/>
          </w:rPr>
          <w:t xml:space="preserve">norman2017neuronal?</w:t>
        </w:r>
      </w:hyperlink>
      <w:r>
        <w:t xml:space="preserve">)</w:t>
      </w:r>
      <w:r>
        <w:t xml:space="preserve">.</w:t>
      </w:r>
      <w:r>
        <w:t xml:space="preserve"> </w:t>
      </w:r>
      <w:r>
        <w:t xml:space="preserve">Existing CMR models already allow semantic, task, and source context to shape candidate support</w:t>
      </w:r>
      <w:r>
        <w:t xml:space="preserve"> </w:t>
      </w:r>
      <w:r>
        <w:t xml:space="preserve">(</w:t>
      </w:r>
      <w:hyperlink w:anchor="ref-morton2016predictive">
        <w:r>
          <w:rPr>
            <w:rStyle w:val="Hyperlink"/>
          </w:rPr>
          <w:t xml:space="preserve">Morton &amp; Polyn, 2016</w:t>
        </w:r>
      </w:hyperlink>
      <w:r>
        <w:t xml:space="preserve">;</w:t>
      </w:r>
      <w:r>
        <w:t xml:space="preserve"> </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Category-cued search has been formalized in associative memory models, and recent review work treats this as a natural but still underdeveloped direction for CMR</w:t>
      </w:r>
      <w:r>
        <w:t xml:space="preserve"> </w:t>
      </w:r>
      <w:r>
        <w:t xml:space="preserve">(</w:t>
      </w:r>
      <w:hyperlink w:anchor="ref-raaijmakers1980sam">
        <w:r>
          <w:rPr>
            <w:rStyle w:val="Hyperlink"/>
            <w:b/>
            <w:bCs/>
          </w:rPr>
          <w:t xml:space="preserve">raaijmakers1980sam?</w:t>
        </w:r>
      </w:hyperlink>
      <w:r>
        <w:t xml:space="preserve">;</w:t>
      </w:r>
      <w:r>
        <w:t xml:space="preserve"> </w:t>
      </w:r>
      <w:hyperlink w:anchor="ref-lohnas2026specialized">
        <w:r>
          <w:rPr>
            <w:rStyle w:val="Hyperlink"/>
            <w:b/>
            <w:bCs/>
          </w:rPr>
          <w:t xml:space="preserve">lohnas2026specialized?</w:t>
        </w:r>
      </w:hyperlink>
      <w:r>
        <w:t xml:space="preserve">)</w:t>
      </w:r>
      <w:r>
        <w:t xml:space="preserve">.</w:t>
      </w:r>
      <w:r>
        <w:t xml:space="preserve"> </w:t>
      </w:r>
      <w:r>
        <w:t xml:space="preserve">The simulations therefore add a maintained film-specific cue during candidate sampling.</w:t>
      </w:r>
      <w:r>
        <w:t xml:space="preserve"> </w:t>
      </w:r>
      <w:r>
        <w:t xml:space="preserve">This cue gives film candidates additional support without equally supporting task competitors.</w:t>
      </w:r>
      <w:r>
        <w:t xml:space="preserve"> </w:t>
      </w:r>
      <w:r>
        <w:t xml:space="preserve">Task items encoded in film-overlapping context can still compete through temporal context, but they do not receive this goal-based support.</w:t>
      </w:r>
    </w:p>
    <w:p>
      <w:pPr>
        <w:pStyle w:val="BodyText"/>
      </w:pPr>
      <w:r>
        <w:t xml:space="preserve">A retrieval-control process can increase film recall relative to unguided retrieval without protecting film recall from a reminder-linked task intervention.</w:t>
      </w:r>
      <w:r>
        <w:t xml:space="preserve"> </w:t>
      </w:r>
      <w:r>
        <w:t xml:space="preserve">Protection depends on whether recall becomes less reliant on film-associated temporal context after that context has also become supportive of task material.</w:t>
      </w:r>
      <w:r>
        <w:t xml:space="preserve"> </w:t>
      </w:r>
      <w:r>
        <w:t xml:space="preserve">Start-of-film reinstatement and retrieval monitoring both improve film recall in the tested simulations, but neither adds a cue that selectively supports film items over task items encoded in film-overlapping context.</w:t>
      </w:r>
      <w:r>
        <w:t xml:space="preserve"> </w:t>
      </w:r>
      <w:r>
        <w:t xml:space="preserve">The maintained film-retrieval goal tests that different route.</w:t>
      </w:r>
      <w:r>
        <w:t xml:space="preserve"> </w:t>
      </w:r>
      <w:r>
        <w:t xml:space="preserve">It gives film candidates support from a film-specific cue, so task competitors remain available but do not receive the same added support.</w:t>
      </w:r>
      <w:r>
        <w:t xml:space="preserve"> </w:t>
      </w:r>
      <w:r>
        <w:t xml:space="preserve">Under the tested conditions, that goal-based support limits the intervention’s impact enough to simulate a selective-interference effect.</w:t>
      </w:r>
    </w:p>
    <w:bookmarkEnd w:id="45"/>
    <w:bookmarkEnd w:id="46"/>
    <w:bookmarkStart w:id="71"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50"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7"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7"/>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8"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8"/>
    </w:p>
    <w:p>
      <w:pPr>
        <w:pStyle w:val="FirstParagraph"/>
      </w:pPr>
      <w:bookmarkStart w:id="49"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9"/>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50"/>
    <w:bookmarkStart w:id="62"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51"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51"/>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52"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52"/>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53"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53"/>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4"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4"/>
    </w:p>
    <w:p>
      <w:pPr>
        <w:pStyle w:val="FirstParagraph"/>
      </w:pPr>
      <w:r>
        <w:t xml:space="preserve">A primacy function weights context-to-feature learning:</w:t>
      </w:r>
    </w:p>
    <w:p>
      <w:pPr>
        <w:pStyle w:val="BodyText"/>
      </w:pPr>
      <w:bookmarkStart w:id="55"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5"/>
    </w:p>
    <w:p>
      <w:pPr>
        <w:pStyle w:val="FirstParagraph"/>
      </w:pPr>
      <w:r>
        <w:t xml:space="preserve">Context-to-feature associations update as:</w:t>
      </w:r>
    </w:p>
    <w:p>
      <w:pPr>
        <w:pStyle w:val="BodyText"/>
      </w:pPr>
      <w:bookmarkStart w:id="56"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6"/>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7"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7"/>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8"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8"/>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9"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9"/>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60"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60"/>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61"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61"/>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film items supplied as test cues use the context update without adding a new recallable event.</w:t>
      </w:r>
    </w:p>
    <w:bookmarkEnd w:id="62"/>
    <w:bookmarkStart w:id="66"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63"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63"/>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4"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4"/>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5"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5"/>
    </w:p>
    <w:p>
      <w:pPr>
        <w:pStyle w:val="FirstParagraph"/>
      </w:pPr>
      <w:r>
        <w:t xml:space="preserve">Candidate film items presented by the test therefore use the same feature-to-context operation as sampled and reminded items.</w:t>
      </w:r>
    </w:p>
    <w:bookmarkEnd w:id="66"/>
    <w:bookmarkStart w:id="70"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7"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7"/>
    </w:p>
    <w:p>
      <w:pPr>
        <w:pStyle w:val="FirstParagraph"/>
      </w:pPr>
      <w:r>
        <w:t xml:space="preserve">Source-context-to-feature support begins at zero:</w:t>
      </w:r>
    </w:p>
    <w:p>
      <w:pPr>
        <w:pStyle w:val="BodyText"/>
      </w:pPr>
      <w:bookmarkStart w:id="68"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8"/>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9"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9"/>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70"/>
    <w:bookmarkEnd w:id="71"/>
    <w:bookmarkStart w:id="115"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72"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72"/>
    <w:bookmarkStart w:id="74"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73"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73"/>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4"/>
    <w:bookmarkStart w:id="88"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8"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6" name="Picture"/>
            <a:graphic>
              <a:graphicData uri="http://schemas.openxmlformats.org/drawingml/2006/picture">
                <pic:pic>
                  <pic:nvPicPr>
                    <pic:cNvPr descr="work/simulation1_unguided_cued/simulation1_unguided_cued_sequence_summary.png" id="77" name="Picture"/>
                    <pic:cNvPicPr>
                      <a:picLocks noChangeArrowheads="1" noChangeAspect="1"/>
                    </pic:cNvPicPr>
                  </pic:nvPicPr>
                  <pic:blipFill>
                    <a:blip r:embed="rId75"/>
                    <a:stretch>
                      <a:fillRect/>
                    </a:stretch>
                  </pic:blipFill>
                  <pic:spPr bwMode="auto">
                    <a:xfrm>
                      <a:off x="0" y="0"/>
                      <a:ext cx="5943600" cy="5248831"/>
                    </a:xfrm>
                    <a:prstGeom prst="rect">
                      <a:avLst/>
                    </a:prstGeom>
                    <a:noFill/>
                    <a:ln w="9525">
                      <a:noFill/>
                      <a:headEnd/>
                      <a:tailEnd/>
                    </a:ln>
                  </pic:spPr>
                </pic:pic>
              </a:graphicData>
            </a:graphic>
          </wp:inline>
        </w:drawing>
      </w:r>
    </w:p>
    <w:bookmarkEnd w:id="78"/>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9"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9"/>
    <w:p>
      <w:pPr>
        <w:pStyle w:val="AfterWithoutNote"/>
      </w:pPr>
      <w:r>
        <w:t xml:space="preserve"> </w:t>
      </w:r>
    </w:p>
    <w:bookmarkStart w:id="83"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81" name="Picture"/>
            <a:graphic>
              <a:graphicData uri="http://schemas.openxmlformats.org/drawingml/2006/picture">
                <pic:pic>
                  <pic:nvPicPr>
                    <pic:cNvPr descr="work/simulation1_unguided_cued/simulation1_unguided_cued_recall_distributions.png" id="82" name="Picture"/>
                    <pic:cNvPicPr>
                      <a:picLocks noChangeArrowheads="1" noChangeAspect="1"/>
                    </pic:cNvPicPr>
                  </pic:nvPicPr>
                  <pic:blipFill>
                    <a:blip r:embed="rId80"/>
                    <a:stretch>
                      <a:fillRect/>
                    </a:stretch>
                  </pic:blipFill>
                  <pic:spPr bwMode="auto">
                    <a:xfrm>
                      <a:off x="0" y="0"/>
                      <a:ext cx="5943600" cy="5583695"/>
                    </a:xfrm>
                    <a:prstGeom prst="rect">
                      <a:avLst/>
                    </a:prstGeom>
                    <a:noFill/>
                    <a:ln w="9525">
                      <a:noFill/>
                      <a:headEnd/>
                      <a:tailEnd/>
                    </a:ln>
                  </pic:spPr>
                </pic:pic>
              </a:graphicData>
            </a:graphic>
          </wp:inline>
        </w:drawing>
      </w:r>
    </w:p>
    <w:bookmarkEnd w:id="83"/>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7"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5" name="Picture"/>
            <a:graphic>
              <a:graphicData uri="http://schemas.openxmlformats.org/drawingml/2006/picture">
                <pic:pic>
                  <pic:nvPicPr>
                    <pic:cNvPr descr="work/simulation1_unguided_cued/simulation1_unguided_cued_context_overlap.png" id="86" name="Picture"/>
                    <pic:cNvPicPr>
                      <a:picLocks noChangeArrowheads="1" noChangeAspect="1"/>
                    </pic:cNvPicPr>
                  </pic:nvPicPr>
                  <pic:blipFill>
                    <a:blip r:embed="rId84"/>
                    <a:stretch>
                      <a:fillRect/>
                    </a:stretch>
                  </pic:blipFill>
                  <pic:spPr bwMode="auto">
                    <a:xfrm>
                      <a:off x="0" y="0"/>
                      <a:ext cx="5943600" cy="5653668"/>
                    </a:xfrm>
                    <a:prstGeom prst="rect">
                      <a:avLst/>
                    </a:prstGeom>
                    <a:noFill/>
                    <a:ln w="9525">
                      <a:noFill/>
                      <a:headEnd/>
                      <a:tailEnd/>
                    </a:ln>
                  </pic:spPr>
                </pic:pic>
              </a:graphicData>
            </a:graphic>
          </wp:inline>
        </w:drawing>
      </w:r>
    </w:p>
    <w:bookmarkEnd w:id="87"/>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8"/>
    <w:bookmarkStart w:id="109"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92"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90" name="Picture"/>
            <a:graphic>
              <a:graphicData uri="http://schemas.openxmlformats.org/drawingml/2006/picture">
                <pic:pic>
                  <pic:nvPicPr>
                    <pic:cNvPr descr="work/simulation2_control_cued_behavioral/simulation2_control_cued_behavioral.png" id="91" name="Picture"/>
                    <pic:cNvPicPr>
                      <a:picLocks noChangeArrowheads="1" noChangeAspect="1"/>
                    </pic:cNvPicPr>
                  </pic:nvPicPr>
                  <pic:blipFill>
                    <a:blip r:embed="rId89"/>
                    <a:stretch>
                      <a:fillRect/>
                    </a:stretch>
                  </pic:blipFill>
                  <pic:spPr bwMode="auto">
                    <a:xfrm>
                      <a:off x="0" y="0"/>
                      <a:ext cx="5943600" cy="3596194"/>
                    </a:xfrm>
                    <a:prstGeom prst="rect">
                      <a:avLst/>
                    </a:prstGeom>
                    <a:noFill/>
                    <a:ln w="9525">
                      <a:noFill/>
                      <a:headEnd/>
                      <a:tailEnd/>
                    </a:ln>
                  </pic:spPr>
                </pic:pic>
              </a:graphicData>
            </a:graphic>
          </wp:inline>
        </w:drawing>
      </w:r>
    </w:p>
    <w:bookmarkEnd w:id="92"/>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6"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4" name="Picture"/>
            <a:graphic>
              <a:graphicData uri="http://schemas.openxmlformats.org/drawingml/2006/picture">
                <pic:pic>
                  <pic:nvPicPr>
                    <pic:cNvPr descr="work/simulation2_retrieval_control_decomposition/simulation2_retrieval_control_decomposition.png" id="95" name="Picture"/>
                    <pic:cNvPicPr>
                      <a:picLocks noChangeArrowheads="1" noChangeAspect="1"/>
                    </pic:cNvPicPr>
                  </pic:nvPicPr>
                  <pic:blipFill>
                    <a:blip r:embed="rId93"/>
                    <a:stretch>
                      <a:fillRect/>
                    </a:stretch>
                  </pic:blipFill>
                  <pic:spPr bwMode="auto">
                    <a:xfrm>
                      <a:off x="0" y="0"/>
                      <a:ext cx="5943600" cy="265713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100"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8" name="Picture"/>
            <a:graphic>
              <a:graphicData uri="http://schemas.openxmlformats.org/drawingml/2006/picture">
                <pic:pic>
                  <pic:nvPicPr>
                    <pic:cNvPr descr="work/simulation2_film_retrieval_goal_context_overlap/simulation2_film_retrieval_goal_context_overlap.png" id="99" name="Picture"/>
                    <pic:cNvPicPr>
                      <a:picLocks noChangeArrowheads="1" noChangeAspect="1"/>
                    </pic:cNvPicPr>
                  </pic:nvPicPr>
                  <pic:blipFill>
                    <a:blip r:embed="rId97"/>
                    <a:stretch>
                      <a:fillRect/>
                    </a:stretch>
                  </pic:blipFill>
                  <pic:spPr bwMode="auto">
                    <a:xfrm>
                      <a:off x="0" y="0"/>
                      <a:ext cx="5943600" cy="5653668"/>
                    </a:xfrm>
                    <a:prstGeom prst="rect">
                      <a:avLst/>
                    </a:prstGeom>
                    <a:noFill/>
                    <a:ln w="9525">
                      <a:noFill/>
                      <a:headEnd/>
                      <a:tailEnd/>
                    </a:ln>
                  </pic:spPr>
                </pic:pic>
              </a:graphicData>
            </a:graphic>
          </wp:inline>
        </w:drawing>
      </w:r>
    </w:p>
    <w:bookmarkEnd w:id="100"/>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4"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102" name="Picture"/>
            <a:graphic>
              <a:graphicData uri="http://schemas.openxmlformats.org/drawingml/2006/picture">
                <pic:pic>
                  <pic:nvPicPr>
                    <pic:cNvPr descr="work/simulation2_start_context_reinstatement/simulation2_start_context_reinstatement.png" id="103" name="Picture"/>
                    <pic:cNvPicPr>
                      <a:picLocks noChangeArrowheads="1" noChangeAspect="1"/>
                    </pic:cNvPicPr>
                  </pic:nvPicPr>
                  <pic:blipFill>
                    <a:blip r:embed="rId101"/>
                    <a:stretch>
                      <a:fillRect/>
                    </a:stretch>
                  </pic:blipFill>
                  <pic:spPr bwMode="auto">
                    <a:xfrm>
                      <a:off x="0" y="0"/>
                      <a:ext cx="5943600" cy="5612321"/>
                    </a:xfrm>
                    <a:prstGeom prst="rect">
                      <a:avLst/>
                    </a:prstGeom>
                    <a:noFill/>
                    <a:ln w="9525">
                      <a:noFill/>
                      <a:headEnd/>
                      <a:tailEnd/>
                    </a:ln>
                  </pic:spPr>
                </pic:pic>
              </a:graphicData>
            </a:graphic>
          </wp:inline>
        </w:drawing>
      </w:r>
    </w:p>
    <w:bookmarkEnd w:id="104"/>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8"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6" name="Picture"/>
            <a:graphic>
              <a:graphicData uri="http://schemas.openxmlformats.org/drawingml/2006/picture">
                <pic:pic>
                  <pic:nvPicPr>
                    <pic:cNvPr descr="work/simulation2_target_monitoring_diagnostic/simulation2_target_monitoring_diagnostic.png" id="107" name="Picture"/>
                    <pic:cNvPicPr>
                      <a:picLocks noChangeArrowheads="1" noChangeAspect="1"/>
                    </pic:cNvPicPr>
                  </pic:nvPicPr>
                  <pic:blipFill>
                    <a:blip r:embed="rId105"/>
                    <a:stretch>
                      <a:fillRect/>
                    </a:stretch>
                  </pic:blipFill>
                  <pic:spPr bwMode="auto">
                    <a:xfrm>
                      <a:off x="0" y="0"/>
                      <a:ext cx="5943600" cy="5638967"/>
                    </a:xfrm>
                    <a:prstGeom prst="rect">
                      <a:avLst/>
                    </a:prstGeom>
                    <a:noFill/>
                    <a:ln w="9525">
                      <a:noFill/>
                      <a:headEnd/>
                      <a:tailEnd/>
                    </a:ln>
                  </pic:spPr>
                </pic:pic>
              </a:graphicData>
            </a:graphic>
          </wp:inline>
        </w:drawing>
      </w:r>
    </w:p>
    <w:bookmarkEnd w:id="108"/>
    <w:bookmarkEnd w:id="109"/>
    <w:bookmarkStart w:id="114"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13"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11" name="Picture"/>
            <a:graphic>
              <a:graphicData uri="http://schemas.openxmlformats.org/drawingml/2006/picture">
                <pic:pic>
                  <pic:nvPicPr>
                    <pic:cNvPr descr="work/simulation4_recognition_full_figure/item_context_recognition.png" id="112" name="Picture"/>
                    <pic:cNvPicPr>
                      <a:picLocks noChangeArrowheads="1" noChangeAspect="1"/>
                    </pic:cNvPicPr>
                  </pic:nvPicPr>
                  <pic:blipFill>
                    <a:blip r:embed="rId110"/>
                    <a:stretch>
                      <a:fillRect/>
                    </a:stretch>
                  </pic:blipFill>
                  <pic:spPr bwMode="auto">
                    <a:xfrm>
                      <a:off x="0" y="0"/>
                      <a:ext cx="5943600" cy="4316185"/>
                    </a:xfrm>
                    <a:prstGeom prst="rect">
                      <a:avLst/>
                    </a:prstGeom>
                    <a:noFill/>
                    <a:ln w="9525">
                      <a:noFill/>
                      <a:headEnd/>
                      <a:tailEnd/>
                    </a:ln>
                  </pic:spPr>
                </pic:pic>
              </a:graphicData>
            </a:graphic>
          </wp:inline>
        </w:drawing>
      </w:r>
    </w:p>
    <w:bookmarkEnd w:id="113"/>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4"/>
    <w:bookmarkEnd w:id="115"/>
    <w:bookmarkStart w:id="116" w:name="general-discussion"/>
    <w:p>
      <w:pPr>
        <w:pStyle w:val="Heading1"/>
      </w:pPr>
      <w:r>
        <w:t xml:space="preserve">General Discussion</w:t>
      </w:r>
    </w:p>
    <w:bookmarkEnd w:id="116"/>
    <w:bookmarkStart w:id="235" w:name="references"/>
    <w:p>
      <w:pPr>
        <w:pStyle w:val="Heading1"/>
      </w:pPr>
      <w:r>
        <w:t xml:space="preserve">References</w:t>
      </w:r>
    </w:p>
    <w:bookmarkStart w:id="234" w:name="refs"/>
    <w:bookmarkStart w:id="118"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7">
        <w:r>
          <w:rPr>
            <w:rStyle w:val="Hyperlink"/>
          </w:rPr>
          <w:t xml:space="preserve">https://doi.org/10.1016/j.jbtep.2023.101920</w:t>
        </w:r>
      </w:hyperlink>
    </w:p>
    <w:bookmarkEnd w:id="118"/>
    <w:bookmarkStart w:id="120"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9">
        <w:r>
          <w:rPr>
            <w:rStyle w:val="Hyperlink"/>
          </w:rPr>
          <w:t xml:space="preserve">https://doi.org/10.1016/j.jpsychires.2023.01.028</w:t>
        </w:r>
      </w:hyperlink>
    </w:p>
    <w:bookmarkEnd w:id="120"/>
    <w:bookmarkStart w:id="122"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21">
        <w:r>
          <w:rPr>
            <w:rStyle w:val="Hyperlink"/>
          </w:rPr>
          <w:t xml:space="preserve">https://doi.org/10.1037/0096-3445.129.1.126</w:t>
        </w:r>
      </w:hyperlink>
    </w:p>
    <w:bookmarkEnd w:id="122"/>
    <w:bookmarkStart w:id="124"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23">
        <w:r>
          <w:rPr>
            <w:rStyle w:val="Hyperlink"/>
          </w:rPr>
          <w:t xml:space="preserve">https://doi.org/10.1016/s2215-0366(25)00397-9</w:t>
        </w:r>
      </w:hyperlink>
    </w:p>
    <w:bookmarkEnd w:id="124"/>
    <w:bookmarkStart w:id="126"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5">
        <w:r>
          <w:rPr>
            <w:rStyle w:val="Hyperlink"/>
          </w:rPr>
          <w:t xml:space="preserve">https://doi.org/10.1037/a0033722</w:t>
        </w:r>
      </w:hyperlink>
    </w:p>
    <w:bookmarkEnd w:id="126"/>
    <w:bookmarkStart w:id="128"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7">
        <w:r>
          <w:rPr>
            <w:rStyle w:val="Hyperlink"/>
          </w:rPr>
          <w:t xml:space="preserve">https://doi.org/10.1037/0033-295X.103.4.670</w:t>
        </w:r>
      </w:hyperlink>
    </w:p>
    <w:bookmarkEnd w:id="128"/>
    <w:bookmarkStart w:id="130"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9">
        <w:r>
          <w:rPr>
            <w:rStyle w:val="Hyperlink"/>
          </w:rPr>
          <w:t xml:space="preserve">https://doi.org/10.1037/a0018113</w:t>
        </w:r>
      </w:hyperlink>
    </w:p>
    <w:bookmarkEnd w:id="130"/>
    <w:bookmarkStart w:id="132" w:name="ref-busemeyer2000model"/>
    <w:p>
      <w:pPr>
        <w:pStyle w:val="Bibliography"/>
      </w:pPr>
      <w:r>
        <w:t xml:space="preserve">Busemeyer, J. R., &amp; Wang, Y.-M. (2000). Model comparisons and model selections based on generalization criterion methodology.</w:t>
      </w:r>
      <w:r>
        <w:t xml:space="preserve"> </w:t>
      </w:r>
      <w:r>
        <w:rPr>
          <w:i/>
          <w:iCs/>
        </w:rPr>
        <w:t xml:space="preserve">Journal of Mathematical Psychology</w:t>
      </w:r>
      <w:r>
        <w:t xml:space="preserve">,</w:t>
      </w:r>
      <w:r>
        <w:t xml:space="preserve"> </w:t>
      </w:r>
      <w:r>
        <w:rPr>
          <w:i/>
          <w:iCs/>
        </w:rPr>
        <w:t xml:space="preserve">44</w:t>
      </w:r>
      <w:r>
        <w:t xml:space="preserve">(1), 171–189.</w:t>
      </w:r>
      <w:r>
        <w:t xml:space="preserve"> </w:t>
      </w:r>
      <w:hyperlink r:id="rId131">
        <w:r>
          <w:rPr>
            <w:rStyle w:val="Hyperlink"/>
          </w:rPr>
          <w:t xml:space="preserve">https://doi.org/10.1006/jmps.1999.1282</w:t>
        </w:r>
      </w:hyperlink>
    </w:p>
    <w:bookmarkEnd w:id="132"/>
    <w:bookmarkStart w:id="134"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33">
        <w:r>
          <w:rPr>
            <w:rStyle w:val="Hyperlink"/>
          </w:rPr>
          <w:t xml:space="preserve">https://doi.org/10.1037/rev0000334</w:t>
        </w:r>
      </w:hyperlink>
    </w:p>
    <w:bookmarkEnd w:id="134"/>
    <w:bookmarkStart w:id="136"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35">
        <w:r>
          <w:rPr>
            <w:rStyle w:val="Hyperlink"/>
          </w:rPr>
          <w:t xml:space="preserve">https://doi.org/10.1016/j.jbtep.2011.10.008</w:t>
        </w:r>
      </w:hyperlink>
    </w:p>
    <w:bookmarkEnd w:id="136"/>
    <w:bookmarkStart w:id="137"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7"/>
    <w:bookmarkStart w:id="139"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8">
        <w:r>
          <w:rPr>
            <w:rStyle w:val="Hyperlink"/>
          </w:rPr>
          <w:t xml:space="preserve">https://doi.org/10.1016/S0005-7967(99)00123-0</w:t>
        </w:r>
      </w:hyperlink>
    </w:p>
    <w:bookmarkEnd w:id="139"/>
    <w:bookmarkStart w:id="141" w:name="ref-healey2014memory"/>
    <w:p>
      <w:pPr>
        <w:pStyle w:val="Bibliography"/>
      </w:pPr>
      <w:r>
        <w:t xml:space="preserve">Healey, M. K., &amp; Kahana, M. J. (2014). Is memory search governed by universal principles or idiosyncratic strategies?</w:t>
      </w:r>
      <w:r>
        <w:t xml:space="preserve"> </w:t>
      </w:r>
      <w:r>
        <w:rPr>
          <w:i/>
          <w:iCs/>
        </w:rPr>
        <w:t xml:space="preserve">Journal of Experimental Psychology: General</w:t>
      </w:r>
      <w:r>
        <w:t xml:space="preserve">,</w:t>
      </w:r>
      <w:r>
        <w:t xml:space="preserve"> </w:t>
      </w:r>
      <w:r>
        <w:rPr>
          <w:i/>
          <w:iCs/>
        </w:rPr>
        <w:t xml:space="preserve">143</w:t>
      </w:r>
      <w:r>
        <w:t xml:space="preserve">(2), 575–596.</w:t>
      </w:r>
      <w:r>
        <w:t xml:space="preserve"> </w:t>
      </w:r>
      <w:hyperlink r:id="rId140">
        <w:r>
          <w:rPr>
            <w:rStyle w:val="Hyperlink"/>
          </w:rPr>
          <w:t xml:space="preserve">https://doi.org/10.1037/a0033715</w:t>
        </w:r>
      </w:hyperlink>
    </w:p>
    <w:bookmarkEnd w:id="141"/>
    <w:bookmarkStart w:id="143"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42">
        <w:r>
          <w:rPr>
            <w:rStyle w:val="Hyperlink"/>
          </w:rPr>
          <w:t xml:space="preserve">https://doi.org/10.1037/rev0000015</w:t>
        </w:r>
      </w:hyperlink>
    </w:p>
    <w:bookmarkEnd w:id="143"/>
    <w:bookmarkStart w:id="145" w:name="ref-healey2024peppr"/>
    <w:p>
      <w:pPr>
        <w:pStyle w:val="Bibliography"/>
      </w:pPr>
      <w:r>
        <w:t xml:space="preserve">Healey, M. K., &amp; Wahlheim, C. N. (2024).</w:t>
      </w:r>
      <w:r>
        <w:t xml:space="preserve"> </w:t>
      </w:r>
      <w:r>
        <w:t xml:space="preserve">PEPPR</w:t>
      </w:r>
      <w:r>
        <w:t xml:space="preserve">: A post-encoding pre-production reinstatement model of dual-list free recall.</w:t>
      </w:r>
      <w:r>
        <w:t xml:space="preserve"> </w:t>
      </w:r>
      <w:r>
        <w:rPr>
          <w:i/>
          <w:iCs/>
        </w:rPr>
        <w:t xml:space="preserve">Memory &amp; Cognition</w:t>
      </w:r>
      <w:r>
        <w:t xml:space="preserve">,</w:t>
      </w:r>
      <w:r>
        <w:t xml:space="preserve"> </w:t>
      </w:r>
      <w:r>
        <w:rPr>
          <w:i/>
          <w:iCs/>
        </w:rPr>
        <w:t xml:space="preserve">52</w:t>
      </w:r>
      <w:r>
        <w:t xml:space="preserve">(1), 163–181.</w:t>
      </w:r>
      <w:r>
        <w:t xml:space="preserve"> </w:t>
      </w:r>
      <w:hyperlink r:id="rId144">
        <w:r>
          <w:rPr>
            <w:rStyle w:val="Hyperlink"/>
          </w:rPr>
          <w:t xml:space="preserve">https://doi.org/10.3758/s13421-023-01453-z</w:t>
        </w:r>
      </w:hyperlink>
    </w:p>
    <w:bookmarkEnd w:id="145"/>
    <w:bookmarkStart w:id="14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46">
        <w:r>
          <w:rPr>
            <w:rStyle w:val="Hyperlink"/>
          </w:rPr>
          <w:t xml:space="preserve">https://doi.org/10.1016/j.jbtep.2023.101858</w:t>
        </w:r>
      </w:hyperlink>
    </w:p>
    <w:bookmarkEnd w:id="147"/>
    <w:bookmarkStart w:id="149" w:name="ref-herrema2024first"/>
    <w:p>
      <w:pPr>
        <w:pStyle w:val="Bibliography"/>
      </w:pPr>
      <w:r>
        <w:t xml:space="preserve">Herrema, H. G., &amp; Kahana, M. J. (2024).</w:t>
      </w:r>
      <w:r>
        <w:t xml:space="preserve"> </w:t>
      </w:r>
      <w:r>
        <w:rPr>
          <w:i/>
          <w:iCs/>
        </w:rPr>
        <w:t xml:space="preserve">First recall costs and benefits</w:t>
      </w:r>
      <w:r>
        <w:t xml:space="preserve">. PsyArXiv.</w:t>
      </w:r>
      <w:r>
        <w:t xml:space="preserve"> </w:t>
      </w:r>
      <w:hyperlink r:id="rId148">
        <w:r>
          <w:rPr>
            <w:rStyle w:val="Hyperlink"/>
          </w:rPr>
          <w:t xml:space="preserve">https://doi.org/10.31234/osf.io/sm3fw</w:t>
        </w:r>
      </w:hyperlink>
    </w:p>
    <w:bookmarkEnd w:id="149"/>
    <w:bookmarkStart w:id="151"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50">
        <w:r>
          <w:rPr>
            <w:rStyle w:val="Hyperlink"/>
          </w:rPr>
          <w:t xml:space="preserve">https://doi.org/10.1016/j.actpsy.2007.11.002</w:t>
        </w:r>
      </w:hyperlink>
    </w:p>
    <w:bookmarkEnd w:id="151"/>
    <w:bookmarkStart w:id="153"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52">
        <w:r>
          <w:rPr>
            <w:rStyle w:val="Hyperlink"/>
          </w:rPr>
          <w:t xml:space="preserve">https://doi.org/10.1037/0096-3445.133.1.3</w:t>
        </w:r>
      </w:hyperlink>
    </w:p>
    <w:bookmarkEnd w:id="153"/>
    <w:bookmarkStart w:id="155"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54">
        <w:r>
          <w:rPr>
            <w:rStyle w:val="Hyperlink"/>
          </w:rPr>
          <w:t xml:space="preserve">https://doi.org/10.1371/journal.pone.0004153</w:t>
        </w:r>
      </w:hyperlink>
    </w:p>
    <w:bookmarkEnd w:id="155"/>
    <w:bookmarkStart w:id="157"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56">
        <w:r>
          <w:rPr>
            <w:rStyle w:val="Hyperlink"/>
          </w:rPr>
          <w:t xml:space="preserve">https://doi.org/10.1371/journal.pone.0013706</w:t>
        </w:r>
      </w:hyperlink>
    </w:p>
    <w:bookmarkEnd w:id="157"/>
    <w:bookmarkStart w:id="159"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58">
        <w:r>
          <w:rPr>
            <w:rStyle w:val="Hyperlink"/>
          </w:rPr>
          <w:t xml:space="preserve">https://doi.org/10.1016/j.brat.2017.03.018</w:t>
        </w:r>
      </w:hyperlink>
    </w:p>
    <w:bookmarkEnd w:id="159"/>
    <w:bookmarkStart w:id="161" w:name="ref-howard1999contextual"/>
    <w:p>
      <w:pPr>
        <w:pStyle w:val="Bibliography"/>
      </w:pPr>
      <w:r>
        <w:t xml:space="preserve">Howard, M. W., &amp; Kahana, M. J. (1999). Contextual variability and serial position effects in free recall.</w:t>
      </w:r>
      <w:r>
        <w:t xml:space="preserve"> </w:t>
      </w:r>
      <w:r>
        <w:rPr>
          <w:i/>
          <w:iCs/>
        </w:rPr>
        <w:t xml:space="preserve">Journal of Experimental Psychology: Learning, Memory, and Cognition</w:t>
      </w:r>
      <w:r>
        <w:t xml:space="preserve">,</w:t>
      </w:r>
      <w:r>
        <w:t xml:space="preserve"> </w:t>
      </w:r>
      <w:r>
        <w:rPr>
          <w:i/>
          <w:iCs/>
        </w:rPr>
        <w:t xml:space="preserve">25</w:t>
      </w:r>
      <w:r>
        <w:t xml:space="preserve">(4), 923–941.</w:t>
      </w:r>
      <w:r>
        <w:t xml:space="preserve"> </w:t>
      </w:r>
      <w:hyperlink r:id="rId160">
        <w:r>
          <w:rPr>
            <w:rStyle w:val="Hyperlink"/>
          </w:rPr>
          <w:t xml:space="preserve">https://doi.org/10.1037/0278-7393.25.4.923</w:t>
        </w:r>
      </w:hyperlink>
    </w:p>
    <w:bookmarkEnd w:id="161"/>
    <w:bookmarkStart w:id="163"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62">
        <w:r>
          <w:rPr>
            <w:rStyle w:val="Hyperlink"/>
          </w:rPr>
          <w:t xml:space="preserve">https://doi.org/10.1006/jmps.2001.1388</w:t>
        </w:r>
      </w:hyperlink>
    </w:p>
    <w:bookmarkEnd w:id="163"/>
    <w:bookmarkStart w:id="164"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64"/>
    <w:bookmarkStart w:id="166" w:name="ref-hupbach2008dynamics"/>
    <w:p>
      <w:pPr>
        <w:pStyle w:val="Bibliography"/>
      </w:pPr>
      <w:r>
        <w:t xml:space="preserve">Hupbach, A., Hardt, O., Gomez, R., &amp; Nadel, L. (2008). The dynamics of memory: Context-dependent updating.</w:t>
      </w:r>
      <w:r>
        <w:t xml:space="preserve"> </w:t>
      </w:r>
      <w:r>
        <w:rPr>
          <w:i/>
          <w:iCs/>
        </w:rPr>
        <w:t xml:space="preserve">Learning &amp; Memory</w:t>
      </w:r>
      <w:r>
        <w:t xml:space="preserve">,</w:t>
      </w:r>
      <w:r>
        <w:t xml:space="preserve"> </w:t>
      </w:r>
      <w:r>
        <w:rPr>
          <w:i/>
          <w:iCs/>
        </w:rPr>
        <w:t xml:space="preserve">15</w:t>
      </w:r>
      <w:r>
        <w:t xml:space="preserve">(8), 574–579.</w:t>
      </w:r>
      <w:r>
        <w:t xml:space="preserve"> </w:t>
      </w:r>
      <w:hyperlink r:id="rId165">
        <w:r>
          <w:rPr>
            <w:rStyle w:val="Hyperlink"/>
          </w:rPr>
          <w:t xml:space="preserve">https://doi.org/10.1101/lm.1022308</w:t>
        </w:r>
      </w:hyperlink>
    </w:p>
    <w:bookmarkEnd w:id="166"/>
    <w:bookmarkStart w:id="168"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67">
        <w:r>
          <w:rPr>
            <w:rStyle w:val="Hyperlink"/>
          </w:rPr>
          <w:t xml:space="preserve">https://doi.org/10.1038/mp.2017.23</w:t>
        </w:r>
      </w:hyperlink>
    </w:p>
    <w:bookmarkEnd w:id="168"/>
    <w:bookmarkStart w:id="170"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69">
        <w:r>
          <w:rPr>
            <w:rStyle w:val="Hyperlink"/>
          </w:rPr>
          <w:t xml:space="preserve">https://doi.org/10.1038/s41398-023-02578-0</w:t>
        </w:r>
      </w:hyperlink>
    </w:p>
    <w:bookmarkEnd w:id="170"/>
    <w:bookmarkStart w:id="172"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71">
        <w:r>
          <w:rPr>
            <w:rStyle w:val="Hyperlink"/>
          </w:rPr>
          <w:t xml:space="preserve">https://doi.org/10.1016/j.cpr.2018.08.005</w:t>
        </w:r>
      </w:hyperlink>
    </w:p>
    <w:bookmarkEnd w:id="172"/>
    <w:bookmarkStart w:id="174"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73">
        <w:r>
          <w:rPr>
            <w:rStyle w:val="Hyperlink"/>
          </w:rPr>
          <w:t xml:space="preserve">https://doi.org/10.1177/0956797615583071</w:t>
        </w:r>
      </w:hyperlink>
    </w:p>
    <w:bookmarkEnd w:id="174"/>
    <w:bookmarkStart w:id="176"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75">
        <w:r>
          <w:rPr>
            <w:rStyle w:val="Hyperlink"/>
          </w:rPr>
          <w:t xml:space="preserve">https://doi.org/10.1016/j.cpr.2016.04.010</w:t>
        </w:r>
      </w:hyperlink>
    </w:p>
    <w:bookmarkEnd w:id="176"/>
    <w:bookmarkStart w:id="177"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77"/>
    <w:bookmarkStart w:id="179"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78">
        <w:r>
          <w:rPr>
            <w:rStyle w:val="Hyperlink"/>
          </w:rPr>
          <w:t xml:space="preserve">https://doi.org/10.1146/annurev-psych-010418-103358</w:t>
        </w:r>
      </w:hyperlink>
    </w:p>
    <w:bookmarkEnd w:id="179"/>
    <w:bookmarkStart w:id="181"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80">
        <w:r>
          <w:rPr>
            <w:rStyle w:val="Hyperlink"/>
          </w:rPr>
          <w:t xml:space="preserve">https://doi.org/10.1002/cpp.2489</w:t>
        </w:r>
      </w:hyperlink>
    </w:p>
    <w:bookmarkEnd w:id="181"/>
    <w:bookmarkStart w:id="183"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82">
        <w:r>
          <w:rPr>
            <w:rStyle w:val="Hyperlink"/>
          </w:rPr>
          <w:t xml:space="preserve">https://doi.org/10.1186/s12916-024-03569-8</w:t>
        </w:r>
      </w:hyperlink>
    </w:p>
    <w:bookmarkEnd w:id="183"/>
    <w:bookmarkStart w:id="185"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84">
        <w:r>
          <w:rPr>
            <w:rStyle w:val="Hyperlink"/>
          </w:rPr>
          <w:t xml:space="preserve">https://doi.org/10.1016/j.jbtep.2019.01.006</w:t>
        </w:r>
      </w:hyperlink>
    </w:p>
    <w:bookmarkEnd w:id="185"/>
    <w:bookmarkStart w:id="187"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86">
        <w:r>
          <w:rPr>
            <w:rStyle w:val="Hyperlink"/>
          </w:rPr>
          <w:t xml:space="preserve">https://doi.org/10.1038/nn.2271</w:t>
        </w:r>
      </w:hyperlink>
    </w:p>
    <w:bookmarkEnd w:id="187"/>
    <w:bookmarkStart w:id="189"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88">
        <w:r>
          <w:rPr>
            <w:rStyle w:val="Hyperlink"/>
          </w:rPr>
          <w:t xml:space="preserve">https://doi.org/10.1523/JNEUROSCI.3378-14.2015</w:t>
        </w:r>
      </w:hyperlink>
    </w:p>
    <w:bookmarkEnd w:id="189"/>
    <w:bookmarkStart w:id="191"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90">
        <w:r>
          <w:rPr>
            <w:rStyle w:val="Hyperlink"/>
          </w:rPr>
          <w:t xml:space="preserve">https://doi.org/10.1002/acp.1611</w:t>
        </w:r>
      </w:hyperlink>
    </w:p>
    <w:bookmarkEnd w:id="191"/>
    <w:bookmarkStart w:id="193"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92">
        <w:r>
          <w:rPr>
            <w:rStyle w:val="Hyperlink"/>
          </w:rPr>
          <w:t xml:space="preserve">https://doi.org/10.1037/xge0000598</w:t>
        </w:r>
      </w:hyperlink>
    </w:p>
    <w:bookmarkEnd w:id="193"/>
    <w:bookmarkStart w:id="195"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94">
        <w:r>
          <w:rPr>
            <w:rStyle w:val="Hyperlink"/>
          </w:rPr>
          <w:t xml:space="preserve">https://doi.org/10.1177/2167702621998315</w:t>
        </w:r>
      </w:hyperlink>
    </w:p>
    <w:bookmarkEnd w:id="195"/>
    <w:bookmarkStart w:id="197" w:name="ref-lohnas2023event"/>
    <w:p>
      <w:pPr>
        <w:pStyle w:val="Bibliography"/>
      </w:pPr>
      <w:r>
        <w:t xml:space="preserve">Lohnas, L. J., Healey, M. K., &amp; Davachi, L. (2023). Neural temporal context reinstatement of event structure during memory recall.</w:t>
      </w:r>
      <w:r>
        <w:t xml:space="preserve"> </w:t>
      </w:r>
      <w:r>
        <w:rPr>
          <w:i/>
          <w:iCs/>
        </w:rPr>
        <w:t xml:space="preserve">Journal of Experimental Psychology: General</w:t>
      </w:r>
      <w:r>
        <w:t xml:space="preserve">,</w:t>
      </w:r>
      <w:r>
        <w:t xml:space="preserve"> </w:t>
      </w:r>
      <w:r>
        <w:rPr>
          <w:i/>
          <w:iCs/>
        </w:rPr>
        <w:t xml:space="preserve">152</w:t>
      </w:r>
      <w:r>
        <w:t xml:space="preserve">(7), 1840–1872.</w:t>
      </w:r>
      <w:r>
        <w:t xml:space="preserve"> </w:t>
      </w:r>
      <w:hyperlink r:id="rId196">
        <w:r>
          <w:rPr>
            <w:rStyle w:val="Hyperlink"/>
          </w:rPr>
          <w:t xml:space="preserve">https://doi.org/10.1037/xge0001354</w:t>
        </w:r>
      </w:hyperlink>
    </w:p>
    <w:bookmarkEnd w:id="197"/>
    <w:bookmarkStart w:id="199"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98">
        <w:r>
          <w:rPr>
            <w:rStyle w:val="Hyperlink"/>
          </w:rPr>
          <w:t xml:space="preserve">https://doi.org/10.1037/a0039036</w:t>
        </w:r>
      </w:hyperlink>
    </w:p>
    <w:bookmarkEnd w:id="199"/>
    <w:bookmarkStart w:id="201"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200">
        <w:r>
          <w:rPr>
            <w:rStyle w:val="Hyperlink"/>
          </w:rPr>
          <w:t xml:space="preserve">https://osf.io/preprints/psyarxiv/m3pnz_v1/</w:t>
        </w:r>
      </w:hyperlink>
    </w:p>
    <w:bookmarkEnd w:id="201"/>
    <w:bookmarkStart w:id="203"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202">
        <w:r>
          <w:rPr>
            <w:rStyle w:val="Hyperlink"/>
          </w:rPr>
          <w:t xml:space="preserve">https://doi.org/10.1016/j.jml.2015.10.002</w:t>
        </w:r>
      </w:hyperlink>
    </w:p>
    <w:bookmarkEnd w:id="203"/>
    <w:bookmarkStart w:id="205" w:name="ref-polyn2012neural"/>
    <w:p>
      <w:pPr>
        <w:pStyle w:val="Bibliography"/>
      </w:pPr>
      <w:r>
        <w:t xml:space="preserve">Polyn, S. M., Kragel, J. E., Morton, N. W., McCluey, J. D., &amp; Cohen, Z. D. (2012). The neural dynamics of task context in free recall.</w:t>
      </w:r>
      <w:r>
        <w:t xml:space="preserve"> </w:t>
      </w:r>
      <w:r>
        <w:rPr>
          <w:i/>
          <w:iCs/>
        </w:rPr>
        <w:t xml:space="preserve">Neuropsychologia</w:t>
      </w:r>
      <w:r>
        <w:t xml:space="preserve">,</w:t>
      </w:r>
      <w:r>
        <w:t xml:space="preserve"> </w:t>
      </w:r>
      <w:r>
        <w:rPr>
          <w:i/>
          <w:iCs/>
        </w:rPr>
        <w:t xml:space="preserve">50</w:t>
      </w:r>
      <w:r>
        <w:t xml:space="preserve">(4), 447–457.</w:t>
      </w:r>
      <w:r>
        <w:t xml:space="preserve"> </w:t>
      </w:r>
      <w:hyperlink r:id="rId204">
        <w:r>
          <w:rPr>
            <w:rStyle w:val="Hyperlink"/>
          </w:rPr>
          <w:t xml:space="preserve">https://doi.org/10.1016/j.neuropsychologia.2011.08.025</w:t>
        </w:r>
      </w:hyperlink>
    </w:p>
    <w:bookmarkEnd w:id="205"/>
    <w:bookmarkStart w:id="20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206">
        <w:r>
          <w:rPr>
            <w:rStyle w:val="Hyperlink"/>
          </w:rPr>
          <w:t xml:space="preserve">https://doi.org/10.1037/a0014420</w:t>
        </w:r>
      </w:hyperlink>
    </w:p>
    <w:bookmarkEnd w:id="207"/>
    <w:bookmarkStart w:id="20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208">
        <w:r>
          <w:rPr>
            <w:rStyle w:val="Hyperlink"/>
          </w:rPr>
          <w:t xml:space="preserve">https://doi.org/10.1016/j.neuropsychologia.2009.02.013</w:t>
        </w:r>
      </w:hyperlink>
    </w:p>
    <w:bookmarkEnd w:id="209"/>
    <w:bookmarkStart w:id="21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210">
        <w:r>
          <w:rPr>
            <w:rStyle w:val="Hyperlink"/>
          </w:rPr>
          <w:t xml:space="preserve">https://doi.org/10.1038/s41380-023-02062-7</w:t>
        </w:r>
      </w:hyperlink>
    </w:p>
    <w:bookmarkEnd w:id="211"/>
    <w:bookmarkStart w:id="21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212">
        <w:r>
          <w:rPr>
            <w:rStyle w:val="Hyperlink"/>
          </w:rPr>
          <w:t xml:space="preserve">https://doi.org/10.1111/j.1467-9280.2005.01634.x</w:t>
        </w:r>
      </w:hyperlink>
    </w:p>
    <w:bookmarkEnd w:id="213"/>
    <w:bookmarkStart w:id="21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214">
        <w:r>
          <w:rPr>
            <w:rStyle w:val="Hyperlink"/>
          </w:rPr>
          <w:t xml:space="preserve">https://doi.org/10.3758/s13423-011-0086-9</w:t>
        </w:r>
      </w:hyperlink>
    </w:p>
    <w:bookmarkEnd w:id="215"/>
    <w:bookmarkStart w:id="21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216">
        <w:r>
          <w:rPr>
            <w:rStyle w:val="Hyperlink"/>
          </w:rPr>
          <w:t xml:space="preserve">https://doi.org/10.1037/a0013396</w:t>
        </w:r>
      </w:hyperlink>
    </w:p>
    <w:bookmarkEnd w:id="217"/>
    <w:bookmarkStart w:id="21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218">
        <w:r>
          <w:rPr>
            <w:rStyle w:val="Hyperlink"/>
          </w:rPr>
          <w:t xml:space="preserve">https://doi.org/10.1177/0963721413498893</w:t>
        </w:r>
      </w:hyperlink>
    </w:p>
    <w:bookmarkEnd w:id="219"/>
    <w:bookmarkStart w:id="22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20">
        <w:r>
          <w:rPr>
            <w:rStyle w:val="Hyperlink"/>
          </w:rPr>
          <w:t xml:space="preserve">https://doi.org/10.1037/rev0000132</w:t>
        </w:r>
      </w:hyperlink>
    </w:p>
    <w:bookmarkEnd w:id="221"/>
    <w:bookmarkStart w:id="22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222">
        <w:r>
          <w:rPr>
            <w:rStyle w:val="Hyperlink"/>
          </w:rPr>
          <w:t xml:space="preserve">https://doi.org/10.1016/j.jml.2007.01.002</w:t>
        </w:r>
      </w:hyperlink>
    </w:p>
    <w:bookmarkEnd w:id="223"/>
    <w:bookmarkStart w:id="225" w:name="ref-talmi2004semantic"/>
    <w:p>
      <w:pPr>
        <w:pStyle w:val="Bibliography"/>
      </w:pPr>
      <w:r>
        <w:t xml:space="preserve">Talmi, D., &amp; Moscovitch, M. (2004). Can semantic relatedness explain the enhancement of memory for emotional words?</w:t>
      </w:r>
      <w:r>
        <w:t xml:space="preserve"> </w:t>
      </w:r>
      <w:r>
        <w:rPr>
          <w:i/>
          <w:iCs/>
        </w:rPr>
        <w:t xml:space="preserve">Memory &amp; Cognition</w:t>
      </w:r>
      <w:r>
        <w:t xml:space="preserve">,</w:t>
      </w:r>
      <w:r>
        <w:t xml:space="preserve"> </w:t>
      </w:r>
      <w:r>
        <w:rPr>
          <w:i/>
          <w:iCs/>
        </w:rPr>
        <w:t xml:space="preserve">32</w:t>
      </w:r>
      <w:r>
        <w:t xml:space="preserve">(5), 742–751.</w:t>
      </w:r>
      <w:r>
        <w:t xml:space="preserve"> </w:t>
      </w:r>
      <w:hyperlink r:id="rId224">
        <w:r>
          <w:rPr>
            <w:rStyle w:val="Hyperlink"/>
          </w:rPr>
          <w:t xml:space="preserve">https://doi.org/10.3758/bf03195864</w:t>
        </w:r>
      </w:hyperlink>
    </w:p>
    <w:bookmarkEnd w:id="225"/>
    <w:bookmarkStart w:id="227"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26">
        <w:r>
          <w:rPr>
            <w:rStyle w:val="Hyperlink"/>
          </w:rPr>
          <w:t xml:space="preserve">https://doi.org/10.1038/s41562-024-01956-y</w:t>
        </w:r>
      </w:hyperlink>
    </w:p>
    <w:bookmarkEnd w:id="227"/>
    <w:bookmarkStart w:id="229"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28">
        <w:r>
          <w:rPr>
            <w:rStyle w:val="Hyperlink"/>
          </w:rPr>
          <w:t xml:space="preserve">https://doi.org/10.1525/collabra.130791</w:t>
        </w:r>
      </w:hyperlink>
    </w:p>
    <w:bookmarkEnd w:id="229"/>
    <w:bookmarkStart w:id="231"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30">
        <w:r>
          <w:rPr>
            <w:rStyle w:val="Hyperlink"/>
          </w:rPr>
          <w:t xml:space="preserve">https://doi.org/10.1037/0278-7393.32.4.792</w:t>
        </w:r>
      </w:hyperlink>
    </w:p>
    <w:bookmarkEnd w:id="231"/>
    <w:bookmarkStart w:id="233"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32">
        <w:r>
          <w:rPr>
            <w:rStyle w:val="Hyperlink"/>
          </w:rPr>
          <w:t xml:space="preserve">https://doi.org/10.1037/rev0000505</w:t>
        </w:r>
      </w:hyperlink>
    </w:p>
    <w:bookmarkEnd w:id="233"/>
    <w:bookmarkEnd w:id="234"/>
    <w:bookmarkEnd w:id="2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5" Target="media/rId75.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10" Target="media/rId110.png" /><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acp.1611" TargetMode="External" /><Relationship Type="http://schemas.openxmlformats.org/officeDocument/2006/relationships/hyperlink" Id="rId180" Target="https://doi.org/10.1002/cpp.2489" TargetMode="External" /><Relationship Type="http://schemas.openxmlformats.org/officeDocument/2006/relationships/hyperlink" Id="rId131" Target="https://doi.org/10.1006/jmps.1999.1282" TargetMode="External" /><Relationship Type="http://schemas.openxmlformats.org/officeDocument/2006/relationships/hyperlink" Id="rId162" Target="https://doi.org/10.1006/jmps.2001.1388" TargetMode="External" /><Relationship Type="http://schemas.openxmlformats.org/officeDocument/2006/relationships/hyperlink" Id="rId138" Target="https://doi.org/10.1016/S0005-7967(99)00123-0" TargetMode="External" /><Relationship Type="http://schemas.openxmlformats.org/officeDocument/2006/relationships/hyperlink" Id="rId150" Target="https://doi.org/10.1016/j.actpsy.2007.11.002" TargetMode="External" /><Relationship Type="http://schemas.openxmlformats.org/officeDocument/2006/relationships/hyperlink" Id="rId158" Target="https://doi.org/10.1016/j.brat.2017.03.018" TargetMode="External" /><Relationship Type="http://schemas.openxmlformats.org/officeDocument/2006/relationships/hyperlink" Id="rId175" Target="https://doi.org/10.1016/j.cpr.2016.04.010" TargetMode="External" /><Relationship Type="http://schemas.openxmlformats.org/officeDocument/2006/relationships/hyperlink" Id="rId171" Target="https://doi.org/10.1016/j.cpr.2018.08.005" TargetMode="External" /><Relationship Type="http://schemas.openxmlformats.org/officeDocument/2006/relationships/hyperlink" Id="rId135" Target="https://doi.org/10.1016/j.jbtep.2011.10.008" TargetMode="External" /><Relationship Type="http://schemas.openxmlformats.org/officeDocument/2006/relationships/hyperlink" Id="rId184" Target="https://doi.org/10.1016/j.jbtep.2019.01.006" TargetMode="External" /><Relationship Type="http://schemas.openxmlformats.org/officeDocument/2006/relationships/hyperlink" Id="rId146" Target="https://doi.org/10.1016/j.jbtep.2023.101858" TargetMode="External" /><Relationship Type="http://schemas.openxmlformats.org/officeDocument/2006/relationships/hyperlink" Id="rId117" Target="https://doi.org/10.1016/j.jbtep.2023.101920" TargetMode="External" /><Relationship Type="http://schemas.openxmlformats.org/officeDocument/2006/relationships/hyperlink" Id="rId222" Target="https://doi.org/10.1016/j.jml.2007.01.002" TargetMode="External" /><Relationship Type="http://schemas.openxmlformats.org/officeDocument/2006/relationships/hyperlink" Id="rId202" Target="https://doi.org/10.1016/j.jml.2015.10.002" TargetMode="External" /><Relationship Type="http://schemas.openxmlformats.org/officeDocument/2006/relationships/hyperlink" Id="rId119" Target="https://doi.org/10.1016/j.jpsychires.2023.01.028" TargetMode="External" /><Relationship Type="http://schemas.openxmlformats.org/officeDocument/2006/relationships/hyperlink" Id="rId208" Target="https://doi.org/10.1016/j.neuropsychologia.2009.02.013" TargetMode="External" /><Relationship Type="http://schemas.openxmlformats.org/officeDocument/2006/relationships/hyperlink" Id="rId204" Target="https://doi.org/10.1016/j.neuropsychologia.2011.08.025" TargetMode="External" /><Relationship Type="http://schemas.openxmlformats.org/officeDocument/2006/relationships/hyperlink" Id="rId123" Target="https://doi.org/10.1016/s2215-0366(25)00397-9" TargetMode="External" /><Relationship Type="http://schemas.openxmlformats.org/officeDocument/2006/relationships/hyperlink" Id="rId127" Target="https://doi.org/10.1037/0033-295X.103.4.670" TargetMode="External" /><Relationship Type="http://schemas.openxmlformats.org/officeDocument/2006/relationships/hyperlink" Id="rId121" Target="https://doi.org/10.1037/0096-3445.129.1.126" TargetMode="External" /><Relationship Type="http://schemas.openxmlformats.org/officeDocument/2006/relationships/hyperlink" Id="rId152" Target="https://doi.org/10.1037/0096-3445.133.1.3" TargetMode="External" /><Relationship Type="http://schemas.openxmlformats.org/officeDocument/2006/relationships/hyperlink" Id="rId160" Target="https://doi.org/10.1037/0278-7393.25.4.923" TargetMode="External" /><Relationship Type="http://schemas.openxmlformats.org/officeDocument/2006/relationships/hyperlink" Id="rId230" Target="https://doi.org/10.1037/0278-7393.32.4.792" TargetMode="External" /><Relationship Type="http://schemas.openxmlformats.org/officeDocument/2006/relationships/hyperlink" Id="rId216" Target="https://doi.org/10.1037/a0013396" TargetMode="External" /><Relationship Type="http://schemas.openxmlformats.org/officeDocument/2006/relationships/hyperlink" Id="rId206" Target="https://doi.org/10.1037/a0014420" TargetMode="External" /><Relationship Type="http://schemas.openxmlformats.org/officeDocument/2006/relationships/hyperlink" Id="rId129" Target="https://doi.org/10.1037/a0018113" TargetMode="External" /><Relationship Type="http://schemas.openxmlformats.org/officeDocument/2006/relationships/hyperlink" Id="rId140" Target="https://doi.org/10.1037/a0033715" TargetMode="External" /><Relationship Type="http://schemas.openxmlformats.org/officeDocument/2006/relationships/hyperlink" Id="rId125" Target="https://doi.org/10.1037/a0033722" TargetMode="External" /><Relationship Type="http://schemas.openxmlformats.org/officeDocument/2006/relationships/hyperlink" Id="rId198" Target="https://doi.org/10.1037/a0039036" TargetMode="External" /><Relationship Type="http://schemas.openxmlformats.org/officeDocument/2006/relationships/hyperlink" Id="rId142" Target="https://doi.org/10.1037/rev0000015" TargetMode="External" /><Relationship Type="http://schemas.openxmlformats.org/officeDocument/2006/relationships/hyperlink" Id="rId220" Target="https://doi.org/10.1037/rev0000132" TargetMode="External" /><Relationship Type="http://schemas.openxmlformats.org/officeDocument/2006/relationships/hyperlink" Id="rId133" Target="https://doi.org/10.1037/rev0000334" TargetMode="External" /><Relationship Type="http://schemas.openxmlformats.org/officeDocument/2006/relationships/hyperlink" Id="rId232" Target="https://doi.org/10.1037/rev0000505" TargetMode="External" /><Relationship Type="http://schemas.openxmlformats.org/officeDocument/2006/relationships/hyperlink" Id="rId192" Target="https://doi.org/10.1037/xge0000598" TargetMode="External" /><Relationship Type="http://schemas.openxmlformats.org/officeDocument/2006/relationships/hyperlink" Id="rId196" Target="https://doi.org/10.1037/xge0001354" TargetMode="External" /><Relationship Type="http://schemas.openxmlformats.org/officeDocument/2006/relationships/hyperlink" Id="rId167" Target="https://doi.org/10.1038/mp.2017.23" TargetMode="External" /><Relationship Type="http://schemas.openxmlformats.org/officeDocument/2006/relationships/hyperlink" Id="rId186" Target="https://doi.org/10.1038/nn.2271" TargetMode="External" /><Relationship Type="http://schemas.openxmlformats.org/officeDocument/2006/relationships/hyperlink" Id="rId210" Target="https://doi.org/10.1038/s41380-023-02062-7" TargetMode="External" /><Relationship Type="http://schemas.openxmlformats.org/officeDocument/2006/relationships/hyperlink" Id="rId169" Target="https://doi.org/10.1038/s41398-023-02578-0" TargetMode="External" /><Relationship Type="http://schemas.openxmlformats.org/officeDocument/2006/relationships/hyperlink" Id="rId226" Target="https://doi.org/10.1038/s41562-024-01956-y" TargetMode="External" /><Relationship Type="http://schemas.openxmlformats.org/officeDocument/2006/relationships/hyperlink" Id="rId165" Target="https://doi.org/10.1101/lm.1022308" TargetMode="External" /><Relationship Type="http://schemas.openxmlformats.org/officeDocument/2006/relationships/hyperlink" Id="rId212" Target="https://doi.org/10.1111/j.1467-9280.2005.01634.x" TargetMode="External" /><Relationship Type="http://schemas.openxmlformats.org/officeDocument/2006/relationships/hyperlink" Id="rId178" Target="https://doi.org/10.1146/annurev-psych-010418-103358" TargetMode="External" /><Relationship Type="http://schemas.openxmlformats.org/officeDocument/2006/relationships/hyperlink" Id="rId173" Target="https://doi.org/10.1177/0956797615583071" TargetMode="External" /><Relationship Type="http://schemas.openxmlformats.org/officeDocument/2006/relationships/hyperlink" Id="rId218" Target="https://doi.org/10.1177/0963721413498893" TargetMode="External" /><Relationship Type="http://schemas.openxmlformats.org/officeDocument/2006/relationships/hyperlink" Id="rId194" Target="https://doi.org/10.1177/2167702621998315" TargetMode="External" /><Relationship Type="http://schemas.openxmlformats.org/officeDocument/2006/relationships/hyperlink" Id="rId182" Target="https://doi.org/10.1186/s12916-024-03569-8" TargetMode="External" /><Relationship Type="http://schemas.openxmlformats.org/officeDocument/2006/relationships/hyperlink" Id="rId154" Target="https://doi.org/10.1371/journal.pone.0004153" TargetMode="External" /><Relationship Type="http://schemas.openxmlformats.org/officeDocument/2006/relationships/hyperlink" Id="rId156" Target="https://doi.org/10.1371/journal.pone.0013706" TargetMode="External" /><Relationship Type="http://schemas.openxmlformats.org/officeDocument/2006/relationships/hyperlink" Id="rId188" Target="https://doi.org/10.1523/JNEUROSCI.3378-14.2015" TargetMode="External" /><Relationship Type="http://schemas.openxmlformats.org/officeDocument/2006/relationships/hyperlink" Id="rId228" Target="https://doi.org/10.1525/collabra.130791" TargetMode="External" /><Relationship Type="http://schemas.openxmlformats.org/officeDocument/2006/relationships/hyperlink" Id="rId148" Target="https://doi.org/10.31234/osf.io/sm3fw" TargetMode="External" /><Relationship Type="http://schemas.openxmlformats.org/officeDocument/2006/relationships/hyperlink" Id="rId224" Target="https://doi.org/10.3758/bf03195864" TargetMode="External" /><Relationship Type="http://schemas.openxmlformats.org/officeDocument/2006/relationships/hyperlink" Id="rId144" Target="https://doi.org/10.3758/s13421-023-01453-z" TargetMode="External" /><Relationship Type="http://schemas.openxmlformats.org/officeDocument/2006/relationships/hyperlink" Id="rId214" Target="https://doi.org/10.3758/s13423-011-0086-9" TargetMode="External" /><Relationship Type="http://schemas.openxmlformats.org/officeDocument/2006/relationships/hyperlink" Id="rId200"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2026-07-01T17:12:58Z</dcterms:created>
  <dcterms:modified xsi:type="dcterms:W3CDTF">2026-07-01T17:12:58Z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