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retrieved-context account of selective interference in intrusive and voluntary remembering</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a visuospatial intervention task performed after a film reminder can reduce the frequency of film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represents film, reminder, and task events and predicts sequences of film and non-film recall events.</w:t>
      </w:r>
      <w:r>
        <w:t xml:space="preserve"> </w:t>
      </w:r>
      <w:r>
        <w:t xml:space="preserve">In the model, a film reminder reinstates film-associated context before the task.</w:t>
      </w:r>
      <w:r>
        <w:t xml:space="preserve"> </w:t>
      </w:r>
      <w:r>
        <w:t xml:space="preserve">Task items are then linked to that context, so later film-associated context can cue task competitors as well as film items.</w:t>
      </w:r>
      <w:r>
        <w:t xml:space="preserve"> </w:t>
      </w:r>
      <w:r>
        <w:t xml:space="preserve">Deliberate recall is less affected when a maintained film-category cue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p>
      <w:r>
        <w:br w:type="page"/>
      </w:r>
    </w:p>
    <w:bookmarkEnd w:id="20"/>
    <w:bookmarkStart w:id="27" w:name="introduction"/>
    <w:p>
      <w:pPr>
        <w:pStyle w:val="Heading1"/>
      </w:pPr>
      <w:r>
        <w:t xml:space="preserve">Introduction</w:t>
      </w:r>
    </w:p>
    <w:p>
      <w:pPr>
        <w:pStyle w:val="FirstParagraph"/>
      </w:pPr>
      <w:r>
        <w:drawing>
          <wp:inline>
            <wp:extent cx="5334000" cy="4327349"/>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Modeled trauma-film paradigm and schematic selective-interference pattern.</w:t>
      </w:r>
      <w:r>
        <w:t xml:space="preserve"> </w:t>
      </w:r>
      <w:r>
        <w:t xml:space="preserve">(A) The modeled trauma-film paradigm includes film encoding, an intervening delay, a possible pre-task film reminder, an intervening task, a post-task delay, and a later test of unguided or deliberate film recall. (B) The qualitative pattern targeted by the recall simulations is summarized as an interaction among reminder condition, intervening task, and retrieval condition. Columns distinguish whether the task is preceded by a film reminder, rows distinguish unguided film recall from deliberate film recall, and paired bars compare film recall after a comparison/control condition versus a visuospatial task condition. The visuospatial task condition produces the largest reduction in unguided film recall when it follows a film reminder, whereas deliberate film recall shows a smaller reduction under the same conditions. Bars are schematic and do not plot empirical counts, fitted values, or model output.</w:t>
      </w:r>
    </w:p>
    <w:p>
      <w:r>
        <w:br w:type="page"/>
      </w:r>
    </w:p>
    <w:p>
      <w:pPr>
        <w:pStyle w:val="BodyText"/>
      </w:pPr>
      <w:r>
        <w:drawing>
          <wp:inline>
            <wp:extent cx="5334000" cy="5425926"/>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5425926"/>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tests of selective interference across retrieval formats.</w:t>
      </w:r>
      <w:r>
        <w:t xml:space="preserve"> </w:t>
      </w:r>
      <w:r>
        <w:t xml:space="preserve">Rows show selected studies that pair intrusion-like or involuntary-memory measures with different deliberate-memory tests: diary intrusions with recognition, diary intrusions with free recall, laboratory intrusion reports with recognition, and closely matched laboratory reports under involuntary and voluntary retrieval instructions. Column headings are bridge labels for the theoretical contrast, and panel titles name the empirical measure used in each study. The lower rows both use laboratory intrusion/report tasks; the McConnell row adds a voluntary-report version of the same laboratory reporting format. Gray bars indicate the study-specific comparison/control condition, such as rest or auditory control, and orange bars indicate the visuospatial task condition. Bracket labels summarize the plotted contrast rather than a uniform significance test. Bar heights reproduce reported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reminder or test cue is presented. (B) The interference manipulation changes which context states task items are linked to during encoding. Without a pre-task reminder, task items are encoded after context has drifted away from the film. With a pre-task film reminder, film-associated context is reinstated before task encoding, so task items are learned while that context remains active. Thus, the same context that can cue film items can also cue task competitors during later retrieval. When task encoding is strong, those task items become stronger competitors during later context-guided retrieval. Circles mark item features: F labels film items and T labels task items. Squares mark context states. Blue marks film items or film-linked context, orange marks task items or task-linked context, green marks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Stored film and task associations can be sampled from different starting contexts. Unguided retrieval begins from ongoing context, which can support film and task candidates together. Deliberate recall can begin with start-of-film context reinstatement, which favors film candidates while leaving task candidates possible. (B) During context-to-feature sampling, ongoing context can support film items and task competitors, while a maintained film-category cue adds support only to film candidates. (C) Rows compare film recall, unmonitored task recall, and monitored task recall. Sampled outputs update the next retrieval context through feature-to-context memory. Recalling a film item keeps later search biased toward film candidates. Recalling a task item without monitoring can shift later context toward task candidates. With retrieval monitoring, the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0b57449337501b368012fcfcd473e33f3217151"/>
    <w:p>
      <w:pPr>
        <w:pStyle w:val="Heading1"/>
      </w:pPr>
      <w:r>
        <w:t xml:space="preserve">Simulation 1: Task Encoding and Context Similarity</w:t>
      </w:r>
    </w:p>
    <w:p>
      <w:pPr>
        <w:pStyle w:val="FirstParagraph"/>
      </w:pPr>
      <w:r>
        <w:drawing>
          <wp:inline>
            <wp:extent cx="5334000" cy="4714264"/>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4264"/>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by reminder condition and task encoding strength.</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row shows one simulated trial selected near the condition mean for the number of film items recalled; recalled items are ordered left to right by output position. Colors mark film items, task items, delay/filler items, and unfilled output positions. (B) Mean number of film items recalled across all simulated trials. Film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80000"/>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80000"/>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similarity between film- and task-encoding contexts.</w:t>
      </w:r>
      <w:r>
        <w:t xml:space="preserve"> </w:t>
      </w:r>
      <w:r>
        <w:t xml:space="preserve">Reminder condition was varied before task encoding while retrieval was held unguided. (A) Mean context similarity between each encoded film position and the task-encoding period, averaging across encoded task positions. (B) Full film-by-task context-similarity matrices for the same conditions; each cell compares the context state associated with one encoded film position to the context state active at one encoded task position. Brighter cells indicate greater context similarity. The film reminder increases similarity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film recall and deliberate film recall. Deliberate film recall combined start-of-film context reinstatement, a maintained film-category cue, and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film recall than under deliberate film recall. The model therefore simulates a selective interference effect: strong task encoding after a film reminder strongly reduces unguided film recall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 Weak film cues were supplied periodically during recall in all conditions. Unguided film recall includes none of the three deliberate-control operations. Bars show mean number of film items recalled for each control setting in both conditions. Start-of-film reinstatement and retrieval monitoring increase film recall in some conditions, but the loss from the low- to high-interference condition is smallest when a maintained film-category cue is included.</w:t>
      </w:r>
    </w:p>
    <w:p>
      <w:r>
        <w:br w:type="page"/>
      </w:r>
    </w:p>
    <w:p>
      <w:pPr>
        <w:pStyle w:val="BodyText"/>
      </w:pPr>
      <w:r>
        <w:drawing>
          <wp:inline>
            <wp:extent cx="5334000" cy="5080000"/>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80000"/>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maintained film-category cue makes film-directed retrieval cues less similar to task-encoding context.</w:t>
      </w:r>
      <w:r>
        <w:t xml:space="preserve"> </w:t>
      </w:r>
      <w:r>
        <w:t xml:space="preserve">The high-interference condition was held fixed: a film reminder preceded strong task encoding, and weak film cues were supplied periodically during recall. A maintained film-category cue supports film items during deliberate recall and is distinct from the external film reminder and test-phase film cues. (A) Mean similarity between task-encoding contexts and film-directed retrieval cues, averaging across encoded task positions for each encoded film position. (B) Full similarity matrices for the same condition. The left matrix uses temporal context alone; the right matrix schematically adds the maintained film-category cue to the film-directed retrieval cue. Brighter cells indicate greater similarity to task-encoding context. Adding the maintained film-category cue reduces similarity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42187"/>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42187"/>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the task phase.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when strong task encoding follows a film reminder. Start-of-film context reinstatement therefore protects early encoded film positions by shifting retrieval initiation toward the start of the film sequence.</w:t>
      </w:r>
    </w:p>
    <w:p>
      <w:r>
        <w:br w:type="page"/>
      </w:r>
    </w:p>
    <w:p>
      <w:pPr>
        <w:pStyle w:val="BodyText"/>
      </w:pPr>
      <w:r>
        <w:drawing>
          <wp:inline>
            <wp:extent cx="5334000" cy="5066184"/>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6184"/>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recall of a film item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the task phase. Retrieval monitoring therefore supports film recall after search is pulled away from the film sequence, increasing film recall probability when strong task encoding follows a film reminder.</w:t>
      </w:r>
    </w:p>
    <w:p>
      <w:r>
        <w:br w:type="page"/>
      </w:r>
    </w:p>
    <w:bookmarkEnd w:id="60"/>
    <w:bookmarkStart w:id="64" w:name="recognition-like-test-format"/>
    <w:p>
      <w:pPr>
        <w:pStyle w:val="Heading1"/>
      </w:pPr>
      <w:r>
        <w:t xml:space="preserve">Recognition-Like Test Format</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lets an item reinstate its associated context, whereas context-to-feature memory lets context cue candidate items. (B) When film-associated context cues items, film items and task items linked to that context can both receive support. When a film item reinstates context, retrieval targets context units instead, so task items are not competitors in that step. (C) In recognition, the test presents a candidate film item as the probe. The probe retrieves associated context, which is compared with ongoing test context; stronger matches provide stronger evidence that the item appeared in the film. (D) Old-film minus foil recognition evidence is plotted across the same reminder conditions and task encoding strengths used in the recall simulations. The measure subtracts mean evidence for film-source-matched foils from mean evidence for studied film probes. Strong task encoding after a film reminder does not produce a corresponding reduction in recognition-evidence separation.</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retrieved-context account of selective interference in intrusive and voluntary remembering</dc:title>
  <dc:creator>Jordan B Gunn</dc:creator>
  <cp:keywords>intrusive memories, voluntary memory, trauma-film paradigm, visuospatial intervention, selective interference, retrieved-context theory, computational modeling</cp:keywords>
  <dcterms:created xsi:type="dcterms:W3CDTF">2026-07-14T07:01:04Z</dcterms:created>
  <dcterms:modified xsi:type="dcterms:W3CDTF">2026-07-14T07:01:04Z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Retrieved context and selective interference</vt:lpwstr>
  </property>
  <property fmtid="{D5CDD505-2E9C-101B-9397-08002B2CF9AE}" pid="13" name="toc-title">
    <vt:lpwstr>Table of contents</vt:lpwstr>
  </property>
</Properties>
</file>